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03 Worklog</w:t>
      </w:r>
    </w:p>
    <w:p>
      <w:pPr>
        <w:pStyle w:val="Subtitle"/>
      </w:pPr>
      <w:r>
        <w:t>AWS Foundations and Cost Planning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03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Map the project requirements to EC2, S3 and CloudWatch.</w:t>
      </w:r>
    </w:p>
    <w:p>
      <w:pPr>
        <w:pStyle w:val="ListBullet"/>
        <w:spacing w:after="60"/>
      </w:pPr>
      <w:r>
        <w:t>Choose a deployment Region and review the available AWS credits.</w:t>
      </w:r>
    </w:p>
    <w:p>
      <w:pPr>
        <w:pStyle w:val="ListBullet"/>
        <w:spacing w:after="60"/>
      </w:pPr>
      <w:r>
        <w:t>Establish a budget approach for a temporary learning environment.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Explore the AWS Console and identify compute, storage, networking and monitoring services relevant to the machine learning demonstration.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Define the responsibilities of Amazon EC2, Amazon S3 and Amazon CloudWatch. Sketch how model storage, compute and monitoring connect.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Amazon S3 user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Select Asia Pacific Sydney, ap-southeast-2, for the deployment. Review regional resource availability and keep the project resources in a consistent Region.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credit balance, expiration and eligible usage. Identify compute, EBS storage, public IPv4 and monitoring as separate potential cost sources.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a monthly cost budget and notification plan. Define a practice of stopping the instance between sessions and reviewing retained storage costs.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W03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Defined an AWS architecture centered on EC2, S3 and CloudWatch.</w:t>
      </w:r>
    </w:p>
    <w:p>
      <w:pPr>
        <w:pStyle w:val="ListBullet"/>
        <w:spacing w:after="60"/>
      </w:pPr>
      <w:r>
        <w:t>Selected Sydney as the project Region and reviewed credit constraints.</w:t>
      </w:r>
    </w:p>
    <w:p>
      <w:pPr>
        <w:pStyle w:val="ListBullet"/>
        <w:spacing w:after="60"/>
      </w:pPr>
      <w:r>
        <w:t>Prepared a cost control plan for the learning environment.</w:t>
      </w:r>
    </w:p>
    <w:sectPr w:rsidR="00FC693F" w:rsidRPr="0006063C" w:rsidSect="00034616">
      <w:headerReference w:type="default" r:id="rId9"/>
      <w:footerReference w:type="default" r:id="rId13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03  |  Dates use relative labels such as W03 D1 for Week 3,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AWSEC2/latest/UserGuide/EC2_GetStarted.html" TargetMode="External"/><Relationship Id="rId11" Type="http://schemas.openxmlformats.org/officeDocument/2006/relationships/hyperlink" Target="https://docs.aws.amazon.com/AmazonS3/latest/userguide/Welcome.html" TargetMode="External"/><Relationship Id="rId12" Type="http://schemas.openxmlformats.org/officeDocument/2006/relationships/hyperlink" Target="https://docs.aws.amazon.com/cost-management/latest/userguide/budgets-managing-costs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03 Worklog AWS Foundations and Cost Planning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