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11 Worklog</w:t>
      </w:r>
    </w:p>
    <w:p>
      <w:pPr>
        <w:pStyle w:val="Subtitle"/>
      </w:pPr>
      <w:r>
        <w:t>Secure Public Access to the EC2 Workload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11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Connect the existing domain to the EC2 public address.</w:t>
      </w:r>
    </w:p>
    <w:p>
      <w:pPr>
        <w:pStyle w:val="ListBullet"/>
        <w:spacing w:after="60"/>
      </w:pPr>
      <w:r>
        <w:t>Enable HTTPS access while retaining domain protection.</w:t>
      </w:r>
    </w:p>
    <w:p>
      <w:pPr>
        <w:pStyle w:val="ListBullet"/>
        <w:spacing w:after="60"/>
      </w:pPr>
      <w:r>
        <w:t>Reduce unnecessary public exposure through Security Groups.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DNS path for caycachua.id.vn and identify where its records are managed. Distinguish domain registration from authoritative DNS hosting.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iNET SSL and TLS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Point the root A record to the current EC2 public IPv4. Review why protected DNS can return proxy addresses instead of the origin address.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iNET SSL and TLS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HTTP and HTTPS access requirements on EC2. Permit ports 80 and 443 while keeping SSH restricted to the operator address.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domain certificate and HTTPS connection to EC2. Distinguish the visitor certificate from the origin certificate and the Full Strict setting.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iNET SSL and TLS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Remove unnecessary public application port rules after successful domain access. Verify that the model demonstration remains reachable through the protected domain.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W11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Connected the project domain to the EC2-hosted demonstration.</w:t>
      </w:r>
    </w:p>
    <w:p>
      <w:pPr>
        <w:pStyle w:val="ListBullet"/>
        <w:spacing w:after="60"/>
      </w:pPr>
      <w:r>
        <w:t>Established HTTPS access and reviewed certificate validation at the origin.</w:t>
      </w:r>
    </w:p>
    <w:p>
      <w:pPr>
        <w:pStyle w:val="ListBullet"/>
        <w:spacing w:after="60"/>
      </w:pPr>
      <w:r>
        <w:t>Reduced public exposure by removing unnecessary application port rules.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11  |  Dates use relative labels such as W11 D1 for Week 11,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evelopers.inet.vn/docs/oneportal/oneshield-ssl-tls" TargetMode="External"/><Relationship Id="rId11" Type="http://schemas.openxmlformats.org/officeDocument/2006/relationships/hyperlink" Target="https://docs.aws.amazon.com/AWSEC2/latest/UserGuide/EC2_GetStarted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 Worklog Secure Public Access to the EC2 Workload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