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Week 12 Worklog</w:t>
      </w:r>
    </w:p>
    <w:p>
      <w:pPr>
        <w:pStyle w:val="Subtitle"/>
      </w:pPr>
      <w:r>
        <w:t>AWS Operations Cost Review and Handover</w:t>
      </w:r>
    </w:p>
    <w:p>
      <w:pPr>
        <w:spacing w:after="60"/>
      </w:pPr>
      <w:r>
        <w:t>Project  Tomato leaf disease detection on AWS</w:t>
      </w:r>
    </w:p>
    <w:p>
      <w:pPr>
        <w:spacing w:after="80"/>
      </w:pPr>
      <w:r>
        <w:t>Period  Week 12 working days 1 to 5</w:t>
      </w:r>
    </w:p>
    <w:p>
      <w:pPr>
        <w:pStyle w:val="Heading1"/>
      </w:pPr>
      <w:r>
        <w:t>Week Objectives</w:t>
      </w:r>
    </w:p>
    <w:p>
      <w:pPr>
        <w:pStyle w:val="ListBullet"/>
        <w:spacing w:after="60"/>
      </w:pPr>
      <w:r>
        <w:t>Review the completed AWS environment and operating procedures.</w:t>
      </w:r>
    </w:p>
    <w:p>
      <w:pPr>
        <w:pStyle w:val="ListBullet"/>
        <w:spacing w:after="60"/>
      </w:pPr>
      <w:r>
        <w:t>Prepare cost-saving Stop and Start instructions.</w:t>
      </w:r>
    </w:p>
    <w:p>
      <w:pPr>
        <w:pStyle w:val="ListBullet"/>
        <w:spacing w:after="60"/>
      </w:pPr>
      <w:r>
        <w:t>Consolidate cloud evidence, worklogs and final assessment.</w:t>
      </w:r>
    </w:p>
    <w:p>
      <w:pPr>
        <w:pStyle w:val="Heading1"/>
      </w:pPr>
      <w:r>
        <w:t>Tasks to be carried out this week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619"/>
        <w:gridCol w:w="4435"/>
        <w:gridCol w:w="1267"/>
        <w:gridCol w:w="1267"/>
        <w:gridCol w:w="2779"/>
      </w:tblGrid>
      <w:tr>
        <w:trPr>
          <w:tblHeader/>
          <w:cantSplit/>
        </w:trPr>
        <w:tc>
          <w:tcPr>
            <w:tcW w:type="dxa" w:w="619"/>
            <w:vAlign w:val="center"/>
            <w:tcMar>
              <w:top w:w="95" w:type="dxa"/>
              <w:bottom w:w="95" w:type="dxa"/>
              <w:left w:w="85" w:type="dxa"/>
              <w:right w:w="85" w:type="dxa"/>
            </w:tcMar>
            <w:shd w:fill="E8EEF4"/>
          </w:tcPr>
          <w:p>
            <w:pPr>
              <w:spacing w:after="0" w:line="250" w:lineRule="auto"/>
              <w:jc w:val="center"/>
            </w:pPr>
            <w:r>
              <w:rPr>
                <w:b/>
                <w:sz w:val="19"/>
              </w:rPr>
              <w:t>Day</w:t>
            </w:r>
          </w:p>
        </w:tc>
        <w:tc>
          <w:tcPr>
            <w:tcW w:type="dxa" w:w="4435"/>
            <w:vAlign w:val="center"/>
            <w:tcMar>
              <w:top w:w="95" w:type="dxa"/>
              <w:bottom w:w="95" w:type="dxa"/>
              <w:left w:w="85" w:type="dxa"/>
              <w:right w:w="85" w:type="dxa"/>
            </w:tcMar>
            <w:shd w:fill="E8EEF4"/>
          </w:tcPr>
          <w:p>
            <w:pPr>
              <w:spacing w:after="0" w:line="250" w:lineRule="auto"/>
            </w:pPr>
            <w:r>
              <w:rPr>
                <w:b/>
                <w:sz w:val="19"/>
              </w:rPr>
              <w:t>Task</w:t>
            </w:r>
          </w:p>
        </w:tc>
        <w:tc>
          <w:tcPr>
            <w:tcW w:type="dxa" w:w="1267"/>
            <w:vAlign w:val="center"/>
            <w:tcMar>
              <w:top w:w="95" w:type="dxa"/>
              <w:bottom w:w="95" w:type="dxa"/>
              <w:left w:w="85" w:type="dxa"/>
              <w:right w:w="85" w:type="dxa"/>
            </w:tcMar>
            <w:shd w:fill="E8EEF4"/>
          </w:tcPr>
          <w:p>
            <w:pPr>
              <w:spacing w:after="0" w:line="250" w:lineRule="auto"/>
              <w:jc w:val="center"/>
            </w:pPr>
            <w:r>
              <w:rPr>
                <w:b/>
                <w:sz w:val="19"/>
              </w:rPr>
              <w:t>Start Date</w:t>
            </w:r>
          </w:p>
        </w:tc>
        <w:tc>
          <w:tcPr>
            <w:tcW w:type="dxa" w:w="1267"/>
            <w:vAlign w:val="center"/>
            <w:tcMar>
              <w:top w:w="95" w:type="dxa"/>
              <w:bottom w:w="95" w:type="dxa"/>
              <w:left w:w="85" w:type="dxa"/>
              <w:right w:w="85" w:type="dxa"/>
            </w:tcMar>
            <w:shd w:fill="E8EEF4"/>
          </w:tcPr>
          <w:p>
            <w:pPr>
              <w:spacing w:after="0" w:line="250" w:lineRule="auto"/>
              <w:jc w:val="center"/>
            </w:pPr>
            <w:r>
              <w:rPr>
                <w:b/>
                <w:sz w:val="19"/>
              </w:rPr>
              <w:t>Completion Date</w:t>
            </w:r>
          </w:p>
        </w:tc>
        <w:tc>
          <w:tcPr>
            <w:tcW w:type="dxa" w:w="2779"/>
            <w:vAlign w:val="center"/>
            <w:tcMar>
              <w:top w:w="95" w:type="dxa"/>
              <w:bottom w:w="95" w:type="dxa"/>
              <w:left w:w="85" w:type="dxa"/>
              <w:right w:w="85" w:type="dxa"/>
            </w:tcMar>
            <w:shd w:fill="E8EEF4"/>
          </w:tcPr>
          <w:p>
            <w:pPr>
              <w:spacing w:after="0" w:line="250" w:lineRule="auto"/>
            </w:pPr>
            <w:r>
              <w:rPr>
                <w:b/>
                <w:sz w:val="19"/>
              </w:rPr>
              <w:t>Reference Material</w:t>
            </w:r>
          </w:p>
        </w:tc>
      </w:tr>
      <w:tr>
        <w:trPr>
          <w:cantSplit/>
        </w:trPr>
        <w:tc>
          <w:tcPr>
            <w:tcW w:type="dxa" w:w="619"/>
            <w:vAlign w:val="center"/>
            <w:tcMar>
              <w:top w:w="95" w:type="dxa"/>
              <w:bottom w:w="95" w:type="dxa"/>
              <w:left w:w="85" w:type="dxa"/>
              <w:right w:w="85" w:type="dxa"/>
            </w:tcMar>
            <w:shd w:fill="FFFFFF"/>
          </w:tcPr>
          <w:p>
            <w:pPr>
              <w:spacing w:after="0" w:line="250" w:lineRule="auto"/>
              <w:jc w:val="center"/>
            </w:pPr>
            <w:r>
              <w:rPr>
                <w:b w:val="0"/>
                <w:sz w:val="19"/>
              </w:rPr>
              <w:t>1</w:t>
            </w:r>
          </w:p>
        </w:tc>
        <w:tc>
          <w:tcPr>
            <w:tcW w:type="dxa" w:w="4435"/>
            <w:vAlign w:val="center"/>
            <w:tcMar>
              <w:top w:w="95" w:type="dxa"/>
              <w:bottom w:w="95" w:type="dxa"/>
              <w:left w:w="85" w:type="dxa"/>
              <w:right w:w="85" w:type="dxa"/>
            </w:tcMar>
            <w:shd w:fill="FFFFFF"/>
          </w:tcPr>
          <w:p>
            <w:pPr>
              <w:spacing w:after="0" w:line="250" w:lineRule="auto"/>
            </w:pPr>
            <w:r>
              <w:rPr>
                <w:b w:val="0"/>
                <w:sz w:val="19"/>
              </w:rPr>
              <w:t>Review the EC2, S3 and CloudWatch resource inventory. Record the purpose, Region and operational dependency of each retained resource.</w:t>
            </w:r>
          </w:p>
        </w:tc>
        <w:tc>
          <w:tcPr>
            <w:tcW w:type="dxa" w:w="1267"/>
            <w:vAlign w:val="center"/>
            <w:tcMar>
              <w:top w:w="95" w:type="dxa"/>
              <w:bottom w:w="95" w:type="dxa"/>
              <w:left w:w="85" w:type="dxa"/>
              <w:right w:w="85" w:type="dxa"/>
            </w:tcMar>
            <w:shd w:fill="FFFFFF"/>
          </w:tcPr>
          <w:p>
            <w:pPr>
              <w:spacing w:after="0" w:line="250" w:lineRule="auto"/>
              <w:jc w:val="center"/>
            </w:pPr>
            <w:r>
              <w:rPr>
                <w:b w:val="0"/>
                <w:sz w:val="19"/>
              </w:rPr>
              <w:t>W12 D1</w:t>
            </w:r>
          </w:p>
        </w:tc>
        <w:tc>
          <w:tcPr>
            <w:tcW w:type="dxa" w:w="1267"/>
            <w:vAlign w:val="center"/>
            <w:tcMar>
              <w:top w:w="95" w:type="dxa"/>
              <w:bottom w:w="95" w:type="dxa"/>
              <w:left w:w="85" w:type="dxa"/>
              <w:right w:w="85" w:type="dxa"/>
            </w:tcMar>
            <w:shd w:fill="FFFFFF"/>
          </w:tcPr>
          <w:p>
            <w:pPr>
              <w:spacing w:after="0" w:line="250" w:lineRule="auto"/>
              <w:jc w:val="center"/>
            </w:pPr>
            <w:r>
              <w:rPr>
                <w:b w:val="0"/>
                <w:sz w:val="19"/>
              </w:rPr>
              <w:t>W12 D1</w:t>
            </w:r>
          </w:p>
        </w:tc>
        <w:tc>
          <w:tcPr>
            <w:tcW w:type="dxa" w:w="2779"/>
            <w:vAlign w:val="center"/>
            <w:tcMar>
              <w:top w:w="95" w:type="dxa"/>
              <w:bottom w:w="95" w:type="dxa"/>
              <w:left w:w="85" w:type="dxa"/>
              <w:right w:w="85" w:type="dxa"/>
            </w:tcMar>
            <w:shd w:fill="FFFFFF"/>
          </w:tcPr>
          <w:p>
            <w:pPr>
              <w:spacing w:after="0" w:line="250" w:lineRule="auto"/>
            </w:pPr>
            <w:r>
              <w:rPr>
                <w:b w:val="0"/>
                <w:sz w:val="19"/>
              </w:rPr>
            </w:r>
            <w:hyperlink r:id="rId10">
              <w:r>
                <w:rPr>
                  <w:color w:val="365F91"/>
                  <w:sz w:val="18"/>
                </w:rPr>
                <w:t>Amazon EC2 getting started</w:t>
              </w:r>
            </w:hyperlink>
          </w:p>
        </w:tc>
      </w:tr>
      <w:tr>
        <w:trPr>
          <w:cantSplit/>
        </w:trPr>
        <w:tc>
          <w:tcPr>
            <w:tcW w:type="dxa" w:w="619"/>
            <w:vAlign w:val="center"/>
            <w:tcMar>
              <w:top w:w="95" w:type="dxa"/>
              <w:bottom w:w="95" w:type="dxa"/>
              <w:left w:w="85" w:type="dxa"/>
              <w:right w:w="85" w:type="dxa"/>
            </w:tcMar>
            <w:shd w:fill="F7F8FA"/>
          </w:tcPr>
          <w:p>
            <w:pPr>
              <w:spacing w:after="0" w:line="250" w:lineRule="auto"/>
              <w:jc w:val="center"/>
            </w:pPr>
            <w:r>
              <w:rPr>
                <w:b w:val="0"/>
                <w:sz w:val="19"/>
              </w:rPr>
              <w:t>2</w:t>
            </w:r>
          </w:p>
        </w:tc>
        <w:tc>
          <w:tcPr>
            <w:tcW w:type="dxa" w:w="4435"/>
            <w:vAlign w:val="center"/>
            <w:tcMar>
              <w:top w:w="95" w:type="dxa"/>
              <w:bottom w:w="95" w:type="dxa"/>
              <w:left w:w="85" w:type="dxa"/>
              <w:right w:w="85" w:type="dxa"/>
            </w:tcMar>
            <w:shd w:fill="F7F8FA"/>
          </w:tcPr>
          <w:p>
            <w:pPr>
              <w:spacing w:after="0" w:line="250" w:lineRule="auto"/>
            </w:pPr>
            <w:r>
              <w:rPr>
                <w:b w:val="0"/>
                <w:sz w:val="19"/>
              </w:rPr>
              <w:t>Review billing, credit usage and the monthly cost budget. Identify storage and monitoring charges that can continue while EC2 is stopped.</w:t>
            </w:r>
          </w:p>
        </w:tc>
        <w:tc>
          <w:tcPr>
            <w:tcW w:type="dxa" w:w="1267"/>
            <w:vAlign w:val="center"/>
            <w:tcMar>
              <w:top w:w="95" w:type="dxa"/>
              <w:bottom w:w="95" w:type="dxa"/>
              <w:left w:w="85" w:type="dxa"/>
              <w:right w:w="85" w:type="dxa"/>
            </w:tcMar>
            <w:shd w:fill="F7F8FA"/>
          </w:tcPr>
          <w:p>
            <w:pPr>
              <w:spacing w:after="0" w:line="250" w:lineRule="auto"/>
              <w:jc w:val="center"/>
            </w:pPr>
            <w:r>
              <w:rPr>
                <w:b w:val="0"/>
                <w:sz w:val="19"/>
              </w:rPr>
              <w:t>W12 D2</w:t>
            </w:r>
          </w:p>
        </w:tc>
        <w:tc>
          <w:tcPr>
            <w:tcW w:type="dxa" w:w="1267"/>
            <w:vAlign w:val="center"/>
            <w:tcMar>
              <w:top w:w="95" w:type="dxa"/>
              <w:bottom w:w="95" w:type="dxa"/>
              <w:left w:w="85" w:type="dxa"/>
              <w:right w:w="85" w:type="dxa"/>
            </w:tcMar>
            <w:shd w:fill="F7F8FA"/>
          </w:tcPr>
          <w:p>
            <w:pPr>
              <w:spacing w:after="0" w:line="250" w:lineRule="auto"/>
              <w:jc w:val="center"/>
            </w:pPr>
            <w:r>
              <w:rPr>
                <w:b w:val="0"/>
                <w:sz w:val="19"/>
              </w:rPr>
              <w:t>W12 D2</w:t>
            </w:r>
          </w:p>
        </w:tc>
        <w:tc>
          <w:tcPr>
            <w:tcW w:type="dxa" w:w="2779"/>
            <w:vAlign w:val="center"/>
            <w:tcMar>
              <w:top w:w="95" w:type="dxa"/>
              <w:bottom w:w="95" w:type="dxa"/>
              <w:left w:w="85" w:type="dxa"/>
              <w:right w:w="85" w:type="dxa"/>
            </w:tcMar>
            <w:shd w:fill="F7F8FA"/>
          </w:tcPr>
          <w:p>
            <w:pPr>
              <w:spacing w:after="0" w:line="250" w:lineRule="auto"/>
            </w:pPr>
            <w:r>
              <w:rPr>
                <w:b w:val="0"/>
                <w:sz w:val="19"/>
              </w:rPr>
            </w:r>
            <w:hyperlink r:id="rId11">
              <w:r>
                <w:rPr>
                  <w:color w:val="365F91"/>
                  <w:sz w:val="18"/>
                </w:rPr>
                <w:t>AWS Budgets guide</w:t>
              </w:r>
            </w:hyperlink>
          </w:p>
        </w:tc>
      </w:tr>
      <w:tr>
        <w:trPr>
          <w:cantSplit/>
        </w:trPr>
        <w:tc>
          <w:tcPr>
            <w:tcW w:type="dxa" w:w="619"/>
            <w:vAlign w:val="center"/>
            <w:tcMar>
              <w:top w:w="95" w:type="dxa"/>
              <w:bottom w:w="95" w:type="dxa"/>
              <w:left w:w="85" w:type="dxa"/>
              <w:right w:w="85" w:type="dxa"/>
            </w:tcMar>
            <w:shd w:fill="FFFFFF"/>
          </w:tcPr>
          <w:p>
            <w:pPr>
              <w:spacing w:after="0" w:line="250" w:lineRule="auto"/>
              <w:jc w:val="center"/>
            </w:pPr>
            <w:r>
              <w:rPr>
                <w:b w:val="0"/>
                <w:sz w:val="19"/>
              </w:rPr>
              <w:t>3</w:t>
            </w:r>
          </w:p>
        </w:tc>
        <w:tc>
          <w:tcPr>
            <w:tcW w:type="dxa" w:w="4435"/>
            <w:vAlign w:val="center"/>
            <w:tcMar>
              <w:top w:w="95" w:type="dxa"/>
              <w:bottom w:w="95" w:type="dxa"/>
              <w:left w:w="85" w:type="dxa"/>
              <w:right w:w="85" w:type="dxa"/>
            </w:tcMar>
            <w:shd w:fill="FFFFFF"/>
          </w:tcPr>
          <w:p>
            <w:pPr>
              <w:spacing w:after="0" w:line="250" w:lineRule="auto"/>
            </w:pPr>
            <w:r>
              <w:rPr>
                <w:b w:val="0"/>
                <w:sz w:val="19"/>
              </w:rPr>
              <w:t>Prepare an EC2 Stop and Start checklist. Include status checks, the current public IPv4, DNS record updates and a model prediction check.</w:t>
            </w:r>
          </w:p>
        </w:tc>
        <w:tc>
          <w:tcPr>
            <w:tcW w:type="dxa" w:w="1267"/>
            <w:vAlign w:val="center"/>
            <w:tcMar>
              <w:top w:w="95" w:type="dxa"/>
              <w:bottom w:w="95" w:type="dxa"/>
              <w:left w:w="85" w:type="dxa"/>
              <w:right w:w="85" w:type="dxa"/>
            </w:tcMar>
            <w:shd w:fill="FFFFFF"/>
          </w:tcPr>
          <w:p>
            <w:pPr>
              <w:spacing w:after="0" w:line="250" w:lineRule="auto"/>
              <w:jc w:val="center"/>
            </w:pPr>
            <w:r>
              <w:rPr>
                <w:b w:val="0"/>
                <w:sz w:val="19"/>
              </w:rPr>
              <w:t>W12 D3</w:t>
            </w:r>
          </w:p>
        </w:tc>
        <w:tc>
          <w:tcPr>
            <w:tcW w:type="dxa" w:w="1267"/>
            <w:vAlign w:val="center"/>
            <w:tcMar>
              <w:top w:w="95" w:type="dxa"/>
              <w:bottom w:w="95" w:type="dxa"/>
              <w:left w:w="85" w:type="dxa"/>
              <w:right w:w="85" w:type="dxa"/>
            </w:tcMar>
            <w:shd w:fill="FFFFFF"/>
          </w:tcPr>
          <w:p>
            <w:pPr>
              <w:spacing w:after="0" w:line="250" w:lineRule="auto"/>
              <w:jc w:val="center"/>
            </w:pPr>
            <w:r>
              <w:rPr>
                <w:b w:val="0"/>
                <w:sz w:val="19"/>
              </w:rPr>
              <w:t>W12 D3</w:t>
            </w:r>
          </w:p>
        </w:tc>
        <w:tc>
          <w:tcPr>
            <w:tcW w:type="dxa" w:w="2779"/>
            <w:vAlign w:val="center"/>
            <w:tcMar>
              <w:top w:w="95" w:type="dxa"/>
              <w:bottom w:w="95" w:type="dxa"/>
              <w:left w:w="85" w:type="dxa"/>
              <w:right w:w="85" w:type="dxa"/>
            </w:tcMar>
            <w:shd w:fill="FFFFFF"/>
          </w:tcPr>
          <w:p>
            <w:pPr>
              <w:spacing w:after="0" w:line="250" w:lineRule="auto"/>
            </w:pPr>
            <w:r>
              <w:rPr>
                <w:b w:val="0"/>
                <w:sz w:val="19"/>
              </w:rPr>
            </w:r>
            <w:hyperlink r:id="rId12">
              <w:r>
                <w:rPr>
                  <w:color w:val="365F91"/>
                  <w:sz w:val="18"/>
                </w:rPr>
                <w:t>EC2 stop and start guide</w:t>
              </w:r>
            </w:hyperlink>
          </w:p>
        </w:tc>
      </w:tr>
      <w:tr>
        <w:trPr>
          <w:cantSplit/>
        </w:trPr>
        <w:tc>
          <w:tcPr>
            <w:tcW w:type="dxa" w:w="619"/>
            <w:vAlign w:val="center"/>
            <w:tcMar>
              <w:top w:w="95" w:type="dxa"/>
              <w:bottom w:w="95" w:type="dxa"/>
              <w:left w:w="85" w:type="dxa"/>
              <w:right w:w="85" w:type="dxa"/>
            </w:tcMar>
            <w:shd w:fill="F7F8FA"/>
          </w:tcPr>
          <w:p>
            <w:pPr>
              <w:spacing w:after="0" w:line="250" w:lineRule="auto"/>
              <w:jc w:val="center"/>
            </w:pPr>
            <w:r>
              <w:rPr>
                <w:b w:val="0"/>
                <w:sz w:val="19"/>
              </w:rPr>
              <w:t>4</w:t>
            </w:r>
          </w:p>
        </w:tc>
        <w:tc>
          <w:tcPr>
            <w:tcW w:type="dxa" w:w="4435"/>
            <w:vAlign w:val="center"/>
            <w:tcMar>
              <w:top w:w="95" w:type="dxa"/>
              <w:bottom w:w="95" w:type="dxa"/>
              <w:left w:w="85" w:type="dxa"/>
              <w:right w:w="85" w:type="dxa"/>
            </w:tcMar>
            <w:shd w:fill="F7F8FA"/>
          </w:tcPr>
          <w:p>
            <w:pPr>
              <w:spacing w:after="0" w:line="250" w:lineRule="auto"/>
            </w:pPr>
            <w:r>
              <w:rPr>
                <w:b w:val="0"/>
                <w:sz w:val="19"/>
              </w:rPr>
              <w:t>Review IAM policies, Security Groups, S3 access and CloudWatch retention. Separate resources to retain for the demonstration from resources eligible for cleanup.</w:t>
            </w:r>
          </w:p>
        </w:tc>
        <w:tc>
          <w:tcPr>
            <w:tcW w:type="dxa" w:w="1267"/>
            <w:vAlign w:val="center"/>
            <w:tcMar>
              <w:top w:w="95" w:type="dxa"/>
              <w:bottom w:w="95" w:type="dxa"/>
              <w:left w:w="85" w:type="dxa"/>
              <w:right w:w="85" w:type="dxa"/>
            </w:tcMar>
            <w:shd w:fill="F7F8FA"/>
          </w:tcPr>
          <w:p>
            <w:pPr>
              <w:spacing w:after="0" w:line="250" w:lineRule="auto"/>
              <w:jc w:val="center"/>
            </w:pPr>
            <w:r>
              <w:rPr>
                <w:b w:val="0"/>
                <w:sz w:val="19"/>
              </w:rPr>
              <w:t>W12 D4</w:t>
            </w:r>
          </w:p>
        </w:tc>
        <w:tc>
          <w:tcPr>
            <w:tcW w:type="dxa" w:w="1267"/>
            <w:vAlign w:val="center"/>
            <w:tcMar>
              <w:top w:w="95" w:type="dxa"/>
              <w:bottom w:w="95" w:type="dxa"/>
              <w:left w:w="85" w:type="dxa"/>
              <w:right w:w="85" w:type="dxa"/>
            </w:tcMar>
            <w:shd w:fill="F7F8FA"/>
          </w:tcPr>
          <w:p>
            <w:pPr>
              <w:spacing w:after="0" w:line="250" w:lineRule="auto"/>
              <w:jc w:val="center"/>
            </w:pPr>
            <w:r>
              <w:rPr>
                <w:b w:val="0"/>
                <w:sz w:val="19"/>
              </w:rPr>
              <w:t>W12 D4</w:t>
            </w:r>
          </w:p>
        </w:tc>
        <w:tc>
          <w:tcPr>
            <w:tcW w:type="dxa" w:w="2779"/>
            <w:vAlign w:val="center"/>
            <w:tcMar>
              <w:top w:w="95" w:type="dxa"/>
              <w:bottom w:w="95" w:type="dxa"/>
              <w:left w:w="85" w:type="dxa"/>
              <w:right w:w="85" w:type="dxa"/>
            </w:tcMar>
            <w:shd w:fill="F7F8FA"/>
          </w:tcPr>
          <w:p>
            <w:pPr>
              <w:spacing w:after="0" w:line="250" w:lineRule="auto"/>
            </w:pPr>
            <w:r>
              <w:rPr>
                <w:b w:val="0"/>
                <w:sz w:val="19"/>
              </w:rPr>
            </w:r>
            <w:hyperlink r:id="rId13">
              <w:r>
                <w:rPr>
                  <w:color w:val="365F91"/>
                  <w:sz w:val="18"/>
                </w:rPr>
                <w:t>AWS IAM best practices</w:t>
              </w:r>
            </w:hyperlink>
          </w:p>
        </w:tc>
      </w:tr>
      <w:tr>
        <w:trPr>
          <w:cantSplit/>
        </w:trPr>
        <w:tc>
          <w:tcPr>
            <w:tcW w:type="dxa" w:w="619"/>
            <w:vAlign w:val="center"/>
            <w:tcMar>
              <w:top w:w="95" w:type="dxa"/>
              <w:bottom w:w="95" w:type="dxa"/>
              <w:left w:w="85" w:type="dxa"/>
              <w:right w:w="85" w:type="dxa"/>
            </w:tcMar>
            <w:shd w:fill="FFFFFF"/>
          </w:tcPr>
          <w:p>
            <w:pPr>
              <w:spacing w:after="0" w:line="250" w:lineRule="auto"/>
              <w:jc w:val="center"/>
            </w:pPr>
            <w:r>
              <w:rPr>
                <w:b w:val="0"/>
                <w:sz w:val="19"/>
              </w:rPr>
              <w:t>5</w:t>
            </w:r>
          </w:p>
        </w:tc>
        <w:tc>
          <w:tcPr>
            <w:tcW w:type="dxa" w:w="4435"/>
            <w:vAlign w:val="center"/>
            <w:tcMar>
              <w:top w:w="95" w:type="dxa"/>
              <w:bottom w:w="95" w:type="dxa"/>
              <w:left w:w="85" w:type="dxa"/>
              <w:right w:w="85" w:type="dxa"/>
            </w:tcMar>
            <w:shd w:fill="FFFFFF"/>
          </w:tcPr>
          <w:p>
            <w:pPr>
              <w:spacing w:after="0" w:line="250" w:lineRule="auto"/>
            </w:pPr>
            <w:r>
              <w:rPr>
                <w:b w:val="0"/>
                <w:sz w:val="19"/>
              </w:rPr>
              <w:t>Consolidate the AWS architecture, troubleshooting lessons and operational evidence. Finalize the workshop report, separate self-assessment and twelve weekly worklogs.</w:t>
            </w:r>
          </w:p>
        </w:tc>
        <w:tc>
          <w:tcPr>
            <w:tcW w:type="dxa" w:w="1267"/>
            <w:vAlign w:val="center"/>
            <w:tcMar>
              <w:top w:w="95" w:type="dxa"/>
              <w:bottom w:w="95" w:type="dxa"/>
              <w:left w:w="85" w:type="dxa"/>
              <w:right w:w="85" w:type="dxa"/>
            </w:tcMar>
            <w:shd w:fill="FFFFFF"/>
          </w:tcPr>
          <w:p>
            <w:pPr>
              <w:spacing w:after="0" w:line="250" w:lineRule="auto"/>
              <w:jc w:val="center"/>
            </w:pPr>
            <w:r>
              <w:rPr>
                <w:b w:val="0"/>
                <w:sz w:val="19"/>
              </w:rPr>
              <w:t>W12 D5</w:t>
            </w:r>
          </w:p>
        </w:tc>
        <w:tc>
          <w:tcPr>
            <w:tcW w:type="dxa" w:w="1267"/>
            <w:vAlign w:val="center"/>
            <w:tcMar>
              <w:top w:w="95" w:type="dxa"/>
              <w:bottom w:w="95" w:type="dxa"/>
              <w:left w:w="85" w:type="dxa"/>
              <w:right w:w="85" w:type="dxa"/>
            </w:tcMar>
            <w:shd w:fill="FFFFFF"/>
          </w:tcPr>
          <w:p>
            <w:pPr>
              <w:spacing w:after="0" w:line="250" w:lineRule="auto"/>
              <w:jc w:val="center"/>
            </w:pPr>
            <w:r>
              <w:rPr>
                <w:b w:val="0"/>
                <w:sz w:val="19"/>
              </w:rPr>
              <w:t>W12 D5</w:t>
            </w:r>
          </w:p>
        </w:tc>
        <w:tc>
          <w:tcPr>
            <w:tcW w:type="dxa" w:w="2779"/>
            <w:vAlign w:val="center"/>
            <w:tcMar>
              <w:top w:w="95" w:type="dxa"/>
              <w:bottom w:w="95" w:type="dxa"/>
              <w:left w:w="85" w:type="dxa"/>
              <w:right w:w="85" w:type="dxa"/>
            </w:tcMar>
            <w:shd w:fill="FFFFFF"/>
          </w:tcPr>
          <w:p>
            <w:pPr>
              <w:spacing w:after="0" w:line="250" w:lineRule="auto"/>
            </w:pPr>
            <w:r>
              <w:rPr>
                <w:b w:val="0"/>
                <w:sz w:val="19"/>
              </w:rPr>
            </w:r>
            <w:hyperlink r:id="rId11">
              <w:r>
                <w:rPr>
                  <w:color w:val="365F91"/>
                  <w:sz w:val="18"/>
                </w:rPr>
                <w:t>AWS Budgets guide</w:t>
              </w:r>
            </w:hyperlink>
          </w:p>
        </w:tc>
      </w:tr>
    </w:tbl>
    <w:p>
      <w:pPr>
        <w:pStyle w:val="Heading1"/>
      </w:pPr>
      <w:r>
        <w:t>Achievements</w:t>
      </w:r>
    </w:p>
    <w:p>
      <w:pPr>
        <w:pStyle w:val="ListBullet"/>
        <w:spacing w:after="60"/>
      </w:pPr>
      <w:r>
        <w:t>Prepared an operational handover covering compute, storage and monitoring.</w:t>
      </w:r>
    </w:p>
    <w:p>
      <w:pPr>
        <w:pStyle w:val="ListBullet"/>
        <w:spacing w:after="60"/>
      </w:pPr>
      <w:r>
        <w:t>Documented cost-saving lifecycle steps and the DNS update requirement.</w:t>
      </w:r>
    </w:p>
    <w:p>
      <w:pPr>
        <w:pStyle w:val="ListBullet"/>
        <w:spacing w:after="60"/>
      </w:pPr>
      <w:r>
        <w:t>Consolidated the project report, self-assessment and weekly worklog records.</w:t>
      </w:r>
    </w:p>
    <w:sectPr w:rsidR="00FC693F" w:rsidRPr="0006063C" w:rsidSect="00034616">
      <w:headerReference w:type="default" r:id="rId9"/>
      <w:footerReference w:type="default" r:id="rId14"/>
      <w:pgSz w:w="12240" w:h="15840"/>
      <w:pgMar w:top="864" w:right="936" w:bottom="864" w:left="936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Week 12  |  Dates use relative labels such as W12 D1 for Week 12, Day 1.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000000"/>
        <w:sz w:val="16"/>
      </w:rPr>
      <w:t>OJT WEEKLY WORKLOG  |  AWS PLANT DISEASE DETECTION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2" w:lineRule="auto"/>
    </w:pPr>
    <w:rPr>
      <w:rFonts w:ascii="Arial" w:hAnsi="Arial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 w:line="252" w:lineRule="auto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80" w:line="252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20" w:line="252" w:lineRule="auto"/>
    </w:pPr>
    <w:rPr>
      <w:rFonts w:asciiTheme="majorHAnsi" w:eastAsiaTheme="majorEastAsia" w:hAnsiTheme="majorHAnsi" w:cstheme="majorBidi" w:ascii="Arial" w:hAnsi="Arial"/>
      <w:i/>
      <w:iCs/>
      <w:color w:val="000000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yperlink" Target="https://docs.aws.amazon.com/AWSEC2/latest/UserGuide/EC2_GetStarted.html" TargetMode="External"/><Relationship Id="rId11" Type="http://schemas.openxmlformats.org/officeDocument/2006/relationships/hyperlink" Target="https://docs.aws.amazon.com/cost-management/latest/userguide/budgets-managing-costs.html" TargetMode="External"/><Relationship Id="rId12" Type="http://schemas.openxmlformats.org/officeDocument/2006/relationships/hyperlink" Target="https://docs.aws.amazon.com/AWSEC2/latest/UserGuide/Stop_Start.html" TargetMode="External"/><Relationship Id="rId13" Type="http://schemas.openxmlformats.org/officeDocument/2006/relationships/hyperlink" Target="https://docs.aws.amazon.com/IAM/latest/UserGuide/best-practices.html" TargetMode="Externa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Week 12 Worklog AWS Operations Cost Review and Handover</dc:title>
  <dc:subject>OJT worklog for data preparation, model training and AWS services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