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参考答案与评分标准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/>
          <w:sz w:val="21"/>
        </w:rPr>
        <w:t>衍生品、市场微观结构与统计推断　期末试卷</w:t>
      </w:r>
    </w:p>
    <w:p>
      <w:pPr>
        <w:spacing w:after="160"/>
        <w:ind w:left="0"/>
      </w:pPr>
      <w:r>
        <w:rPr>
          <w:rFonts w:ascii="Times New Roman" w:hAnsi="Times New Roman" w:eastAsia="宋体"/>
          <w:b/>
          <w:i/>
          <w:sz w:val="21"/>
        </w:rPr>
        <w:t>⚠️ 建议先完整做完试卷再看本文件。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一、单项选择题（36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1. C     2. B     3. B     4. A     5. B     6. B</w:t>
        <w:br/>
        <w:t xml:space="preserve">  7. A     8. B     9. B    10. B    11. B    12. B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1｜C　资金费是**离散事件**，只在结算时点划转。未跨越结算 → 收支为 0。A 是把离散量当连续流折算，这是最常见的错误；B 是误以为「进入某费率状态」就产生权利。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2｜B　必须先归一化到同一时间基准。A 所：0.0273% × (24/8) × 365 = 29.89%；B 所：0.0148% × (24/4) × 365 = 32.41%。**单期费率之间不可直接比较。** D 的说法过强——归一化之后完全可比。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3｜B　随机游走外推：2.27 × √(168/8) = 2.27 × 4.58 = 10.40，实测仅 3.07，**高估 3.4 倍**。而 OU 上界 √2 × σ∞ = √2 × 2.19 = 3.10，与实测差 1%。方差饱和是均值回归的特征。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4｜A　资金费为正 → 多头付、空头收。你持永续空头 → 收取。现货腿不涉及资金费。D 是干扰项：费率符号已给定，不需要再从升贴水去推。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5｜B　「两半比值小」= 这个价差一直没变 = 一直是那个小数。而机会恰恰来自「变了」。该判据**与使用目标负相关**。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6｜B　总额 = 各笔之和 = 笔数 × 均值，这是恒等式，与分布形态无关。A 的「稳健」在这里是误用——中位数稳健地估计**典型值**，但总额问的不是典型值。C 截尾会系统性低估厚尾分布的总额，因为这门生意的收入**就在那 1% 里**。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7｜A　h* = ρ·(σ_S/σ_F)。ρ=1 且 σ_S=σ_F 时 h*=1，且此时对冲完美、基差风险为零。C 方向反了：ρ 越低 h* 越**低**。B、D 都忽略了 ρ。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8｜B　「同时发出」≠ 原子。两个独立撮合引擎之间不存在共同的事务边界，延迟再低也只是缩小窗口而非消除。**我们实际踩过这个坑：单腿成交。**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9｜B　必须先算基准率。若「任意喂价更新」本身在几乎所有 12 区块窗口都会出现，则基准率接近 100%，36.8% 的命中率**低于随机**。A、C、D 都是在没有对照的前提下继续加工同一个无信息量的指标。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10｜B　标记价格 = 指数价格 + 溢价指数（各所公式略有差异），目的正是防止单所插针触发连环清算。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11｜B　关键不在费率或深度，而在于**单腿暴露从随机量变成了确定的下界**——这意味着风险可以被定量，也意味着不能靠「运气好」规避。D 错在：持有期长不改变**建仓瞬间**的暴露。</w:t>
      </w:r>
    </w:p>
    <w:p>
      <w:pPr>
        <w:spacing w:after="80"/>
        <w:ind w:left="227"/>
      </w:pPr>
      <w:r>
        <w:rPr>
          <w:rFonts w:ascii="Times New Roman" w:hAnsi="Times New Roman" w:eastAsia="宋体"/>
          <w:b w:val="0"/>
          <w:i w:val="0"/>
          <w:sz w:val="21"/>
        </w:rPr>
        <w:t>12｜B　1σ = 2.05 bps，即使 2σ 也只有 4.1 bps，均小于 8 bps 往返成本。A 的错误在于：**均值为正的常数无法被收割**——你买进也卖出，赚的是偏离而非水平。C 给出的阈值宽度不足以覆盖成本。D 把低波动误当低风险，忽略了成本地板。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二、判断正误并说明理由（24 分）</w:t>
      </w:r>
    </w:p>
    <w:p>
      <w:pPr>
        <w:spacing w:after="120"/>
        <w:ind w:left="0"/>
      </w:pPr>
      <w:r>
        <w:rPr>
          <w:rFonts w:ascii="Times New Roman" w:hAnsi="Times New Roman" w:eastAsia="宋体"/>
          <w:b w:val="0"/>
          <w:i/>
          <w:sz w:val="21"/>
        </w:rPr>
        <w:t>评分：判断 1 分，理由 3 分。指出「错在哪」得 2 分，给出正确表述再得 1 分。</w:t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sz w:val="21"/>
        </w:rPr>
        <w:t>13.　✗ 错误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基差不是唯一风险。至少还有：① **资金费符号反转**——carry 本身会消失甚至倒欠；② **单所强平**——两所保证金独立，亏损腿可能被强平而盈利腿完好，此时对冲结构瞬间破坏；③ 交易所对手方风险、提币冻结；④ ADL 自动减仓；⑤ 平仓时的滑点与成本。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正确表述：在两腿都在的前提下，**价格方向性风险**被对冲掉了，但基差、资金费、保证金与对手方风险都还在。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sz w:val="21"/>
        </w:rPr>
        <w:t>14.　✗ 错误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回本天数 ≠ 建议持有期。8 天时累计资金费恰好等于手续费，但基差噪音的标准差约 3.1 bps（已饱和），与 8 bps 成本同量级——**此刻净盈亏是 0 ± 3.1 bps，有相当概率仍为负**。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正确表述：持有期应满足「累计资金费 ≥ 手续费 + k×基差噪音」（k 取 2 左右），且必须按**结算次数**取整，不能用连续折算。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sz w:val="21"/>
        </w:rPr>
        <w:t>15.　✗ 错误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问题不在于有没有免责声明，而在于**这个数会被下游当结论用**——实际真值是它的 39 倍，足以翻转决策。而且在厚尾分布下，短窗口连「下界」都算不上：它测的是「没发生极端事件的那段时间」，而这门生意的收入几乎全在极端事件里。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正确做法：**主项没测出来就拒绝打印合计**，进待测队列。加免责声明不等于没犯错，只是让错误更刺眼。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sz w:val="21"/>
        </w:rPr>
        <w:t>16.　✗ 错误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这正是「筛选目标与使用目标不一致」。比值 1.04 说明该价差**一直是那个小数**，现在小、以后大概率也小；而 4.4 倍的那个说明价差**在变**，机会正来自变化。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实测对照：通过稳定性筛选的一组当前 |净年化| 中位 0.86%，被淘汰的一组 15.47%，**淘汰组是通过组的 18 倍**。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正确判据：① 现在够大；② 大到能撑过至少 1~2 次结算。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sz w:val="21"/>
        </w:rPr>
        <w:t>17.　✗ 错误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永续正是用**资金费**替代交割来实现收敛：永续价高于指数 → 费率为正 → 多头持续付费 → 抑制做多、鼓励做空 → 价格被拉回。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这是可实测的：跨所基差呈均值回归，半衰期约 7~22 小时，方差有上界而非随 √T 扩散。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after="40"/>
        <w:ind w:left="0"/>
      </w:pPr>
      <w:r>
        <w:rPr>
          <w:rFonts w:ascii="Times New Roman" w:hAnsi="Times New Roman" w:eastAsia="宋体"/>
          <w:b/>
          <w:i w:val="0"/>
          <w:sz w:val="21"/>
        </w:rPr>
        <w:t>18.　✗ 错误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读权限与交易权限是**独立的作用域**。密钥可能只勾选了读取，或**未把当前出口 IP 加入白名单**——读接口宽松而下单接口严格的情况很常见。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正确做法：用最小名义额下一笔真实订单（或交易所提供的 dry-run 接口）验证，**在真正需要它工作之前**。</w:t>
      </w:r>
    </w:p>
    <w:p>
      <w:pPr>
        <w:spacing w:after="40"/>
        <w:ind w:left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三、计算题（40 分）</w:t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19. 净收益与结算次数（10 分）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(1) 年化与方向（3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X 所：−0.0100% × (24/8) × 365 = −10.95%/年</w:t>
        <w:br/>
        <w:t xml:space="preserve">        费率为负 → 空头付、多头收。我们做多 X → 【收取】10.95%</w:t>
        <w:br/>
        <w:t xml:space="preserve">  Y 所：−0.0022% × (24/4) × 365 = − 4.82%/年</w:t>
        <w:br/>
        <w:t xml:space="preserve">        费率为负 → 多头收、空头付。我们做空 Y → 【支付】 4.82%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(2) 净年化（2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净 = 10.95% − 4.82% = +6.13% /年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(3) 24 小时（3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X：24/8 = 3 次；Y：24/4 = 6 次</w:t>
        <w:br/>
        <w:t xml:space="preserve">  X 收：3 × 0.0100% × 5.11 = +0.001533 USDT</w:t>
        <w:br/>
        <w:t xml:space="preserve">  Y 付：6 × 0.0022% × 5.11 = −0.000675 USDT</w:t>
        <w:br/>
        <w:t xml:space="preserve">  净  = +0.000858 USDT</w:t>
        <w:br/>
        <w:t xml:space="preserve">  校验：6.13% × 5.11 / 365 = 0.000858 ✓  与年化口径自洽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(4) 覆盖手续费（2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手续费 = 8 bps × 5.11 = 0.004088 USDT</w:t>
        <w:br/>
        <w:t xml:space="preserve">  以 8 小时为一个完整周期（含 1 次 X、2 次 Y 结算）：</w:t>
        <w:br/>
        <w:t xml:space="preserve">      每周期净 = (0.0100% − 2×0.0022%) × 5.11 = 0.0056% × 5.11 = 0.00028616</w:t>
        <w:br/>
        <w:t xml:space="preserve">      14 周期 → 0.004006  &lt; 0.004088   ✗</w:t>
        <w:br/>
        <w:t xml:space="preserve">      15 周期 → 0.004292  &gt; 0.004088   ✓</w:t>
        <w:br/>
        <w:t xml:space="preserve">  ⇒ 需 15 个 8 小时周期 = 120 小时 = 5 天</w:t>
      </w:r>
    </w:p>
    <w:p>
      <w:pPr>
        <w:spacing w:after="12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为何不能连续折算：资金费只在结算时点划转。t = 119 小时的持有者拿到的是14 个周期的钱，不是 14.875 个。**连续折算会系统性高估短持有期的收益**，而短持有期恰恰是最接近盈亏边界的区域。</w:t>
      </w:r>
    </w:p>
    <w:p>
      <w:r>
        <w:br w:type="page"/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20. 均值回归的识别与半衰期（10 分）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(1) 随机游走外推（3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随机游走：σ(T) ∝ √T</w:t>
        <w:br/>
        <w:t xml:space="preserve">  σ(168) = 2.27 × √(168/8) = 2.27 × 4.583 = 10.40 bps</w:t>
        <w:br/>
        <w:t xml:space="preserve">  实测 3.07 bps  →  随机游走高估 3.4 倍</w:t>
        <w:br/>
        <w:t xml:space="preserve">  ⇒ 该序列【不是】随机游走；方差没有随时间无界扩散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(2) OU 上界（2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T → ∞ 时 (1 − e^(−θT)) → 1</w:t>
        <w:br/>
        <w:t xml:space="preserve">  Var → 2σ∞²   ⇒  std → √2 × 2.19 = 3.10 bps</w:t>
        <w:br/>
        <w:t xml:space="preserve">  实测 T=168h 为 3.07，相差 1% —— 已基本饱和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(3) 反解半衰期（3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2.64² = 2 × 2.19² × (1 − e^(−24θ))</w:t>
        <w:br/>
        <w:t xml:space="preserve">  6.9696 = 9.5922 × (1 − e^(−24θ))</w:t>
        <w:br/>
        <w:t xml:space="preserve">  1 − e^(−24θ) = 0.7266   →   e^(−24θ) = 0.2734</w:t>
        <w:br/>
        <w:t xml:space="preserve">  θ = −ln(0.2734)/24 = 1.2968/24 = 0.05403 /小时</w:t>
        <w:br/>
        <w:t xml:space="preserve">  半衰期 = ln2/θ = 0.6931/0.05403 = 12.83 小时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(4) 与标准 OU 的偏离（2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T =  8h  →  θ = 0.09631  →  半衰期  7.2 h</w:t>
        <w:br/>
        <w:t xml:space="preserve">  T = 24h  →  θ = 0.05403  →  半衰期 12.8 h</w:t>
        <w:br/>
        <w:t xml:space="preserve">  T = 72h  →  θ = 0.03214  →  半衰期 21.6 h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半衰期随观测尺度单调上升，说明**单因子 OU 不足以描述该序列**。可能原因（任答其一）：</w:t>
      </w:r>
    </w:p>
    <w:p>
      <w:pPr>
        <w:spacing w:after="4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① **多时间尺度**：快分量（分钟~小时级的报价抖动、盘口噪音）叠加慢分量（数日级的相对定价漂移）。短窗口主要看到快分量，故半衰期偏小。</w:t>
      </w:r>
    </w:p>
    <w:p>
      <w:pPr>
        <w:spacing w:after="4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② **均值本身在缓慢移动**（μ 非常数），长窗口把 μ 的漂移误计入了 ΔB 的方差。</w:t>
      </w:r>
    </w:p>
    <w:p>
      <w:pPr>
        <w:spacing w:after="40"/>
        <w:ind w:left="454"/>
      </w:pPr>
      <w:r>
        <w:rPr>
          <w:rFonts w:ascii="Times New Roman" w:hAnsi="Times New Roman" w:eastAsia="宋体"/>
          <w:b w:val="0"/>
          <w:i w:val="0"/>
          <w:sz w:val="21"/>
        </w:rPr>
        <w:t>③ 存在体制切换（正常/挤兑），不同体制下 θ 不同。</w:t>
      </w:r>
    </w:p>
    <w:p>
      <w:pPr>
        <w:spacing w:after="120"/>
        <w:ind w:left="283"/>
      </w:pPr>
      <w:r>
        <w:rPr>
          <w:rFonts w:ascii="Times New Roman" w:hAnsi="Times New Roman" w:eastAsia="宋体"/>
          <w:b/>
          <w:i w:val="0"/>
          <w:sz w:val="21"/>
        </w:rPr>
        <w:t>⚠️ 实务含义：**用短窗口反解出的半衰期会低估长期风险**。做持有期决策时应取保守（较长）的那个。</w:t>
      </w:r>
    </w:p>
    <w:p>
      <w:r>
        <w:br w:type="page"/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21. 对冲组合盈亏的分解（10 分）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(1) 两腿盈亏（2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空头腿（S 所）：PnL_S = q · (P_S⁰ − P_Sᵗ)      跌了赚</w:t>
        <w:br/>
        <w:t xml:space="preserve">  多头腿（L 所）：PnL_L = q · (P_Lᵗ − P_L⁰)      涨了赚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(2) 化简与含义（3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PnL = q(P_S⁰ − P_Sᵗ) + q(P_Lᵗ − P_L⁰)</w:t>
        <w:br/>
        <w:t xml:space="preserve">      = q[ P_S⁰ − P_Sᵗ + P_Lᵗ − P_L⁰ ]</w:t>
        <w:br/>
        <w:t xml:space="preserve">      = q[ (P_S⁰ − P_L⁰) − (P_Sᵗ − P_Lᵗ) ]</w:t>
        <w:br/>
        <w:t xml:space="preserve">      = q · ( 开仓基差 − 当前基差 )                    ∎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经济含义：**整个组合的盈亏只由基差变化决定，与标的价格本身无关。**该结构做空基差——基差收窄则盈利，扩大则亏损。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(3) 数值（3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开仓基差 = 56.764 − 56.760 = +0.004</w:t>
        <w:br/>
        <w:t xml:space="preserve">  当前基差 = 56.809 − 56.773 = +0.036</w:t>
        <w:br/>
        <w:t xml:space="preserve">  PnL = 0.09 × (0.004 − 0.036) = 0.09 × (−0.032) = −0.00288 USDT</w:t>
        <w:br/>
        <w:t xml:space="preserve">  基差由 0.004 → 0.036，【扩大】；我们做空基差，故【亏损】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(4) 价格涨到 200（2 分）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PnL **不变**，仍为 −0.00288 USDT。由 (2) 的恒等式，价格水平项已被完全消去，只剩基差之差。这正是 delta-neutral 的定义：组合对标的价格的一阶敏感度为零。</w:t>
      </w:r>
    </w:p>
    <w:p>
      <w:pPr>
        <w:spacing w:after="120"/>
        <w:ind w:left="283"/>
      </w:pPr>
      <w:r>
        <w:rPr>
          <w:rFonts w:ascii="Times New Roman" w:hAnsi="Times New Roman" w:eastAsia="宋体"/>
          <w:b w:val="0"/>
          <w:i/>
          <w:sz w:val="21"/>
        </w:rPr>
        <w:t>（注：严格地说，若以 USDT 计价的名义规模随价格变化，保证金占用与强平距离会改变，但**已实现盈亏的表达式本身**不含价格水平项。答出主结论即满分。）</w:t>
      </w:r>
    </w:p>
    <w:p>
      <w:r>
        <w:br w:type="page"/>
      </w:r>
    </w:p>
    <w:p>
      <w:pPr>
        <w:spacing w:after="60"/>
        <w:ind w:left="0"/>
      </w:pPr>
      <w:r>
        <w:rPr>
          <w:rFonts w:ascii="Times New Roman" w:hAnsi="Times New Roman" w:eastAsia="宋体"/>
          <w:b/>
          <w:i w:val="0"/>
          <w:sz w:val="21"/>
        </w:rPr>
        <w:t>22. 信噪比与最优持有期（10 分）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(1) 表达式（3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θ = ln2 / 12 = 0.05776 /小时</w:t>
        <w:br/>
        <w:t xml:space="preserve">  收益(T 天) = 8.5% / 365 × T = 2.329 × T   (bps)        ← 线性</w:t>
        <w:br/>
        <w:t xml:space="preserve">  噪音(T 天) = √2 × 2.19 × √(1 − e^(−0.05776 × 24T))</w:t>
        <w:br/>
        <w:t xml:space="preserve">             = 3.097 × √(1 − e^(−1.3863T))   (bps)       ← 饱和于 3.10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(2) 数值（3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 T      收益      噪音      收益/噪音     主导项</w:t>
        <w:br/>
        <w:t xml:space="preserve">  1 天    2.33      2.68        0.87        噪音</w:t>
        <w:br/>
        <w:t xml:space="preserve">  3 天    6.99      3.07        2.28        收益</w:t>
        <w:br/>
        <w:t xml:space="preserve">  7 天   16.30      3.10        5.26        收益</w:t>
        <w:br/>
        <w:br/>
        <w:t xml:space="preserve">  噪音在 3 天后已完全饱和，收益继续线性累积 → 信噪比【线性增长】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(3) 随机游走对照（2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RW 噪音(7 天) = 2.64 × √7 = 6.99 bps   （OU 为 3.10，高估 2.3 倍）</w:t>
        <w:br/>
        <w:t xml:space="preserve">  RW 信噪比(7 天) = 16.30 / 6.99 = 2.33  （OU 为 5.26）</w:t>
        <w:br/>
        <w:br/>
        <w:t xml:space="preserve">  本质差异：</w:t>
        <w:br/>
        <w:t xml:space="preserve">    OU  信噪比 ∝ T / 常数    →  【线性】增长，持有越久越划算</w:t>
        <w:br/>
        <w:t xml:space="preserve">    RW  信噪比 ∝ T / √T = √T →  【平方根】增长，边际收益递减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两个模型给出的策略方向不同：RW 下应控制持有时间、频繁进出；OU 下噪音有硬上界，**应尽量拿住**，唯一约束是资金费别反号。误用 RW 会导致过度交易，把已经很薄的 carry 全交给手续费。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(4) 最短合理持有期（2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判据：累计收益 ≥ 往返手续费 + k × 饱和噪音</w:t>
        <w:br/>
        <w:br/>
        <w:t xml:space="preserve">  仅覆盖手续费：      2.329 T ≥ 8        →  T ≥ 3.4 天</w:t>
        <w:br/>
        <w:t xml:space="preserve">  k = 1（约 84% 置信）：2.329 T ≥ 8 + 3.10  →  T ≥ 4.8 天</w:t>
        <w:br/>
        <w:t xml:space="preserve">  k = 2（约 97% 置信）：2.329 T ≥ 8 + 6.19  →  T ≥ 6.1 天</w:t>
        <w:br/>
        <w:br/>
        <w:t xml:space="preserve">  ⇒ 建议至少持有 6 天；且须按结算次数取整、并确认期间费率不反号</w:t>
      </w:r>
    </w:p>
    <w:p>
      <w:r>
        <w:br w:type="page"/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附加题（10 分）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23. (1) 方法论缺陷（4 分）</w:t>
      </w:r>
    </w:p>
    <w:p>
      <w:pPr>
        <w:spacing w:after="4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缺陷在**第四步的判据与第五步的用途不一致，且二者负相关**。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「两半比值 ≤ 1.8」  =  这个价差【一直没怎么变】</w:t>
        <w:br/>
        <w:t xml:space="preserve">  一直没变的价差      =  一直是那个小数</w:t>
        <w:br/>
        <w:t xml:space="preserve">                      →  现在也小，以后大概率也小</w:t>
        <w:br/>
        <w:br/>
        <w:t xml:space="preserve">  而第五步要找的「当前最值得建仓」，恰恰来自【变了】的那些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实测证据完全支持：通过组当前净年化中位 0.86%，淘汰组 15.47%，**淘汰组是通过组的 18 倍**。筛选器在系统性地筛掉机会。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23. (2) 归类（3 分）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✅ 筛选目标与使用目标不一致</w:t>
        <w:br/>
        <w:br/>
        <w:t xml:space="preserve">  ✗ 抽样偏差  —— 数据本身没问题，窗口也够长，统计计算正确</w:t>
        <w:br/>
        <w:t xml:space="preserve">  ✗ 幸存者偏差 —— 没有对象从样本空间中消失，24 个全在</w:t>
        <w:br/>
        <w:t xml:space="preserve">  ✗ 过拟合    —— 没有对噪音调参；换个阈值同样是反的</w:t>
      </w:r>
    </w:p>
    <w:p>
      <w:pPr>
        <w:spacing w:after="6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**判断依据：抽样类错误是「数据错了」，此处数据和统计全对，错的是「筛的东西不是要用的东西」。这类错误更隐蔽——筛选器工作得很好，只是在做一件没用的事。**</w:t>
      </w:r>
    </w:p>
    <w:p>
      <w:pPr>
        <w:spacing w:after="40"/>
        <w:ind w:left="170"/>
      </w:pPr>
      <w:r>
        <w:rPr>
          <w:rFonts w:ascii="Times New Roman" w:hAnsi="Times New Roman" w:eastAsia="宋体"/>
          <w:b/>
          <w:i w:val="0"/>
          <w:sz w:val="21"/>
        </w:rPr>
        <w:t>23. (3) 自检程序（3 分）</w:t>
      </w:r>
    </w:p>
    <w:p>
      <w:pPr>
        <w:spacing w:after="40"/>
        <w:ind w:left="283"/>
      </w:pPr>
      <w:r>
        <w:rPr>
          <w:rFonts w:ascii="Times New Roman" w:hAnsi="Times New Roman" w:eastAsia="宋体"/>
          <w:b/>
          <w:i w:val="0"/>
          <w:sz w:val="21"/>
        </w:rPr>
        <w:t>核心：**对被淘汰的那一组，也算一遍你真正关心的指标，然后和通过组比。**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每次筛选后自动打印：</w:t>
        <w:br/>
        <w:t xml:space="preserve">      通过组 N 个   当前 |净年化| 中位 ___%   最大 ___%</w:t>
        <w:br/>
        <w:t xml:space="preserve">      淘汰组 M 个   当前 |净年化| 中位 ___%   最大 ___%</w:t>
        <w:br/>
        <w:t xml:space="preserve">  若淘汰组中位 &gt; 通过组中位 → 打印红色告警「筛选器可能是反的」</w:t>
      </w:r>
    </w:p>
    <w:p>
      <w:pPr>
        <w:spacing w:after="120"/>
        <w:ind w:left="283"/>
      </w:pPr>
      <w:r>
        <w:rPr>
          <w:rFonts w:ascii="Times New Roman" w:hAnsi="Times New Roman" w:eastAsia="宋体"/>
          <w:b w:val="0"/>
          <w:i w:val="0"/>
          <w:sz w:val="21"/>
        </w:rPr>
        <w:t>可迁移的一条：**任何筛选器都要跑一次「淘汰组对照」。只看通过的那批，永远发现不了自己在反向选择。**</w:t>
      </w:r>
    </w:p>
    <w:p>
      <w:pPr>
        <w:spacing w:before="200" w:after="100"/>
      </w:pPr>
      <w:r>
        <w:rPr>
          <w:rFonts w:ascii="Times New Roman" w:hAnsi="Times New Roman" w:eastAsia="黑体"/>
          <w:b/>
          <w:sz w:val="26"/>
        </w:rPr>
        <w:t>附：自评参考</w:t>
      </w:r>
    </w:p>
    <w:p>
      <w:pPr>
        <w:spacing w:after="60" w:before="60"/>
        <w:ind w:left="340"/>
      </w:pPr>
      <w:r>
        <w:rPr>
          <w:rFonts w:ascii="Consolas" w:hAnsi="Consolas" w:eastAsia="Consolas"/>
          <w:sz w:val="18"/>
        </w:rPr>
        <w:t xml:space="preserve">  ≥ 85   基础扎实。可以开始读 López de Prado 的进阶章节。</w:t>
        <w:br/>
        <w:t xml:space="preserve">  70~84  概念清楚但计算或表述不够严谨。重做错的计算题。</w:t>
        <w:br/>
        <w:t xml:space="preserve">  55~69  单点知识有，但缺少「离散 vs 连续」「OU vs RW」这类</w:t>
        <w:br/>
        <w:t xml:space="preserve">         结构性区分。重读 Chan 第 2 章 + Hull 第 3 章。</w:t>
        <w:br/>
        <w:t xml:space="preserve">  &lt; 55   建议按补课路线重新过一遍，重点是第一、二两个缺口。</w:t>
        <w:br/>
        <w:br/>
        <w:t xml:space="preserve">  ⚠️ 特别提示：第 5、16、23 题考的是同一件事（筛选目标一致性）。</w:t>
        <w:br/>
        <w:t xml:space="preserve">     若这三题都错，说明最贵的那个教训还没吃进去——</w:t>
        <w:br/>
        <w:t xml:space="preserve">     它不是知识点，是一种必须成为习惯的自我怀疑。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