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4"/>
        </w:rPr>
        <w:t>衍生品、市场微观结构与统计推断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期  末  试  卷</w:t>
      </w:r>
    </w:p>
    <w:p>
      <w:pPr>
        <w:spacing w:after="12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姓名：____________    日期：____________    用时：________ 分钟    得分：________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/>
          <w:sz w:val="21"/>
        </w:rPr>
        <w:t>考试时间 150 分钟　|　满分 100 分　|　闭卷，可用计算器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/>
          <w:sz w:val="21"/>
        </w:rPr>
        <w:t>命题范围：Hull《Options, Futures, and Other Derivatives》Ch.1–5；Chan《Algorithmic Trading》Ch.2；Harris《Trading and Exchanges》；Taleb《Statistical Consequences of Fat Tails》；López de Prado《Advances in Financial ML》Ch.7/11/12</w:t>
      </w:r>
    </w:p>
    <w:p>
      <w:pPr>
        <w:spacing w:after="160"/>
        <w:ind w:left="0"/>
      </w:pPr>
      <w:r>
        <w:rPr>
          <w:rFonts w:ascii="Times New Roman" w:hAnsi="Times New Roman" w:eastAsia="宋体"/>
          <w:b w:val="0"/>
          <w:i/>
          <w:sz w:val="21"/>
        </w:rPr>
        <w:t>答题要求：计算题必须写出关键步骤与单位；论述题只写结论不得分。</w:t>
      </w:r>
    </w:p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6"/>
        </w:rPr>
        <w:t>一、单项选择题（每题 3 分，共 36 分）</w:t>
      </w:r>
    </w:p>
    <w:p>
      <w:pPr>
        <w:spacing w:after="120"/>
        <w:ind w:left="0"/>
      </w:pPr>
      <w:r>
        <w:rPr>
          <w:rFonts w:ascii="Times New Roman" w:hAnsi="Times New Roman" w:eastAsia="宋体"/>
          <w:b w:val="0"/>
          <w:i/>
          <w:sz w:val="21"/>
        </w:rPr>
        <w:t>每题只有一个最优答案。选项中包含常见误解，请仔细区分。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1. 某永续合约结算间隔为 8 小时。某时段其年化资金费率维持在 +40%，持续 5 小时后回落至 0，期间未跨越任何结算时点。若在该时段全程持有空头仓位，理论上收到的资金费为：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约 2.28 bps（按 40% × 5/8760 计）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约 3.65 bps（按 40% 折算一期）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0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无法判断，取决于标记价格变动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2. A 所某永续 8 小时结算，本期费率 +0.0273%；B 所同一标的 4 小时结算，本期费率 +0.0148%。关于两者年化水平，正确的是：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A 所更高，因为单期费率几乎是 B 所的两倍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B 所更高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两者相等，因为间隔差异恰好抵消费率差异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无法比较，不同结算间隔的费率不具可比性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3. 对某跨所基差序列，实测「持有 T 小时后基差变化量」的标准差为：T=8h 时 2.27 bps，T=168h 时 3.07 bps；该序列自身的长期标准差为 2.19 bps。据此最合理的判断是：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该序列近似随机游走，长期风险随 √T 增长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该序列具有均值回归性质，方差存在上界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样本量不足，无法区分两种模型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该序列存在确定性趋势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4. 现货多头 + 永续空头的 cash-and-carry 组合，标的资金费率为正。关于现金流方向：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你作为永续空头收取资金费，作为现货多头无资金费收支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你作为永续空头支付资金费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现货与永续两条腿的资金费相互抵消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取决于永续价格高于还是低于现货价格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5. 某筛选器的判据为「近半期与远半期的年化收益之比 ≤ 1.8 倍」。若用它挑选当下值得交易的标的，该判据会系统性地：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偏好高波动标的，因为高波动标的两期差异更大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偏好价差长期稳定不变的标的，从而排除掉当前正在出现机会的标的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无系统性偏好，只是降低了样本方差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偏好流动性好的标的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6. 某市场单笔清算奖励的中位数为 $0.03，均值为 $81.18，样本 3,896 笔。若要估计该市场一年的清算奖励总额，应使用：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中位数 × 笔数，因为中位数更稳健，不受极端值影响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均值 × 笔数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去掉最大 1% 后的截尾均值 × 笔数，以剔除异常值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中位数与均值的几何平均 × 笔数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7. 关于最小方差对冲比率 h* = ρ·(σ_S / σ_F)，下列说法正确的是：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当现货与期货完全相关且波动率相同时，h* = 1，此时基差风险为零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h* 恒等于 1，因为一手期货对应一手现货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ρ 越低，h* 越高，因为需要更多期货来对冲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h* 与 ρ 无关，只取决于两者波动率之比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8. 某工具宣称「同时下单」，将两条腿的下单请求同时发往两个交易所。关于该机制：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等价于原子执行，任一腿失败则整体回滚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将时间差压至最小，但不保证原子性；一腿成交另一腿失败时会留下单边敞口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只要网络延迟低于 100 ms 即可视为原子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是否原子取决于两个交易所是否使用同一撮合引擎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9. 某研究者发现「清算发生前 12 个区块内出现任意预言机更新」的命中率为 36.8%，据此宣称二者高度相关。要判断该结论是否成立，首先应当：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扩大样本量至 1,000 笔以上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计算该指标的基准率，即随机情形下的期望命中率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改用更长的时间窗口以提高命中率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对命中率做显著性检验，看是否显著大于 0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10. 关于永续合约强制平仓的判定价格，正确的是：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使用最新成交价，因为它反映真实交易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使用标记价格，其通常由指数价格与溢价指数合成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使用买一卖一中间价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由交易所在插针时临时决定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11. 某交易所对所有 taker 订单施加 100 ms 强制延迟，仅 postOnly 订单豁免。该规则对跨所对冲策略最直接的影响是：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提高了 taker 手续费率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使该所一侧的单腿暴露窗口由「网络抖动的随机量」变为「至少 100 ms 的确定量」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降低了盘口深度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仅影响高频做市，对持有数日的策略无影响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12. 某标的的跨所基差长期均值为 +11.05 bps，标准差为 2.05 bps，往返手续费为 8 bps。关于基于该基差做均值回归交易：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A. 均值 +11.05 bps 显著为正，说明存在稳定套利空间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B. 基差波动幅度小于往返成本，价格维度不存在可执行的交易空间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C. 应在基差低于 +9 bps 时买入、高于 +13 bps 时卖出</w:t>
      </w:r>
    </w:p>
    <w:p>
      <w:pPr>
        <w:spacing w:after="2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D. 标准差越小说明风险越低，越应加大杠杆</w:t>
      </w:r>
    </w:p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sz w:val="26"/>
        </w:rPr>
        <w:t>二、判断正误并说明理由（每题 4 分，共 24 分）</w:t>
      </w:r>
    </w:p>
    <w:p>
      <w:pPr>
        <w:spacing w:after="120"/>
        <w:ind w:left="0"/>
      </w:pPr>
      <w:r>
        <w:rPr>
          <w:rFonts w:ascii="Times New Roman" w:hAnsi="Times New Roman" w:eastAsia="宋体"/>
          <w:b w:val="0"/>
          <w:i/>
          <w:sz w:val="21"/>
        </w:rPr>
        <w:t>判断下列陈述是否正确。若错误，必须指出错在哪里并给出正确表述；只写「对/错」不得分。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13. 「在两条腿都已成功建立的前提下，跨所基差变化是该策略唯一的风险来源。」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判断：__________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理由：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14. 「某策略往返手续费 8 bps、日收益 1.1 bps，因此持有 8 天即可回本，8 天就是合理的持有期建议。」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判断：__________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理由：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15. 「用 14 天窗口测得某市场年化规模为 $18,682。虽然样本偏短，但已在结论中注明『此为下界』，因此可作为决策依据。」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判断：__________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理由：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16. 「某跨所组合的历史两期年化分别为 +26.9% 和 +6.1%，比值 4.4 倍，波动较大；而另一组合为 +5.4% 和 +5.2%，比值 1.04 倍。因此后者是更好的交易标的。」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判断：__________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理由：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17. 「永续合约没有交割日，因此其价格没有任何机制保证与现货收敛。」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判断：__________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理由：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40"/>
      </w:pP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18. 「某 API 密钥能够正常读取账户余额，说明其权限配置无误，可以直接用于下单。」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判断：__________</w:t>
      </w:r>
    </w:p>
    <w:p>
      <w:pPr>
        <w:spacing w:after="4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理由：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60"/>
        <w:ind w:left="397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sz w:val="26"/>
        </w:rPr>
        <w:t>三、计算题（每题 10 分，共 40 分）</w:t>
      </w:r>
    </w:p>
    <w:p>
      <w:pPr>
        <w:spacing w:after="120"/>
        <w:ind w:left="0"/>
      </w:pPr>
      <w:r>
        <w:rPr>
          <w:rFonts w:ascii="Times New Roman" w:hAnsi="Times New Roman" w:eastAsia="宋体"/>
          <w:b w:val="0"/>
          <w:i/>
          <w:sz w:val="21"/>
        </w:rPr>
        <w:t>写出计算步骤与单位。结果保留两位小数。</w:t>
      </w:r>
    </w:p>
    <w:p>
      <w:pPr>
        <w:spacing w:after="60"/>
        <w:ind w:left="0"/>
      </w:pPr>
      <w:r>
        <w:rPr>
          <w:rFonts w:ascii="Times New Roman" w:hAnsi="Times New Roman" w:eastAsia="宋体"/>
          <w:b/>
          <w:i w:val="0"/>
          <w:sz w:val="21"/>
        </w:rPr>
        <w:t>19.（10 分）净收益与结算次数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某跨所对冲组合，两腿数据如下：</w:t>
      </w:r>
    </w:p>
    <w:p>
      <w:pPr>
        <w:spacing w:after="60" w:before="60"/>
        <w:ind w:left="454"/>
      </w:pPr>
      <w:r>
        <w:rPr>
          <w:rFonts w:ascii="Consolas" w:hAnsi="Consolas" w:eastAsia="Consolas"/>
          <w:sz w:val="19"/>
        </w:rPr>
        <w:t xml:space="preserve">    交易所 X：永续，结算间隔 8 小时，本期资金费率 −0.0100%</w:t>
        <w:br/>
        <w:t xml:space="preserve">    交易所 Y：永续，结算间隔 4 小时，本期资金费率 −0.0022%</w:t>
        <w:br/>
        <w:t xml:space="preserve">    策略方向：在 X 做多、在 Y 做空</w:t>
        <w:br/>
        <w:t xml:space="preserve">    每腿名义规模 5.11 USDT，往返手续费合计 8 bps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(1) 分别计算两腿的年化资金费率，并说明各腿是收取还是支付。（3 分）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(2) 计算该组合的净年化收益率。（2 分）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(3) 若两所结算时点均从建仓时刻起按各自间隔推进，求持仓满 24 小时期间，两所各发生几次结算，累计净资金费为多少 USDT。（3 分）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(4) 需要持仓多少小时，累计资金费才能覆盖 8 bps 往返手续费？请以「结算次数」而非连续时间给出答案，并说明为何不能用连续折算。（2 分）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r>
        <w:br w:type="page"/>
      </w:r>
    </w:p>
    <w:p>
      <w:pPr>
        <w:spacing w:after="60"/>
        <w:ind w:left="0"/>
      </w:pPr>
      <w:r>
        <w:rPr>
          <w:rFonts w:ascii="Times New Roman" w:hAnsi="Times New Roman" w:eastAsia="宋体"/>
          <w:b/>
          <w:i w:val="0"/>
          <w:sz w:val="21"/>
        </w:rPr>
        <w:t>20.（10 分）均值回归的识别与半衰期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对某基差序列 B_t（单位 bps，采样间隔 1 小时，样本 1,000 点）实测得：</w:t>
      </w:r>
    </w:p>
    <w:p>
      <w:pPr>
        <w:spacing w:after="60" w:before="60"/>
        <w:ind w:left="454"/>
      </w:pPr>
      <w:r>
        <w:rPr>
          <w:rFonts w:ascii="Consolas" w:hAnsi="Consolas" w:eastAsia="Consolas"/>
          <w:sz w:val="19"/>
        </w:rPr>
        <w:t xml:space="preserve">    序列自身标准差  σ∞ = 2.19</w:t>
        <w:br/>
        <w:t xml:space="preserve">    持有 T 小时后 ΔB 的标准差：</w:t>
        <w:br/>
        <w:t xml:space="preserve">        T =   8h  →  2.27        T =  24h  →  2.64</w:t>
        <w:br/>
        <w:t xml:space="preserve">        T =  72h  →  2.94        T = 168h  →  3.07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已知：若 B_t 服从 Ornstein–Uhlenbeck 过程，则</w:t>
      </w:r>
    </w:p>
    <w:p>
      <w:pPr>
        <w:spacing w:after="60" w:before="60"/>
        <w:ind w:left="454"/>
      </w:pPr>
      <w:r>
        <w:rPr>
          <w:rFonts w:ascii="Consolas" w:hAnsi="Consolas" w:eastAsia="Consolas"/>
          <w:sz w:val="19"/>
        </w:rPr>
        <w:t xml:space="preserve">    Var(B_{t+T} − B_t) = 2·σ∞²·(1 − e^(−θT))，    半衰期 = ln2 / θ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(1) 若 B_t 为随机游走，用 T=8h 的观测值外推，T=168h 时 ΔB 的标准差应为多少？与实测值相比说明什么。（3 分）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(2) 计算 OU 模型下 T → ∞ 时 ΔB 标准差的理论上界，并与 T=168h 的实测值比较。（2 分）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(3) 用 T=24h 的观测值反解 θ，给出半衰期（小时）。（3 分）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(4) 分别用 T=8h、24h、72h 反解，会得到不同的半衰期。这说明该序列与标准 OU 过程存在何种偏离？请指出至少一种可能原因。（2 分）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r>
        <w:br w:type="page"/>
      </w:r>
    </w:p>
    <w:p>
      <w:pPr>
        <w:spacing w:after="60"/>
        <w:ind w:left="0"/>
      </w:pPr>
      <w:r>
        <w:rPr>
          <w:rFonts w:ascii="Times New Roman" w:hAnsi="Times New Roman" w:eastAsia="宋体"/>
          <w:b/>
          <w:i w:val="0"/>
          <w:sz w:val="21"/>
        </w:rPr>
        <w:t>21.（10 分）对冲组合盈亏的分解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某交易者在两所建立数量相同、方向相反的永续仓位：</w:t>
      </w:r>
    </w:p>
    <w:p>
      <w:pPr>
        <w:spacing w:after="60" w:before="60"/>
        <w:ind w:left="454"/>
      </w:pPr>
      <w:r>
        <w:rPr>
          <w:rFonts w:ascii="Consolas" w:hAnsi="Consolas" w:eastAsia="Consolas"/>
          <w:sz w:val="19"/>
        </w:rPr>
        <w:t xml:space="preserve">    在 S 所做空 q 手，开仓价 P_S^0，当前标记价 P_S^t</w:t>
        <w:br/>
        <w:t xml:space="preserve">    在 L 所做多 q 手，开仓价 P_L^0，当前标记价 P_L^t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(1) 写出两条腿各自的浮动盈亏表达式。（2 分）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(2) 证明组合总浮动盈亏可化简为</w:t>
      </w:r>
    </w:p>
    <w:p>
      <w:pPr>
        <w:spacing w:after="60" w:before="60"/>
        <w:ind w:left="680"/>
      </w:pPr>
      <w:r>
        <w:rPr>
          <w:rFonts w:ascii="Consolas" w:hAnsi="Consolas" w:eastAsia="Consolas"/>
          <w:sz w:val="19"/>
        </w:rPr>
        <w:t xml:space="preserve">        PnL = q · [ (P_S^0 − P_L^0) − (P_S^t − P_L^t) ]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并用一句话说明该式的经济含义。（3 分）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(3) 代入数值：q = 0.09，P_S^0 = 56.764，P_L^0 = 56.760，P_S^t = 56.809，P_L^t = 56.773。求 PnL（USDT），并判断基差是扩大还是收窄。（3 分）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(4) 若标的价格从 56 涨至 200，其余条件不变，PnL 如何变化？说明理由。（2 分）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r>
        <w:br w:type="page"/>
      </w:r>
    </w:p>
    <w:p>
      <w:pPr>
        <w:spacing w:after="60"/>
        <w:ind w:left="0"/>
      </w:pPr>
      <w:r>
        <w:rPr>
          <w:rFonts w:ascii="Times New Roman" w:hAnsi="Times New Roman" w:eastAsia="宋体"/>
          <w:b/>
          <w:i w:val="0"/>
          <w:sz w:val="21"/>
        </w:rPr>
        <w:t>22.（10 分）信噪比与最优持有期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沿用第 20 题的基差序列（OU，σ∞ = 2.19 bps，半衰期取 12 小时）。某组合净资金费收益为年化 +8.5%，往返手续费 8 bps。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(1) 写出持有 T 天时，累计资金费收益（bps）与基差噪音标准差（bps）的表达式。（3 分）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(2) 分别计算 T = 1、3、7 天时两者的数值，判断各自由哪一项主导。（3 分）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(3) 若改用随机游走假设（噪音 ∝ √T，且 T=1 天时噪音为 2.64 bps），重算 T = 7 天的情形，并指出两种模型给出的持有策略有何本质差异。（2 分）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(4) 综合 (2)(3)，给出该组合的最短合理持有期，并说明判据。（2 分）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sz w:val="26"/>
        </w:rPr>
        <w:t>附加题（10 分，计入总分但总分不超过 100）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23. 某研究者按以下流程寻找跨所资金费交易机会：</w:t>
      </w:r>
    </w:p>
    <w:p>
      <w:pPr>
        <w:spacing w:after="60" w:before="60"/>
        <w:ind w:left="454"/>
      </w:pPr>
      <w:r>
        <w:rPr>
          <w:rFonts w:ascii="Consolas" w:hAnsi="Consolas" w:eastAsia="Consolas"/>
          <w:sz w:val="19"/>
        </w:rPr>
        <w:t xml:space="preserve">    第一步  取两所共同上市、24 小时成交额均 &gt; $30M 的永续合约</w:t>
        <w:br/>
        <w:t xml:space="preserve">    第二步  拉取各自的历史资金费，对齐到公共时间窗</w:t>
        <w:br/>
        <w:t xml:space="preserve">    第三步  计算跨所净年化，并将历史劈成近/远两半检验稳定性</w:t>
        <w:br/>
        <w:t xml:space="preserve">    第四步  保留「不反号 + 两半比值 ≤ 1.8 + |净年化| ≥ 3%」的标的</w:t>
        <w:br/>
        <w:t xml:space="preserve">    第五步  在第四步的结果中挑选当前最值得建仓的一个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该流程在第 24 个候选中筛出 3 个。随后发现：通过筛选的 3 个标的当前净年化的中位数为 0.86%，而被淘汰的 21 个中位数为 15.47%。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(1) 指出该流程中存在的方法论缺陷，并解释其成因。（4 分）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(2) 该缺陷属于下列哪一类？请说明判断依据：抽样偏差 / 幸存者偏差 / 筛选目标与使用目标不一致 / 过拟合。（3 分）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(3) 设计一个可执行的自检程序，使该缺陷在未来能被自动发现。（3 分）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80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__________________________________________________________________________</w:t>
      </w:r>
    </w:p>
    <w:p>
      <w:pPr>
        <w:spacing w:after="40"/>
      </w:pPr>
    </w:p>
    <w:p>
      <w:pPr>
        <w:jc w:val="center"/>
      </w:pPr>
      <w:r>
        <w:rPr>
          <w:rFonts w:ascii="Times New Roman" w:hAnsi="Times New Roman" w:eastAsia="黑体"/>
          <w:b/>
          <w:sz w:val="22"/>
        </w:rPr>
        <w:t>——— 试卷结束 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