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Noto Sans CJK SC"/>
          <w:b/>
          <w:sz w:val="48"/>
        </w:rPr>
        <w:t>量化交易金融基础</w:t>
      </w:r>
    </w:p>
    <w:p>
      <w:pPr>
        <w:jc w:val="center"/>
      </w:pPr>
      <w:r>
        <w:rPr>
          <w:rFonts w:ascii="Cambria" w:hAnsi="Cambria" w:eastAsia="Noto Sans CJK SC"/>
          <w:b/>
          <w:sz w:val="36"/>
        </w:rPr>
        <w:t>参考答案与评分标准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考试时间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—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满分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对应试卷 100 分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建议形式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闭卷；允许使用普通计算器；不得查阅笔记</w:t>
            </w:r>
          </w:p>
        </w:tc>
      </w:tr>
      <w:t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EDED"/>
          </w:tcPr>
          <w:p>
            <w:r>
              <w:t>适用范围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Chan 第2章；Tsay 时间序列相关；Taleb 前6章；López de Prado 第7/11/12章；Hull 第1–5章；Harris 订单/流动性/做市章节；LVR、CEX–DEX markout、There Will Be Spam、Signals and Spoils 的方法思维</w:t>
            </w:r>
          </w:p>
        </w:tc>
      </w:tr>
    </w:tbl>
    <w:p/>
    <w:p>
      <w:pPr>
        <w:jc w:val="center"/>
      </w:pPr>
      <w:r>
        <w:rPr>
          <w:rFonts w:ascii="Cambria" w:hAnsi="Cambria" w:eastAsia="Noto Sans CJK SC"/>
          <w:sz w:val="22"/>
        </w:rPr>
        <w:t>姓名：____________________    日期：____________________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ambria" w:hAnsi="Cambria" w:eastAsia="Noto Sans CJK SC"/>
                <w:sz w:val="19"/>
              </w:rPr>
              <w:t>评分原则：优先给“正确的因果链与风险识别”分，而不是只给公式分。</w:t>
            </w:r>
          </w:p>
          <w:p>
            <w:r>
              <w:rPr>
                <w:rFonts w:ascii="Cambria" w:hAnsi="Cambria" w:eastAsia="Noto Sans CJK SC"/>
                <w:sz w:val="19"/>
              </w:rPr>
              <w:t>开放题允许不同答案，只要假设清楚、逻辑自洽、能避免数据泄漏/选择偏差并计入真实执行成本，可酌情给满分。</w:t>
            </w:r>
          </w:p>
          <w:p>
            <w:r>
              <w:rPr>
                <w:rFonts w:ascii="Cambria" w:hAnsi="Cambria" w:eastAsia="Noto Sans CJK SC"/>
                <w:sz w:val="19"/>
              </w:rPr>
              <w:t>建议自测时先完成整卷，再单独打开本答案。</w:t>
            </w:r>
          </w:p>
        </w:tc>
      </w:tr>
    </w:tbl>
    <w:p>
      <w:pPr>
        <w:pStyle w:val="Heading1"/>
      </w:pPr>
      <w:r>
        <w:t>一、单项选择题（24分）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ADF 的原假设通常是存在单位根。p=0.18 只表示不能拒绝原假设，不能把“证据不足”偷换成“已经证明随机游走”。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|φ|&lt;1 时 AR(1) 平稳，冲击按 φ^k 衰减；长期方差有限。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答案：A</w:t>
      </w:r>
    </w:p>
    <w:p>
      <w:pPr>
        <w:ind w:left="283"/>
      </w:pPr>
      <w:r>
        <w:t>Hurst 是描述持久性/反持久性的统计量之一，但不是平稳性或盈利性的充分条件。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伪回归与共同趋势都可能造成高相关；交易价差要看协整/残差平稳，而不只是价格相关。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5.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厚尾下样本均值容易被少数极端值支配，短窗口年化会制造极不稳定的“高收益”。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6.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先在同一数据上大规模搜索，再展示赢家，会产生多重检验与选择偏差；Sharpe 只是排序指标，不会自动消除偏差。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7.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经典持有成本关系中，便利收益以减项进入净持有成本，因此便利收益上升会压低理论期货价格，其他条件不变。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8.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h* 的目标是最小化对冲组合方差，不是保证收益最大；ρ、σ_S、σ_F 均会影响它。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9.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成交后价格向不利方向移动是典型 adverse selection 迹象。真实成本必须把 maker rebate/低费率与 markout 放在一起看。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10. </w:t>
      </w:r>
      <w:r>
        <w:rPr>
          <w:rFonts w:ascii="Cambria" w:hAnsi="Cambria" w:eastAsia="Noto Serif CJK SC"/>
          <w:sz w:val="21"/>
        </w:rPr>
        <w:t>答案：C</w:t>
      </w:r>
    </w:p>
    <w:p>
      <w:pPr>
        <w:ind w:left="283"/>
      </w:pPr>
      <w:r>
        <w:t>FOK = fill or kill；IOC = immediate or cancel，可部分成交；postOnly 旨在避免立即吃单。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11.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delta neutral 只针对一阶方向暴露。两腿策略仍有基差、资金费、成交、流动性、保证金与清算等风险。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12. </w:t>
      </w:r>
      <w:r>
        <w:rPr>
          <w:rFonts w:ascii="Cambria" w:hAnsi="Cambria" w:eastAsia="Noto Serif CJK SC"/>
          <w:sz w:val="21"/>
        </w:rPr>
        <w:t>答案：B</w:t>
      </w:r>
    </w:p>
    <w:p>
      <w:pPr>
        <w:ind w:left="283"/>
      </w:pPr>
      <w:r>
        <w:t>markout 用成交后某个参考价格衡量交易时点价值转移，是只能观察部分执行腿时常用的微观结构估值思路。</w:t>
      </w:r>
    </w:p>
    <w:p>
      <w:pPr>
        <w:pStyle w:val="Heading1"/>
      </w:pPr>
      <w:r>
        <w:t>二、判断并说明理由（18分）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错误。</w:t>
      </w:r>
    </w:p>
    <w:p>
      <w:pPr>
        <w:ind w:left="283"/>
      </w:pPr>
      <w:r>
        <w:t>平稳只是建立均值回归策略的必要条件之一，不能覆盖交易成本、参数不稳定、结构突变、容量、滑点、极端尾部与入场阈值等问题。ADF 通过也可能只是特定样本期成立。</w:t>
      </w:r>
    </w:p>
    <w:p>
      <w:pPr>
        <w:ind w:left="283"/>
      </w:pPr>
      <w:r>
        <w:t>评分：判断1分；核心理由2分。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正确。</w:t>
      </w:r>
    </w:p>
    <w:p>
      <w:pPr>
        <w:ind w:left="283"/>
      </w:pPr>
      <w:r>
        <w:t>从确定 B_0 出发，AR(1) 的 k 期预测误差方差为 σ_ε²(1−φ^{2k})/(1−φ²)，随 k 增长趋于 σ_ε²/(1−φ²)。它会饱和，而随机游走方差与 k 线性增长。</w:t>
      </w:r>
    </w:p>
    <w:p>
      <w:pPr>
        <w:ind w:left="283"/>
      </w:pPr>
      <w:r>
        <w:t>评分：判断1分；核心理由2分。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错误。</w:t>
      </w:r>
    </w:p>
    <w:p>
      <w:pPr>
        <w:ind w:left="283"/>
      </w:pPr>
      <w:r>
        <w:t>真实执行成本 = 显式 fee + spread + slippage/impact + adverse selection/markout + 未成交机会成本 + legging 等。maker 只是其中一项。</w:t>
      </w:r>
    </w:p>
    <w:p>
      <w:pPr>
        <w:ind w:left="283"/>
      </w:pPr>
      <w:r>
        <w:t>评分：判断1分；核心理由2分。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正确。</w:t>
      </w:r>
    </w:p>
    <w:p>
      <w:pPr>
        <w:ind w:left="283"/>
      </w:pPr>
      <w:r>
        <w:t>时间相邻、标签重叠会造成训练样本和验证样本共享信息。金融 ML 需要考虑 purge/embargo 或其他能隔离时间泄漏的验证设计。</w:t>
      </w:r>
    </w:p>
    <w:p>
      <w:pPr>
        <w:ind w:left="283"/>
      </w:pPr>
      <w:r>
        <w:t>评分：判断1分；核心理由2分。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5. </w:t>
      </w:r>
      <w:r>
        <w:rPr>
          <w:rFonts w:ascii="Cambria" w:hAnsi="Cambria" w:eastAsia="Noto Serif CJK SC"/>
          <w:sz w:val="21"/>
        </w:rPr>
        <w:t>正确。</w:t>
      </w:r>
    </w:p>
    <w:p>
      <w:pPr>
        <w:ind w:left="283"/>
      </w:pPr>
      <w:r>
        <w:t>到期收敛约束的是最终价差，但持有期间仍可能经历基差扩大、追加保证金、流动性枯竭甚至被迫平仓，因此“最终会收敛”不等于路径无风险。</w:t>
      </w:r>
    </w:p>
    <w:p>
      <w:pPr>
        <w:ind w:left="283"/>
      </w:pPr>
      <w:r>
        <w:t>评分：判断1分；核心理由2分。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6. </w:t>
      </w:r>
      <w:r>
        <w:rPr>
          <w:rFonts w:ascii="Cambria" w:hAnsi="Cambria" w:eastAsia="Noto Serif CJK SC"/>
          <w:sz w:val="21"/>
        </w:rPr>
        <w:t>正确。</w:t>
      </w:r>
    </w:p>
    <w:p>
      <w:pPr>
        <w:ind w:left="283"/>
      </w:pPr>
      <w:r>
        <w:t>采样条件与目标变量相关时，记录到的是条件分布 P(carry | 最近 carry 高)，而不是无条件的 P(carry)。后续统计再精确也无法修复未被采样的数据。</w:t>
      </w:r>
    </w:p>
    <w:p>
      <w:pPr>
        <w:ind w:left="283"/>
      </w:pPr>
      <w:r>
        <w:t>评分：判断1分；核心理由2分。</w:t>
      </w:r>
    </w:p>
    <w:p>
      <w:pPr>
        <w:pStyle w:val="Heading1"/>
      </w:pPr>
      <w:r>
        <w:t>三、计算与推理题（40分）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AR(1)/OU 基差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φ=0.94。半衰期 k_{1/2}=−ln2/ln(0.94)=11.20 个观测间隔。</w:t>
      </w:r>
    </w:p>
    <w:p>
      <w:pPr>
        <w:ind w:left="283"/>
      </w:pPr>
      <w:r>
        <w:t>(2) E[B_12|B_0]=4+0.94^12×(20−4)=11.61 bps。含义：12 期后虽然已回归很多，但仍未回到长期均值 4。</w:t>
      </w:r>
    </w:p>
    <w:p>
      <w:pPr>
        <w:ind w:left="283"/>
      </w:pPr>
      <w:r>
        <w:t>(3) σ_∞=σ_ε/√(1−φ²)=1.8/√(1−0.94²)=5.28 bps。</w:t>
        <w:br/>
        <w:t xml:space="preserve">    σ(B_12|B_0)=1.8×√[(1−0.94^24)/(1−0.94²)]=4.64 bps。</w:t>
      </w:r>
    </w:p>
    <w:p>
      <w:pPr>
        <w:ind w:left="283"/>
      </w:pPr>
      <w:r>
        <w:t>(4) 随机游走估计为 1.8√12=6.24 bps。这里 AR(1) 的预测误差标准差不会继续按 √T 无限放大，而是向 5.28 bps 的上界靠近。若把均值回复过程当随机游走，会对较长持有期的风险与最优持有决策产生方向性误导。</w:t>
      </w:r>
    </w:p>
    <w:p>
      <w:pPr>
        <w:ind w:left="283"/>
      </w:pPr>
      <w:r>
        <w:t>评分建议：2+2+3+3。计算误差但公式与逻辑正确，可保留大部分过程分。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2. </w:t>
      </w:r>
      <w:r>
        <w:rPr>
          <w:rFonts w:ascii="Cambria" w:hAnsi="Cambria" w:eastAsia="Noto Serif CJK SC"/>
          <w:sz w:val="21"/>
        </w:rPr>
        <w:t>Minimum-variance hedge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h*=ρσ_S/σ_F=0.85×32/40=0.68。</w:t>
      </w:r>
    </w:p>
    <w:p>
      <w:pPr>
        <w:ind w:left="283"/>
      </w:pPr>
      <w:r>
        <w:t>(2) N*=h*×(Q_A/Q_F)=0.68×(2400/100)=16.32 张。实际可选 16 张（略微欠对冲）或 17 张（略微过对冲），应结合交易成本、风险偏好与合约最小单位说明。仅写“16 张”但无取整理由扣少量分。</w:t>
      </w:r>
    </w:p>
    <w:p>
      <w:pPr>
        <w:ind w:left="283"/>
      </w:pPr>
      <w:r>
        <w:t>(3) 对冲后单位暴露方差：Var=σ_S²+h²σ_F²−2hρσ_Sσ_F。</w:t>
        <w:br/>
        <w:t xml:space="preserve">    h*=0.68 时：Var=284.16，标准差=16.86 元/吨。</w:t>
        <w:br/>
        <w:t xml:space="preserve">    h=1 时：Var=448，标准差=21.17 元/吨。</w:t>
        <w:br/>
        <w:t xml:space="preserve">    所以样本参数下 h* 的方差更低。</w:t>
      </w:r>
    </w:p>
    <w:p>
      <w:pPr>
        <w:ind w:left="283"/>
      </w:pPr>
      <w:r>
        <w:t>(4) “方差更低”不自动等于“经济意义更优”。可答：① 合约取整导致实际 h 偏离理论值；② ρ、σ 会时变，估计误差可能令 h* 失效；③ 16/17 张与 24 张的交易成本不同；④ basis regime shift/流动性差异；⑤ 企业真实目标可能是锁定现金流而不是最小化短期方差；⑥ 保证金与资金占用。答任意两个且解释清楚即可。</w:t>
      </w:r>
    </w:p>
    <w:p>
      <w:pPr>
        <w:ind w:left="283"/>
      </w:pPr>
      <w:r>
        <w:t>评分建议：2+2+3+3。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3. </w:t>
      </w:r>
      <w:r>
        <w:rPr>
          <w:rFonts w:ascii="Cambria" w:hAnsi="Cambria" w:eastAsia="Noto Serif CJK SC"/>
          <w:sz w:val="21"/>
        </w:rPr>
        <w:t>执行成本、markout 与 legging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进入阶段：A maker fee 1 bps + B taker fee 4 bps + B 即时成交相对 mid 的 1.5 bps 冲击/价差 = 6.5 bps。退出阶段给定 6 bps。总成本 12.5 bps。净收益 =18−12.5=5.5 bps。以 100,000 USDT 的策略名义本金基准计，约 55 USDT。（若把“两腿名义本金之和 200,000”作为收益基数，须明确口径；评分以口径一致为准。）</w:t>
      </w:r>
    </w:p>
    <w:p>
      <w:pPr>
        <w:ind w:left="283"/>
      </w:pPr>
      <w:r>
        <w:t>(2) 再计 A 的负 markout 3.5 bps，总成本=16.0 bps，净收益=2.0 bps，按 100,000 基数约 20 USDT。</w:t>
      </w:r>
    </w:p>
    <w:p>
      <w:pPr>
        <w:ind w:left="283"/>
      </w:pPr>
      <w:r>
        <w:t>(3) 未成交概率 30%，补腿额外成本 5 bps，因此期望额外成本=0.30×5=1.5 bps。若进一步计入等待期间 exposure，应作为额外 legging risk，不包含在本题给定数值内。</w:t>
      </w:r>
    </w:p>
    <w:p>
      <w:pPr>
        <w:ind w:left="283"/>
      </w:pPr>
      <w:r>
        <w:t>(4) 至少比较：显式手续费、bid-ask/spread 与 slippage/market impact、fill probability/机会成本、adverse selection/markout、legging/补腿成本（任四类）。核心是比较“完整执行路径的期望净成本与尾部风险”，不是只看 maker/taker fee。</w:t>
      </w:r>
    </w:p>
    <w:p>
      <w:pPr>
        <w:ind w:left="283"/>
      </w:pPr>
      <w:r>
        <w:t>评分建议：2+2+2+4。第(4)问每个有效维度约1分，最多4分。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4. </w:t>
      </w:r>
      <w:r>
        <w:rPr>
          <w:rFonts w:ascii="Cambria" w:hAnsi="Cambria" w:eastAsia="Noto Serif CJK SC"/>
          <w:sz w:val="21"/>
        </w:rPr>
        <w:t>厚尾、年化与选择偏差</w:t>
      </w:r>
      <w:r>
        <w:rPr>
          <w:rFonts w:ascii="Cambria" w:hAnsi="Cambria" w:eastAsia="Noto Sans CJK SC"/>
          <w:b w:val="0"/>
          <w:sz w:val="20"/>
        </w:rPr>
        <w:t xml:space="preserve">  （10分）</w:t>
      </w:r>
    </w:p>
    <w:p>
      <w:pPr>
        <w:ind w:left="283"/>
      </w:pPr>
      <w:r>
        <w:t>(1) 均值=(29×0.8−35)/30=−0.3933 bps/天；中位数=+0.8 bps/天。两者方向相反，说明一个极端事件足以主导短样本均值。</w:t>
      </w:r>
    </w:p>
    <w:p>
      <w:pPr>
        <w:ind w:left="283"/>
      </w:pPr>
      <w:r>
        <w:t>(2) 简单年化=−0.3933×365=−143.57 bps/年。算术乘法没有错，但它隐含“这 30 天可代表长期分布/极端事件频率稳定”等强假设；厚尾下极端事件频率和幅度估计误差非常大，短窗口年化尤其不稳。</w:t>
      </w:r>
    </w:p>
    <w:p>
      <w:pPr>
        <w:ind w:left="283"/>
      </w:pPr>
      <w:r>
        <w:t>(3) P(至少一次极端)=1−0.99^30=26.03%。这说明单日仅1%的尾部事件，在月度窗口并不罕见。</w:t>
      </w:r>
    </w:p>
    <w:p>
      <w:pPr>
        <w:ind w:left="283"/>
      </w:pPr>
      <w:r>
        <w:t>(4) 只有过去3天 carry 已经较高时才开始采样，相当于研究条件分布，会机械抬高样本中的 carry 水平，并无法看到低/负 carry 状态。更合理方案：固定时间频率无条件记录全市场/全时段；若计算成本受限，可预先设定与 carry 无关的随机抽样；同时保存筛选前的母样本与“是否被筛选”标记，并在独立样本外评估策略。</w:t>
      </w:r>
    </w:p>
    <w:p>
      <w:pPr>
        <w:ind w:left="283"/>
      </w:pPr>
      <w:r>
        <w:t>评分建议：2+2+2+4。</w:t>
      </w:r>
    </w:p>
    <w:p>
      <w:pPr>
        <w:pStyle w:val="Heading1"/>
      </w:pPr>
      <w:r>
        <w:t>四、综合案例分析与研究设计（18分）</w:t>
      </w:r>
    </w:p>
    <w:p>
      <w:pPr>
        <w:pStyle w:val="Question"/>
      </w:pPr>
      <w:r>
        <w:rPr>
          <w:rFonts w:ascii="Cambria" w:hAnsi="Cambria" w:eastAsia="Noto Sans CJK SC"/>
          <w:b/>
          <w:sz w:val="21"/>
        </w:rPr>
        <w:t xml:space="preserve">1. </w:t>
      </w:r>
      <w:r>
        <w:rPr>
          <w:rFonts w:ascii="Cambria" w:hAnsi="Cambria" w:eastAsia="Noto Serif CJK SC"/>
          <w:sz w:val="21"/>
        </w:rPr>
        <w:t>参考框架（不是唯一标准答案）</w:t>
      </w:r>
      <w:r>
        <w:rPr>
          <w:rFonts w:ascii="Cambria" w:hAnsi="Cambria" w:eastAsia="Noto Sans CJK SC"/>
          <w:b w:val="0"/>
          <w:sz w:val="20"/>
        </w:rPr>
        <w:t xml:space="preserve">  （18分）</w:t>
      </w:r>
    </w:p>
    <w:p>
      <w:r>
        <w:rPr>
          <w:rFonts w:ascii="Cambria" w:hAnsi="Cambria" w:eastAsia="Noto Sans CJK SC"/>
          <w:b/>
          <w:sz w:val="22"/>
        </w:rPr>
        <w:t>A. 时间序列与价差定义（4分）</w:t>
      </w:r>
    </w:p>
    <w:p>
      <w:pPr>
        <w:ind w:left="283"/>
      </w:pPr>
      <w:r>
        <w:t>先定义可交易的 basis，统一价格单位、时间戳与合约/资金费口径；对两腿分别检查积分阶数，不能用 0.99 相关代替协整。对候选 spread 做 ADF/残差平稳检验、Hurst 作为辅助证据；滚动估 AR(1)/OU 参数和半衰期，检查参数稳定性。合理持有期应与半衰期、交易成本和 funding/carry 累积速度共同决定。</w:t>
      </w:r>
    </w:p>
    <w:p>
      <w:r>
        <w:rPr>
          <w:rFonts w:ascii="Cambria" w:hAnsi="Cambria" w:eastAsia="Noto Sans CJK SC"/>
          <w:b/>
          <w:sz w:val="22"/>
        </w:rPr>
        <w:t>B. 统计与样本外（4分）</w:t>
      </w:r>
    </w:p>
    <w:p>
      <w:pPr>
        <w:ind w:left="283"/>
      </w:pPr>
      <w:r>
        <w:t>原始数据必须无条件保存，重新构造母样本；“过去7天 carry 前5%”只能作为策略特征，不能作为唯一采样门槛。把时间按先后拆成训练/验证/最终测试，不能随机打乱；若标签重叠，采用 purge/embargo 等隔离。报告中位数、分位数、最大回撤、尾部损失与不同窗口结果，而不是只展示 90 天年化。对大量候选搜索要承认 multiple testing/winner’s curse。</w:t>
      </w:r>
    </w:p>
    <w:p>
      <w:r>
        <w:rPr>
          <w:rFonts w:ascii="Cambria" w:hAnsi="Cambria" w:eastAsia="Noto Sans CJK SC"/>
          <w:b/>
          <w:sz w:val="22"/>
        </w:rPr>
        <w:t>C. 基差与对冲（3分）</w:t>
      </w:r>
    </w:p>
    <w:p>
      <w:pPr>
        <w:ind w:left="283"/>
      </w:pPr>
      <w:r>
        <w:t>把收益拆成：basis convergence/carry/funding − fees − slippage/impact − funding mismatch 等；计算并滚动估 minimum-variance hedge ratio，不机械假设 1:1。检查不同波动、相关性和极端行情下 residual exposure。</w:t>
      </w:r>
    </w:p>
    <w:p>
      <w:r>
        <w:rPr>
          <w:rFonts w:ascii="Cambria" w:hAnsi="Cambria" w:eastAsia="Noto Sans CJK SC"/>
          <w:b/>
          <w:sz w:val="22"/>
        </w:rPr>
        <w:t>D. 微观结构与可执行性（4分）</w:t>
      </w:r>
    </w:p>
    <w:p>
      <w:pPr>
        <w:ind w:left="283"/>
      </w:pPr>
      <w:r>
        <w:t>用真实 bid/ask 和盘口深度回放，不用 mid 假成交。分别建 maker/taker 路径：fee、fill rate、撤单率、等待时间、markout、market impact。模拟非原子成交与 legging：一腿成交后另一腿在 X ms/s 内的价格分布、补腿成本和尾部损失。必要时把 CEX–DEX 论文式 markout 作为价值转移/执行质量指标。</w:t>
      </w:r>
    </w:p>
    <w:p>
      <w:r>
        <w:rPr>
          <w:rFonts w:ascii="Cambria" w:hAnsi="Cambria" w:eastAsia="Noto Sans CJK SC"/>
          <w:b/>
          <w:sz w:val="22"/>
        </w:rPr>
        <w:t>E. 决策门槛（3分）</w:t>
      </w:r>
    </w:p>
    <w:p>
      <w:pPr>
        <w:ind w:left="283"/>
      </w:pPr>
      <w:r>
        <w:t>示例：① 最终未触碰测试集上，扣除所有成本后净收益仍为正，且置信区间/自助法下不过度依赖少数极端盈利；② 实盘/回放 fill-adjusted edge 至少覆盖预计总成本的 1.5–2 倍；③ 95% 或 99% 分位的 legging loss 不超过预设风险预算；④ rolling ADF/half-life 在多数窗口稳定；⑤ 参数轻微扰动后仍盈利；⑥ 小额实盘若 20–50 次独立机会的真实 markout/净收益显著劣于回测，则停止。给出任意三个可量化门槛并说明为什么即可。</w:t>
      </w:r>
    </w:p>
    <w:p>
      <w:r>
        <w:rPr>
          <w:rFonts w:ascii="Cambria" w:hAnsi="Cambria" w:eastAsia="Noto Sans CJK SC"/>
          <w:b/>
          <w:sz w:val="24"/>
        </w:rPr>
        <w:t>常见失分点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DEDED"/>
          </w:tcPr>
          <w:p>
            <w:r>
              <w:t>错误做法</w:t>
            </w:r>
          </w:p>
        </w:tc>
        <w:tc>
          <w:tcPr>
            <w:tcW w:type="dxa" w:w="3324"/>
            <w:shd w:fill="EDEDED"/>
          </w:tcPr>
          <w:p>
            <w:r>
              <w:t>为什么错</w:t>
            </w:r>
          </w:p>
        </w:tc>
        <w:tc>
          <w:tcPr>
            <w:tcW w:type="dxa" w:w="3324"/>
            <w:shd w:fill="EDEDED"/>
          </w:tcPr>
          <w:p>
            <w:r>
              <w:t>建议扣分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把相关系数 0.99 当作均值回归证明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混淆 correlation 与 cointegration/stationarity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继续只保存高 carry 时刻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无法修复 selection bias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回测仍按 mid 同时成交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完全忽略执行可行性与 legging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只比较 maker/taker fee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漏掉 markout、fill、impact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−1~2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没有独立最终测试集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无法评价数据挖掘后的真实泛化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−2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门槛全是“看起来不错”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不可证伪，不能用于资本决策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−1~2</w:t>
            </w:r>
          </w:p>
        </w:tc>
      </w:tr>
    </w:tbl>
    <w:p>
      <w:r>
        <w:br w:type="page"/>
      </w:r>
    </w:p>
    <w:p>
      <w:pPr>
        <w:pStyle w:val="Heading1"/>
      </w:pPr>
      <w:r>
        <w:t>能力分层建议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t>分数</w:t>
            </w:r>
          </w:p>
        </w:tc>
        <w:tc>
          <w:tcPr>
            <w:tcW w:type="dxa" w:w="4986"/>
            <w:shd w:fill="EDEDED"/>
          </w:tcPr>
          <w:p>
            <w:r>
              <w:t>解释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90–100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能够把金融理论、统计验证和执行微观结构连成一条完整因果链；可以进入“小额真实数据验证”阶段。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80–89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核心概念较牢，但可能在厚尾/样本外、执行成本或对冲比率上仍有一两个盲点；建议针对错题补读。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70–79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会公式，但研究设计尚不够稳健；很容易在真实策略中被 selection bias 或 execution cost 反噬。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60–69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能识别部分术语，但还没有形成“先证伪、再交易”的框架。建议重做 Chan/Hull 与统计模块。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&lt;60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暂时不建议把相关策略扩大资金规模；先把七个判断问题逐一补齐，再重考。</w:t>
            </w:r>
          </w:p>
        </w:tc>
      </w:tr>
    </w:tbl>
    <w:p>
      <w:r>
        <w:rPr>
          <w:rFonts w:ascii="Cambria" w:hAnsi="Cambria" w:eastAsia="Noto Sans CJK SC"/>
          <w:b/>
          <w:sz w:val="24"/>
        </w:rPr>
        <w:t>本卷依据的学习范围</w:t>
      </w:r>
    </w:p>
    <w:p>
      <w:r>
        <w:t>• Ernie Chan, Algorithmic Trading: Winning Strategies and Their Rationale — mean reversion / ADF / Hurst / half-life / cointegration.</w:t>
      </w:r>
    </w:p>
    <w:p>
      <w:r>
        <w:t>• Ruey S. Tsay, Analysis of Financial Time Series — financial time-series modelling background.</w:t>
      </w:r>
    </w:p>
    <w:p>
      <w:r>
        <w:t>• Nassim N. Taleb, Statistical Consequences of Fat Tails — fat tails, sample instability and tail-aware reasoning.</w:t>
      </w:r>
    </w:p>
    <w:p>
      <w:r>
        <w:t>• Marcos López de Prado, Advances in Financial Machine Learning — financial cross-validation, leakage/overfitting and backtesting.</w:t>
      </w:r>
    </w:p>
    <w:p>
      <w:r>
        <w:t>• John C. Hull, Options, Futures, and Other Derivatives, Chapters 1–5 — futures, basis, hedging and minimum-variance hedge ratio.</w:t>
      </w:r>
    </w:p>
    <w:p>
      <w:r>
        <w:t>• Larry Harris, Trading and Exchanges — order types, liquidity, maker/taker, adverse selection and market microstructure.</w:t>
      </w:r>
    </w:p>
    <w:p>
      <w:r>
        <w:t>• LVR / CEX–DEX Extracted Value / There Will Be Spam / Signals and Spoils — used for method-oriented questions on adverse selection, markout, speculative/OEV-style measurement, not for memorizing paper-specific empirical numbers.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eastAsia="Noto Sans CJK SC"/>
        <w:sz w:val="17"/>
      </w:rPr>
      <w:t xml:space="preserve">第 </w:t>
    </w:r>
    <w:fldSimple w:instr="PAGE"/>
    <w:r>
      <w:rPr>
        <w:rFonts w:ascii="Cambria" w:hAnsi="Cambria" w:eastAsia="Noto Sans CJK S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 w:eastAsia="Noto Sans CJK SC"/>
        <w:sz w:val="17"/>
      </w:rPr>
      <w:t>量化交易金融基础 · 参考答案与评分标准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mbria" w:hAnsi="Cambria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20" w:after="60" w:line="300" w:lineRule="auto"/>
    </w:pPr>
    <w:rPr>
      <w:rFonts w:ascii="Cambria" w:hAnsi="Cambria" w:eastAsia="Noto Serif CJK SC"/>
      <w:sz w:val="21"/>
    </w:rPr>
  </w:style>
  <w:style w:type="paragraph" w:customStyle="1" w:styleId="Option">
    <w:name w:val="Option"/>
    <w:pPr>
      <w:spacing w:after="20"/>
      <w:ind w:left="397" w:hanging="198"/>
    </w:pPr>
    <w:rPr>
      <w:rFonts w:ascii="Cambria" w:hAnsi="Cambria" w:eastAsia="Noto Serif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