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82" w:lineRule="auto"/>
        <w:rPr>
          <w:rFonts w:ascii="Arial"/>
          <w:sz w:val="21"/>
        </w:rPr>
      </w:pPr>
      <w:r/>
    </w:p>
    <w:p>
      <w:pPr>
        <w:ind w:left="3859"/>
        <w:spacing w:before="91" w:line="219" w:lineRule="auto"/>
        <w:outlineLvl w:val="0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b/>
          <w:bCs/>
          <w:spacing w:val="-6"/>
        </w:rPr>
        <w:t>教学设计</w:t>
      </w:r>
    </w:p>
    <w:p>
      <w:pPr>
        <w:spacing w:line="125" w:lineRule="exact"/>
        <w:rPr/>
      </w:pPr>
      <w:r/>
    </w:p>
    <w:tbl>
      <w:tblPr>
        <w:tblStyle w:val="TableNormal"/>
        <w:tblW w:w="86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1034"/>
        <w:gridCol w:w="2477"/>
        <w:gridCol w:w="659"/>
        <w:gridCol w:w="1678"/>
        <w:gridCol w:w="659"/>
        <w:gridCol w:w="2152"/>
      </w:tblGrid>
      <w:tr>
        <w:trPr>
          <w:trHeight w:val="474" w:hRule="atLeast"/>
        </w:trPr>
        <w:tc>
          <w:tcPr>
            <w:shd w:val="clear" w:fill="C7C7C7"/>
            <w:tcW w:w="8659" w:type="dxa"/>
            <w:vAlign w:val="top"/>
            <w:gridSpan w:val="6"/>
          </w:tcPr>
          <w:p>
            <w:pPr>
              <w:pStyle w:val="TableText"/>
              <w:ind w:left="3705"/>
              <w:spacing w:before="132" w:line="219" w:lineRule="auto"/>
              <w:rPr/>
            </w:pPr>
            <w:r>
              <w:rPr>
                <w:spacing w:val="2"/>
              </w:rPr>
              <w:t>课程基本信息</w:t>
            </w:r>
          </w:p>
        </w:tc>
      </w:tr>
      <w:tr>
        <w:trPr>
          <w:trHeight w:val="460" w:hRule="atLeast"/>
        </w:trPr>
        <w:tc>
          <w:tcPr>
            <w:tcW w:w="1034" w:type="dxa"/>
            <w:vAlign w:val="top"/>
          </w:tcPr>
          <w:p>
            <w:pPr>
              <w:pStyle w:val="TableText"/>
              <w:ind w:left="84"/>
              <w:spacing w:before="128" w:line="219" w:lineRule="auto"/>
              <w:rPr/>
            </w:pPr>
            <w:r>
              <w:rPr>
                <w:spacing w:val="-4"/>
              </w:rPr>
              <w:t>学科</w:t>
            </w:r>
          </w:p>
        </w:tc>
        <w:tc>
          <w:tcPr>
            <w:tcW w:w="2477" w:type="dxa"/>
            <w:vAlign w:val="top"/>
          </w:tcPr>
          <w:p>
            <w:pPr>
              <w:pStyle w:val="TableText"/>
              <w:ind w:left="111"/>
              <w:spacing w:before="129" w:line="219" w:lineRule="auto"/>
              <w:rPr/>
            </w:pPr>
            <w:r>
              <w:rPr>
                <w:spacing w:val="-2"/>
              </w:rPr>
              <w:t>信息技术</w:t>
            </w:r>
          </w:p>
        </w:tc>
        <w:tc>
          <w:tcPr>
            <w:tcW w:w="659" w:type="dxa"/>
            <w:vAlign w:val="top"/>
          </w:tcPr>
          <w:p>
            <w:pPr>
              <w:pStyle w:val="TableText"/>
              <w:ind w:left="93"/>
              <w:spacing w:before="129" w:line="219" w:lineRule="auto"/>
              <w:rPr/>
            </w:pPr>
            <w:r>
              <w:rPr>
                <w:spacing w:val="6"/>
              </w:rPr>
              <w:t>年级</w:t>
            </w:r>
          </w:p>
        </w:tc>
        <w:tc>
          <w:tcPr>
            <w:tcW w:w="1678" w:type="dxa"/>
            <w:vAlign w:val="top"/>
          </w:tcPr>
          <w:p>
            <w:pPr>
              <w:pStyle w:val="TableText"/>
              <w:ind w:left="94"/>
              <w:spacing w:before="129" w:line="219" w:lineRule="auto"/>
              <w:rPr/>
            </w:pPr>
            <w:r>
              <w:rPr>
                <w:spacing w:val="11"/>
              </w:rPr>
              <w:t>高一</w:t>
            </w:r>
          </w:p>
        </w:tc>
        <w:tc>
          <w:tcPr>
            <w:tcW w:w="659" w:type="dxa"/>
            <w:vAlign w:val="top"/>
          </w:tcPr>
          <w:p>
            <w:pPr>
              <w:pStyle w:val="TableText"/>
              <w:ind w:left="116"/>
              <w:spacing w:before="130" w:line="220" w:lineRule="auto"/>
              <w:rPr/>
            </w:pPr>
            <w:r>
              <w:rPr>
                <w:spacing w:val="6"/>
              </w:rPr>
              <w:t>学期</w:t>
            </w:r>
          </w:p>
        </w:tc>
        <w:tc>
          <w:tcPr>
            <w:tcW w:w="2152" w:type="dxa"/>
            <w:vAlign w:val="top"/>
          </w:tcPr>
          <w:p>
            <w:pPr>
              <w:pStyle w:val="TableText"/>
              <w:ind w:left="107"/>
              <w:spacing w:before="129" w:line="219" w:lineRule="auto"/>
              <w:rPr/>
            </w:pPr>
            <w:r>
              <w:rPr>
                <w:spacing w:val="-3"/>
              </w:rPr>
              <w:t>秋季</w:t>
            </w:r>
          </w:p>
        </w:tc>
      </w:tr>
      <w:tr>
        <w:trPr>
          <w:trHeight w:val="469" w:hRule="atLeast"/>
        </w:trPr>
        <w:tc>
          <w:tcPr>
            <w:tcW w:w="1034" w:type="dxa"/>
            <w:vAlign w:val="top"/>
          </w:tcPr>
          <w:p>
            <w:pPr>
              <w:pStyle w:val="TableText"/>
              <w:ind w:left="84"/>
              <w:spacing w:before="130" w:line="221" w:lineRule="auto"/>
              <w:rPr/>
            </w:pPr>
            <w:r>
              <w:rPr>
                <w:spacing w:val="-2"/>
              </w:rPr>
              <w:t>课题</w:t>
            </w:r>
          </w:p>
        </w:tc>
        <w:tc>
          <w:tcPr>
            <w:tcW w:w="7625" w:type="dxa"/>
            <w:vAlign w:val="top"/>
            <w:gridSpan w:val="5"/>
          </w:tcPr>
          <w:p>
            <w:pPr>
              <w:pStyle w:val="TableText"/>
              <w:ind w:left="121"/>
              <w:spacing w:before="128" w:line="219" w:lineRule="auto"/>
              <w:rPr/>
            </w:pPr>
            <w:r>
              <w:rPr>
                <w:spacing w:val="-1"/>
              </w:rPr>
              <w:t>用随机投点法计算圆周率</w:t>
            </w:r>
          </w:p>
        </w:tc>
      </w:tr>
      <w:tr>
        <w:trPr>
          <w:trHeight w:val="939" w:hRule="atLeast"/>
        </w:trPr>
        <w:tc>
          <w:tcPr>
            <w:tcW w:w="1034" w:type="dxa"/>
            <w:vAlign w:val="top"/>
          </w:tcPr>
          <w:p>
            <w:pPr>
              <w:pStyle w:val="TableText"/>
              <w:ind w:left="84"/>
              <w:spacing w:before="139" w:line="219" w:lineRule="auto"/>
              <w:rPr/>
            </w:pPr>
            <w:r>
              <w:rPr>
                <w:spacing w:val="4"/>
              </w:rPr>
              <w:t>教科书</w:t>
            </w:r>
          </w:p>
        </w:tc>
        <w:tc>
          <w:tcPr>
            <w:tcW w:w="7625" w:type="dxa"/>
            <w:vAlign w:val="top"/>
            <w:gridSpan w:val="5"/>
          </w:tcPr>
          <w:p>
            <w:pPr>
              <w:pStyle w:val="TableText"/>
              <w:ind w:left="121"/>
              <w:spacing w:before="149" w:line="219" w:lineRule="auto"/>
              <w:rPr/>
            </w:pPr>
            <w:r>
              <w:rPr/>
              <w:t>书 名：《信息技术(必修一)数据与计算》</w:t>
            </w:r>
          </w:p>
          <w:p>
            <w:pPr>
              <w:pStyle w:val="TableText"/>
              <w:ind w:left="121"/>
              <w:spacing w:before="211" w:line="227" w:lineRule="auto"/>
              <w:rPr/>
            </w:pPr>
            <w:r>
              <w:rPr>
                <w:spacing w:val="2"/>
              </w:rPr>
              <w:t>出版社：上海科技教育出版社            </w:t>
            </w:r>
            <w:r>
              <w:rPr>
                <w:spacing w:val="1"/>
              </w:rPr>
              <w:t xml:space="preserve">    出版日期：2022年7月</w:t>
            </w:r>
          </w:p>
        </w:tc>
      </w:tr>
      <w:tr>
        <w:trPr>
          <w:trHeight w:val="470" w:hRule="atLeast"/>
        </w:trPr>
        <w:tc>
          <w:tcPr>
            <w:shd w:val="clear" w:fill="D7D7D7"/>
            <w:tcW w:w="8659" w:type="dxa"/>
            <w:vAlign w:val="top"/>
            <w:gridSpan w:val="6"/>
          </w:tcPr>
          <w:p>
            <w:pPr>
              <w:pStyle w:val="TableText"/>
              <w:ind w:left="3894"/>
              <w:spacing w:before="131" w:line="219" w:lineRule="auto"/>
              <w:rPr/>
            </w:pPr>
            <w:r>
              <w:rPr>
                <w:spacing w:val="-3"/>
              </w:rPr>
              <w:t>教学目标</w:t>
            </w:r>
          </w:p>
        </w:tc>
      </w:tr>
      <w:tr>
        <w:trPr>
          <w:trHeight w:val="1878" w:hRule="atLeast"/>
        </w:trPr>
        <w:tc>
          <w:tcPr>
            <w:tcW w:w="8659" w:type="dxa"/>
            <w:vAlign w:val="top"/>
            <w:gridSpan w:val="6"/>
          </w:tcPr>
          <w:p>
            <w:pPr>
              <w:pStyle w:val="TableText"/>
              <w:ind w:left="84"/>
              <w:spacing w:before="130" w:line="219" w:lineRule="auto"/>
              <w:rPr/>
            </w:pPr>
            <w:r>
              <w:rPr>
                <w:spacing w:val="-1"/>
              </w:rPr>
              <w:t>1.让学生完整体验用计算机解决问题的过程。</w:t>
            </w:r>
          </w:p>
          <w:p>
            <w:pPr>
              <w:pStyle w:val="TableText"/>
              <w:ind w:left="84"/>
              <w:spacing w:before="220" w:line="219" w:lineRule="auto"/>
              <w:rPr/>
            </w:pPr>
            <w:r>
              <w:rPr/>
              <w:t>2.学生探究和实践程序的选择结构和循环结构的构建，培</w:t>
            </w:r>
            <w:r>
              <w:rPr>
                <w:spacing w:val="-1"/>
              </w:rPr>
              <w:t>养计算思维。</w:t>
            </w:r>
          </w:p>
          <w:p>
            <w:pPr>
              <w:pStyle w:val="TableText"/>
              <w:ind w:left="84"/>
              <w:spacing w:before="226" w:line="214" w:lineRule="auto"/>
              <w:rPr/>
            </w:pPr>
            <w:r>
              <w:rPr/>
              <w:t>3.学生利用python语言编程实现计算圆</w:t>
            </w:r>
            <w:r>
              <w:rPr>
                <w:spacing w:val="-1"/>
              </w:rPr>
              <w:t>周率的算法。</w:t>
            </w:r>
          </w:p>
          <w:p>
            <w:pPr>
              <w:pStyle w:val="TableText"/>
              <w:ind w:left="84"/>
              <w:spacing w:before="210" w:line="218" w:lineRule="auto"/>
              <w:rPr/>
            </w:pPr>
            <w:r>
              <w:rPr>
                <w:spacing w:val="-1"/>
              </w:rPr>
              <w:t>4.了解算法的评价过程，感受不同算法的优点。</w:t>
            </w:r>
          </w:p>
        </w:tc>
      </w:tr>
      <w:tr>
        <w:trPr>
          <w:trHeight w:val="460" w:hRule="atLeast"/>
        </w:trPr>
        <w:tc>
          <w:tcPr>
            <w:shd w:val="clear" w:fill="D7D7D7"/>
            <w:tcW w:w="8659" w:type="dxa"/>
            <w:vAlign w:val="top"/>
            <w:gridSpan w:val="6"/>
          </w:tcPr>
          <w:p>
            <w:pPr>
              <w:pStyle w:val="TableText"/>
              <w:ind w:left="3904"/>
              <w:spacing w:before="133" w:line="219" w:lineRule="auto"/>
              <w:rPr/>
            </w:pPr>
            <w:r>
              <w:rPr>
                <w:spacing w:val="2"/>
              </w:rPr>
              <w:t>教学内容</w:t>
            </w:r>
          </w:p>
        </w:tc>
      </w:tr>
      <w:tr>
        <w:trPr>
          <w:trHeight w:val="2808" w:hRule="atLeast"/>
        </w:trPr>
        <w:tc>
          <w:tcPr>
            <w:tcW w:w="8659" w:type="dxa"/>
            <w:vAlign w:val="top"/>
            <w:gridSpan w:val="6"/>
          </w:tcPr>
          <w:p>
            <w:pPr>
              <w:pStyle w:val="TableText"/>
              <w:ind w:left="87"/>
              <w:spacing w:before="130" w:line="219" w:lineRule="auto"/>
              <w:rPr/>
            </w:pPr>
            <w:r>
              <w:rPr>
                <w:b/>
                <w:bCs/>
                <w:spacing w:val="-4"/>
              </w:rPr>
              <w:t>教学重点：</w:t>
            </w:r>
          </w:p>
          <w:p>
            <w:pPr>
              <w:pStyle w:val="TableText"/>
              <w:ind w:left="84"/>
              <w:spacing w:before="234" w:line="219" w:lineRule="auto"/>
              <w:rPr/>
            </w:pPr>
            <w:r>
              <w:rPr>
                <w:spacing w:val="-1"/>
              </w:rPr>
              <w:t>1.循环结构的构建方法。</w:t>
            </w:r>
          </w:p>
          <w:p>
            <w:pPr>
              <w:pStyle w:val="TableText"/>
              <w:ind w:left="84"/>
              <w:spacing w:before="195" w:line="214" w:lineRule="auto"/>
              <w:rPr/>
            </w:pPr>
            <w:r>
              <w:rPr/>
              <w:t>2.使用python语言编程实现循环结构的算法</w:t>
            </w:r>
            <w:r>
              <w:rPr>
                <w:spacing w:val="-1"/>
              </w:rPr>
              <w:t>计算圆周率。</w:t>
            </w:r>
          </w:p>
          <w:p>
            <w:pPr>
              <w:pStyle w:val="TableText"/>
              <w:ind w:left="87" w:right="4169" w:hanging="3"/>
              <w:spacing w:before="249" w:line="307" w:lineRule="auto"/>
              <w:rPr/>
            </w:pPr>
            <w:r>
              <w:rPr>
                <w:spacing w:val="-1"/>
              </w:rPr>
              <w:t>3.了解算法的评价过程，感受不同算法的优点。</w:t>
            </w:r>
            <w:r>
              <w:rPr>
                <w:spacing w:val="5"/>
              </w:rPr>
              <w:t xml:space="preserve"> </w:t>
            </w:r>
            <w:r>
              <w:rPr>
                <w:b/>
                <w:bCs/>
                <w:spacing w:val="-4"/>
              </w:rPr>
              <w:t>教学难点：</w:t>
            </w:r>
          </w:p>
          <w:p>
            <w:pPr>
              <w:pStyle w:val="TableText"/>
              <w:ind w:left="84"/>
              <w:spacing w:before="233" w:line="219" w:lineRule="auto"/>
              <w:rPr/>
            </w:pPr>
            <w:r>
              <w:rPr>
                <w:spacing w:val="-1"/>
              </w:rPr>
              <w:t>循环结构的构建方法。</w:t>
            </w:r>
          </w:p>
        </w:tc>
      </w:tr>
      <w:tr>
        <w:trPr>
          <w:trHeight w:val="470" w:hRule="atLeast"/>
        </w:trPr>
        <w:tc>
          <w:tcPr>
            <w:shd w:val="clear" w:fill="D7D7D7"/>
            <w:tcW w:w="8659" w:type="dxa"/>
            <w:vAlign w:val="top"/>
            <w:gridSpan w:val="6"/>
          </w:tcPr>
          <w:p>
            <w:pPr>
              <w:pStyle w:val="TableText"/>
              <w:ind w:left="3894"/>
              <w:spacing w:before="135" w:line="219" w:lineRule="auto"/>
              <w:rPr/>
            </w:pPr>
            <w:r>
              <w:rPr>
                <w:spacing w:val="-3"/>
              </w:rPr>
              <w:t>教学过程</w:t>
            </w:r>
          </w:p>
        </w:tc>
      </w:tr>
      <w:tr>
        <w:trPr>
          <w:trHeight w:val="4691" w:hRule="atLeast"/>
        </w:trPr>
        <w:tc>
          <w:tcPr>
            <w:tcW w:w="8659" w:type="dxa"/>
            <w:vAlign w:val="top"/>
            <w:gridSpan w:val="6"/>
          </w:tcPr>
          <w:p>
            <w:pPr>
              <w:pStyle w:val="TableText"/>
              <w:ind w:left="505"/>
              <w:spacing w:before="148" w:line="221" w:lineRule="auto"/>
              <w:rPr/>
            </w:pPr>
            <w:r>
              <w:rPr/>
              <w:t>一、导入</w:t>
            </w:r>
          </w:p>
          <w:p>
            <w:pPr>
              <w:pStyle w:val="TableText"/>
              <w:ind w:left="84" w:right="97" w:firstLine="470"/>
              <w:spacing w:before="225" w:line="398" w:lineRule="auto"/>
              <w:rPr/>
            </w:pPr>
            <w:r>
              <w:rPr/>
              <w:t>引入“神奇的圆周率”视频，介绍古今中外科学家探究圆周率值的历史，感受圆周率的</w:t>
            </w:r>
            <w:r>
              <w:rPr>
                <w:spacing w:val="15"/>
              </w:rPr>
              <w:t xml:space="preserve"> </w:t>
            </w:r>
            <w:r>
              <w:rPr>
                <w:spacing w:val="-1"/>
              </w:rPr>
              <w:t>魅力，激发同学们的学习兴趣。</w:t>
            </w:r>
          </w:p>
          <w:p>
            <w:pPr>
              <w:pStyle w:val="TableText"/>
              <w:ind w:left="525"/>
              <w:spacing w:before="23" w:line="219" w:lineRule="auto"/>
              <w:rPr/>
            </w:pPr>
            <w:r>
              <w:rPr>
                <w:spacing w:val="-1"/>
              </w:rPr>
              <w:t>二、讲解随机投点法计算圆周率的原理。</w:t>
            </w:r>
          </w:p>
          <w:p>
            <w:pPr>
              <w:pStyle w:val="TableText"/>
              <w:ind w:left="525"/>
              <w:spacing w:before="210" w:line="219" w:lineRule="auto"/>
              <w:rPr/>
            </w:pPr>
            <w:r>
              <w:rPr>
                <w:spacing w:val="-1"/>
              </w:rPr>
              <w:t>1.用动画演示随机投点的过程。</w:t>
            </w:r>
          </w:p>
          <w:p>
            <w:pPr>
              <w:pStyle w:val="TableText"/>
              <w:ind w:left="525"/>
              <w:spacing w:before="221" w:line="219" w:lineRule="auto"/>
              <w:rPr/>
            </w:pPr>
            <w:r>
              <w:rPr>
                <w:spacing w:val="-1"/>
              </w:rPr>
              <w:t>2.推导随机投点法计算圆周率的计算表达式。</w:t>
            </w:r>
          </w:p>
          <w:p>
            <w:pPr>
              <w:pStyle w:val="TableText"/>
              <w:ind w:left="525"/>
              <w:spacing w:before="231" w:line="219" w:lineRule="auto"/>
              <w:rPr/>
            </w:pPr>
            <w:r>
              <w:rPr>
                <w:spacing w:val="-1"/>
              </w:rPr>
              <w:t>三、编程实现随机投点法计算圆周率的过程</w:t>
            </w:r>
          </w:p>
          <w:p>
            <w:pPr>
              <w:pStyle w:val="TableText"/>
              <w:ind w:left="515"/>
              <w:spacing w:before="212" w:line="220" w:lineRule="auto"/>
              <w:rPr/>
            </w:pPr>
            <w:r>
              <w:rPr>
                <w:spacing w:val="1"/>
              </w:rPr>
              <w:t>1.分析问题</w:t>
            </w:r>
          </w:p>
          <w:p>
            <w:pPr>
              <w:pStyle w:val="TableText"/>
              <w:ind w:left="515"/>
              <w:spacing w:before="231" w:line="221" w:lineRule="auto"/>
              <w:rPr/>
            </w:pPr>
            <w:r>
              <w:rPr>
                <w:spacing w:val="3"/>
              </w:rPr>
              <w:t>2.突破难点</w:t>
            </w:r>
          </w:p>
          <w:p>
            <w:pPr>
              <w:pStyle w:val="TableText"/>
              <w:ind w:left="545"/>
              <w:spacing w:before="206" w:line="219" w:lineRule="auto"/>
              <w:rPr/>
            </w:pPr>
            <w:r>
              <w:rPr>
                <w:spacing w:val="-1"/>
              </w:rPr>
              <w:t>引导学生思考，师生互动，探究交流，构建循环结构。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"/>
          <w:pgSz w:w="11900" w:h="16840"/>
          <w:pgMar w:top="1222" w:right="1705" w:bottom="0" w:left="1524" w:header="807" w:footer="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189" w:lineRule="exact"/>
        <w:rPr/>
      </w:pPr>
      <w:r/>
    </w:p>
    <w:tbl>
      <w:tblPr>
        <w:tblStyle w:val="TableNormal"/>
        <w:tblW w:w="8649" w:type="dxa"/>
        <w:tblInd w:w="5" w:type="dxa"/>
        <w:tblLayout w:type="fixed"/>
        <w:tblBorders>
          <w:left w:val="single" w:color="000000" w:sz="4" w:space="0"/>
          <w:bottom w:val="single" w:color="000000" w:sz="4" w:space="0"/>
          <w:right w:val="single" w:color="000000" w:sz="4" w:space="0"/>
          <w:top w:val="single" w:color="000000" w:sz="4" w:space="0"/>
        </w:tblBorders>
      </w:tblPr>
      <w:tblGrid>
        <w:gridCol w:w="8649"/>
      </w:tblGrid>
      <w:tr>
        <w:trPr>
          <w:trHeight w:val="8909" w:hRule="atLeast"/>
        </w:trPr>
        <w:tc>
          <w:tcPr>
            <w:tcW w:w="8649" w:type="dxa"/>
            <w:vAlign w:val="top"/>
          </w:tcPr>
          <w:p>
            <w:pPr>
              <w:pStyle w:val="TableText"/>
              <w:ind w:left="555"/>
              <w:spacing w:before="133" w:line="219" w:lineRule="auto"/>
              <w:rPr/>
            </w:pPr>
            <w:r>
              <w:rPr/>
              <w:t>(1)思考1:投点坐标的特点?落在扇形区域中点的坐标特点?</w:t>
            </w:r>
          </w:p>
          <w:p>
            <w:pPr>
              <w:pStyle w:val="TableText"/>
              <w:ind w:left="545"/>
              <w:spacing w:before="220" w:line="219" w:lineRule="auto"/>
              <w:rPr/>
            </w:pPr>
            <w:r>
              <w:rPr/>
              <w:t>(2)思考2:在投点过程中，需要重复做的事情是什么?</w:t>
            </w:r>
          </w:p>
          <w:p>
            <w:pPr>
              <w:pStyle w:val="TableText"/>
              <w:ind w:left="545"/>
              <w:spacing w:before="220" w:line="219" w:lineRule="auto"/>
              <w:rPr/>
            </w:pPr>
            <w:r>
              <w:rPr/>
              <w:t>(3)思考3:如何控制循环次数?</w:t>
            </w:r>
          </w:p>
          <w:p>
            <w:pPr>
              <w:pStyle w:val="TableText"/>
              <w:ind w:left="515"/>
              <w:spacing w:before="231" w:line="219" w:lineRule="auto"/>
              <w:rPr/>
            </w:pPr>
            <w:r>
              <w:rPr>
                <w:spacing w:val="-2"/>
              </w:rPr>
              <w:t>3.设计算法</w:t>
            </w:r>
          </w:p>
          <w:p>
            <w:pPr>
              <w:pStyle w:val="TableText"/>
              <w:ind w:left="634"/>
              <w:spacing w:before="221" w:line="219" w:lineRule="auto"/>
              <w:rPr/>
            </w:pPr>
            <w:r>
              <w:rPr/>
              <w:t>使用流程图设计算法，学生完成学习任务一，补充完整</w:t>
            </w:r>
            <w:r>
              <w:rPr>
                <w:spacing w:val="-1"/>
              </w:rPr>
              <w:t>流程图。</w:t>
            </w:r>
          </w:p>
          <w:p>
            <w:pPr>
              <w:pStyle w:val="TableText"/>
              <w:ind w:left="515"/>
              <w:spacing w:before="231" w:line="219" w:lineRule="auto"/>
              <w:rPr/>
            </w:pPr>
            <w:r>
              <w:rPr>
                <w:spacing w:val="-1"/>
              </w:rPr>
              <w:t>4.编写代码，调试运行</w:t>
            </w:r>
          </w:p>
          <w:p>
            <w:pPr>
              <w:pStyle w:val="TableText"/>
              <w:ind w:left="105" w:right="248" w:firstLine="419"/>
              <w:spacing w:before="215" w:line="411" w:lineRule="auto"/>
              <w:rPr/>
            </w:pPr>
            <w:r>
              <w:rPr/>
              <w:t>用python语言编程实现“用随机投点法计算圆周率”,学生完</w:t>
            </w:r>
            <w:r>
              <w:rPr>
                <w:spacing w:val="-1"/>
              </w:rPr>
              <w:t>成学习任务二，补充程序</w:t>
            </w:r>
            <w:r>
              <w:rPr/>
              <w:t xml:space="preserve"> </w:t>
            </w:r>
            <w:r>
              <w:rPr>
                <w:spacing w:val="-1"/>
              </w:rPr>
              <w:t>代码，并调试运行。</w:t>
            </w:r>
          </w:p>
          <w:p>
            <w:pPr>
              <w:pStyle w:val="TableText"/>
              <w:ind w:left="535" w:right="1376"/>
              <w:spacing w:before="1" w:line="316" w:lineRule="auto"/>
              <w:rPr/>
            </w:pPr>
            <w:r>
              <w:rPr/>
              <w:t>四、对比“欧拉公式计算圆周率”和“随机投点法计算圆周率”两种算法</w:t>
            </w:r>
            <w:r>
              <w:rPr>
                <w:spacing w:val="6"/>
              </w:rPr>
              <w:t xml:space="preserve"> </w:t>
            </w:r>
            <w:r>
              <w:rPr/>
              <w:t>学生完成学习任务三</w:t>
            </w:r>
          </w:p>
          <w:p>
            <w:pPr>
              <w:pStyle w:val="TableText"/>
              <w:ind w:left="105" w:right="105" w:firstLine="439"/>
              <w:spacing w:before="224" w:line="311" w:lineRule="auto"/>
              <w:rPr/>
            </w:pPr>
            <w:r>
              <w:rPr/>
              <w:t>1.学生分别记录两种算法程序的运性结果，记录pi变量的值，精确的小数位数和程序运</w:t>
            </w:r>
            <w:r>
              <w:rPr>
                <w:spacing w:val="7"/>
              </w:rPr>
              <w:t xml:space="preserve"> </w:t>
            </w:r>
            <w:r>
              <w:rPr>
                <w:spacing w:val="-1"/>
              </w:rPr>
              <w:t>行时间。</w:t>
            </w:r>
          </w:p>
          <w:p>
            <w:pPr>
              <w:pStyle w:val="TableText"/>
              <w:ind w:left="105" w:right="124" w:firstLine="419"/>
              <w:spacing w:before="217" w:line="322" w:lineRule="auto"/>
              <w:rPr/>
            </w:pPr>
            <w:r>
              <w:rPr/>
              <w:t>2.对比两种算法的优势，比较计算结果精确度的高低，程序运行时间的长短，以及对算</w:t>
            </w:r>
            <w:r>
              <w:rPr>
                <w:spacing w:val="8"/>
              </w:rPr>
              <w:t xml:space="preserve"> </w:t>
            </w:r>
            <w:r>
              <w:rPr>
                <w:spacing w:val="-1"/>
              </w:rPr>
              <w:t>法理解程度的难易。</w:t>
            </w:r>
          </w:p>
          <w:p>
            <w:pPr>
              <w:pStyle w:val="TableText"/>
              <w:ind w:left="535"/>
              <w:spacing w:before="231" w:line="221" w:lineRule="auto"/>
              <w:rPr/>
            </w:pPr>
            <w:r>
              <w:rPr>
                <w:spacing w:val="2"/>
              </w:rPr>
              <w:t>五、课堂小结</w:t>
            </w:r>
          </w:p>
          <w:p>
            <w:pPr>
              <w:pStyle w:val="TableText"/>
              <w:ind w:left="535"/>
              <w:spacing w:before="216" w:line="219" w:lineRule="auto"/>
              <w:rPr/>
            </w:pPr>
            <w:r>
              <w:rPr/>
              <w:t>1.同学们完整体验了用计算机程序解决计算圆周率</w:t>
            </w:r>
            <w:r>
              <w:rPr>
                <w:spacing w:val="-1"/>
              </w:rPr>
              <w:t>问题的过程。</w:t>
            </w:r>
          </w:p>
          <w:p>
            <w:pPr>
              <w:pStyle w:val="TableText"/>
              <w:ind w:left="515"/>
              <w:spacing w:before="221" w:line="219" w:lineRule="auto"/>
              <w:rPr/>
            </w:pPr>
            <w:r>
              <w:rPr/>
              <w:t>2.深入探究实践了程序的循环结构和选择</w:t>
            </w:r>
            <w:r>
              <w:rPr>
                <w:spacing w:val="-1"/>
              </w:rPr>
              <w:t>结构的构建。</w:t>
            </w:r>
          </w:p>
          <w:p>
            <w:pPr>
              <w:pStyle w:val="TableText"/>
              <w:ind w:left="535"/>
              <w:spacing w:before="211" w:line="219" w:lineRule="auto"/>
              <w:rPr/>
            </w:pPr>
            <w:r>
              <w:rPr/>
              <w:t>3.求解问题的方法并不唯一，在设计算法时要综合考虑时间效率和运算结果</w:t>
            </w:r>
            <w:r>
              <w:rPr>
                <w:spacing w:val="-1"/>
              </w:rPr>
              <w:t>的精准度。</w:t>
            </w:r>
          </w:p>
        </w:tc>
      </w:tr>
    </w:tbl>
    <w:p>
      <w:pPr>
        <w:pStyle w:val="BodyText"/>
        <w:ind w:left="245" w:right="111"/>
        <w:spacing w:before="143" w:line="437" w:lineRule="auto"/>
        <w:rPr>
          <w:sz w:val="20"/>
          <w:szCs w:val="20"/>
        </w:rPr>
      </w:pPr>
      <w:r>
        <w:rPr>
          <w:sz w:val="20"/>
          <w:szCs w:val="20"/>
          <w:spacing w:val="8"/>
        </w:rPr>
        <w:t>备注：教学设计应至少含教学目标、教学内容、教</w:t>
      </w:r>
      <w:r>
        <w:rPr>
          <w:sz w:val="20"/>
          <w:szCs w:val="20"/>
          <w:spacing w:val="7"/>
        </w:rPr>
        <w:t>学过程等三个部分，如有其它内容，可自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spacing w:val="3"/>
        </w:rPr>
        <w:t>行补充增加。</w:t>
      </w:r>
    </w:p>
    <w:sectPr>
      <w:headerReference w:type="default" r:id="rId2"/>
      <w:pgSz w:w="11900" w:h="16840"/>
      <w:pgMar w:top="1235" w:right="1705" w:bottom="0" w:left="1534" w:header="804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053"/>
      <w:spacing w:before="72" w:line="219" w:lineRule="auto"/>
      <w:rPr>
        <w:rFonts w:ascii="SimSun" w:hAnsi="SimSun" w:eastAsia="SimSun" w:cs="SimSun"/>
        <w:sz w:val="27"/>
        <w:szCs w:val="27"/>
      </w:rPr>
    </w:pPr>
    <w:r>
      <w:drawing>
        <wp:anchor distT="0" distB="0" distL="0" distR="0" simplePos="0" relativeHeight="251658240" behindDoc="0" locked="0" layoutInCell="1" allowOverlap="1">
          <wp:simplePos x="0" y="0"/>
          <wp:positionH relativeFrom="column">
            <wp:posOffset>161936</wp:posOffset>
          </wp:positionH>
          <wp:positionV relativeFrom="paragraph">
            <wp:posOffset>208593</wp:posOffset>
          </wp:positionV>
          <wp:extent cx="5289550" cy="8572"/>
          <wp:effectExtent l="0" t="0" r="0" b="0"/>
          <wp:wrapNone/>
          <wp:docPr id="2" name="IM 2"/>
          <wp:cNvGraphicFramePr/>
          <a:graphic>
            <a:graphicData uri="http://schemas.openxmlformats.org/drawingml/2006/picture">
              <pic:pic>
                <pic:nvPicPr>
                  <pic:cNvPr id="2" name="IM 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57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SimSun" w:hAnsi="SimSun" w:eastAsia="SimSun" w:cs="SimSun"/>
        <w:sz w:val="27"/>
        <w:szCs w:val="27"/>
        <w:spacing w:val="-15"/>
      </w:rPr>
      <w:t>基</w:t>
    </w:r>
    <w:r>
      <w:rPr>
        <w:rFonts w:ascii="SimSun" w:hAnsi="SimSun" w:eastAsia="SimSun" w:cs="SimSun"/>
        <w:sz w:val="27"/>
        <w:szCs w:val="27"/>
        <w:spacing w:val="24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础</w:t>
    </w:r>
    <w:r>
      <w:rPr>
        <w:rFonts w:ascii="SimSun" w:hAnsi="SimSun" w:eastAsia="SimSun" w:cs="SimSun"/>
        <w:sz w:val="27"/>
        <w:szCs w:val="27"/>
        <w:spacing w:val="22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教</w:t>
    </w:r>
    <w:r>
      <w:rPr>
        <w:rFonts w:ascii="SimSun" w:hAnsi="SimSun" w:eastAsia="SimSun" w:cs="SimSun"/>
        <w:sz w:val="27"/>
        <w:szCs w:val="27"/>
        <w:spacing w:val="30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育</w:t>
    </w:r>
    <w:r>
      <w:rPr>
        <w:rFonts w:ascii="SimSun" w:hAnsi="SimSun" w:eastAsia="SimSun" w:cs="SimSun"/>
        <w:sz w:val="27"/>
        <w:szCs w:val="27"/>
        <w:spacing w:val="20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精</w:t>
    </w:r>
    <w:r>
      <w:rPr>
        <w:rFonts w:ascii="SimSun" w:hAnsi="SimSun" w:eastAsia="SimSun" w:cs="SimSun"/>
        <w:sz w:val="27"/>
        <w:szCs w:val="27"/>
        <w:spacing w:val="41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品</w:t>
    </w:r>
    <w:r>
      <w:rPr>
        <w:rFonts w:ascii="SimSun" w:hAnsi="SimSun" w:eastAsia="SimSun" w:cs="SimSun"/>
        <w:sz w:val="27"/>
        <w:szCs w:val="27"/>
        <w:spacing w:val="18"/>
      </w:rPr>
      <w:t xml:space="preserve"> </w:t>
    </w:r>
    <w:r>
      <w:rPr>
        <w:rFonts w:ascii="SimSun" w:hAnsi="SimSun" w:eastAsia="SimSun" w:cs="SimSun"/>
        <w:sz w:val="27"/>
        <w:szCs w:val="27"/>
        <w:spacing w:val="-15"/>
      </w:rPr>
      <w:t>课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3028"/>
      <w:spacing w:before="74" w:line="219" w:lineRule="auto"/>
      <w:rPr>
        <w:sz w:val="28"/>
        <w:szCs w:val="28"/>
      </w:rPr>
    </w:pPr>
    <w: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155590</wp:posOffset>
          </wp:positionH>
          <wp:positionV relativeFrom="paragraph">
            <wp:posOffset>216318</wp:posOffset>
          </wp:positionV>
          <wp:extent cx="5289550" cy="8890"/>
          <wp:effectExtent l="0" t="0" r="0" b="0"/>
          <wp:wrapNone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5289550" cy="88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8"/>
        <w:szCs w:val="28"/>
        <w:spacing w:val="-12"/>
      </w:rPr>
      <w:t>基 础</w:t>
    </w:r>
    <w:r>
      <w:rPr>
        <w:sz w:val="28"/>
        <w:szCs w:val="28"/>
        <w:spacing w:val="12"/>
      </w:rPr>
      <w:t xml:space="preserve"> </w:t>
    </w:r>
    <w:r>
      <w:rPr>
        <w:sz w:val="28"/>
        <w:szCs w:val="28"/>
        <w:spacing w:val="-12"/>
      </w:rPr>
      <w:t>教</w:t>
    </w:r>
    <w:r>
      <w:rPr>
        <w:sz w:val="28"/>
        <w:szCs w:val="28"/>
        <w:spacing w:val="19"/>
      </w:rPr>
      <w:t xml:space="preserve"> </w:t>
    </w:r>
    <w:r>
      <w:rPr>
        <w:sz w:val="28"/>
        <w:szCs w:val="28"/>
        <w:spacing w:val="-12"/>
      </w:rPr>
      <w:t>育</w:t>
    </w:r>
    <w:r>
      <w:rPr>
        <w:sz w:val="28"/>
        <w:szCs w:val="28"/>
        <w:spacing w:val="8"/>
      </w:rPr>
      <w:t xml:space="preserve"> </w:t>
    </w:r>
    <w:r>
      <w:rPr>
        <w:sz w:val="28"/>
        <w:szCs w:val="28"/>
        <w:spacing w:val="-12"/>
      </w:rPr>
      <w:t>精</w:t>
    </w:r>
    <w:r>
      <w:rPr>
        <w:sz w:val="28"/>
        <w:szCs w:val="28"/>
        <w:spacing w:val="31"/>
      </w:rPr>
      <w:t xml:space="preserve"> </w:t>
    </w:r>
    <w:r>
      <w:rPr>
        <w:sz w:val="28"/>
        <w:szCs w:val="28"/>
        <w:spacing w:val="-12"/>
      </w:rPr>
      <w:t>品</w:t>
    </w:r>
    <w:r>
      <w:rPr>
        <w:sz w:val="28"/>
        <w:szCs w:val="28"/>
        <w:spacing w:val="7"/>
      </w:rPr>
      <w:t xml:space="preserve"> </w:t>
    </w:r>
    <w:r>
      <w:rPr>
        <w:sz w:val="28"/>
        <w:szCs w:val="28"/>
        <w:spacing w:val="-12"/>
      </w:rPr>
      <w:t>课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2026-06-07T22:04:35Z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2026-06-07T22:04:35</vt:filetime>
  </property>
  <property fmtid="{D5CDD505-2E9C-101B-9397-08002B2CF9AE}" pid="4" name="UsrData">
    <vt:lpwstr>6a257a711744a8001fc0e552wl</vt:lpwstr>
  </property>
</Properties>
</file>