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6176D5F2">
      <w:pPr>
        <w:pStyle w:val="Heading1"/>
        <w:keepNext/>
        <w:keepLines/>
        <w:pBdr>
          <w:bottom w:val="single" w:sz="12" w:space="6" w:color="C8102E"/>
        </w:pBdr>
        <w:spacing w:before="560" w:after="200" w:line="281" w:lineRule="auto"/>
      </w:pPr>
      <w:r>
        <w:t xml:space="preserve">Keyboard shortcuts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80"/>
        <w:gridCol w:w="4680"/>
      </w:tblGrid>
      <w:tr>
        <w:tc>
          <w:tcPr>
            <w:tcW w:w="4680" w:type="dxa"/>
          </w:tcPr>
          <w:p w14:paraId="3C12C146">
            <w:pPr>
              <w:spacing w:after="160" w:line="259" w:lineRule="auto"/>
            </w:pPr>
            <w:r>
              <w:rPr>
                <w:b/>
                <w:bCs/>
              </w:rPr>
              <w:t xml:space="preserve">Shortcut</w:t>
            </w:r>
          </w:p>
        </w:tc>
        <w:tc>
          <w:tcPr>
            <w:tcW w:w="4680" w:type="dxa"/>
          </w:tcPr>
          <w:p w14:paraId="6934C7F0">
            <w:pPr>
              <w:spacing w:after="160" w:line="259" w:lineRule="auto"/>
            </w:pPr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w="4680" w:type="dxa"/>
          </w:tcPr>
          <w:p w14:paraId="16E6AF98">
            <w:pPr>
              <w:spacing w:after="160" w:line="259" w:lineRule="auto"/>
            </w:pPr>
            <w:r>
              <w:rPr>
                <w:b/>
                <w:bCs/>
              </w:rPr>
              <w:t xml:space="preserve">Ctrl + →</w:t>
            </w:r>
            <w:r>
              <w:t xml:space="preserve"> / </w:t>
            </w:r>
            <w:r>
              <w:rPr>
                <w:b/>
                <w:bCs/>
              </w:rPr>
              <w:t xml:space="preserve">←</w:t>
            </w:r>
          </w:p>
        </w:tc>
        <w:tc>
          <w:tcPr>
            <w:tcW w:w="4680" w:type="dxa"/>
          </w:tcPr>
          <w:p w14:paraId="31DC5E4C">
            <w:pPr>
              <w:spacing w:after="160" w:line="259" w:lineRule="auto"/>
            </w:pPr>
            <w:r>
              <w:t xml:space="preserve">Adjacent space</w:t>
            </w:r>
          </w:p>
        </w:tc>
      </w:tr>
      <w:tr>
        <w:tc>
          <w:tcPr>
            <w:tcW w:w="4680" w:type="dxa"/>
          </w:tcPr>
          <w:p w14:paraId="3C4B8B30">
            <w:pPr>
              <w:spacing w:after="160" w:line="259" w:lineRule="auto"/>
            </w:pPr>
            <w:r>
              <w:rPr>
                <w:b/>
                <w:bCs/>
              </w:rPr>
              <w:t xml:space="preserve">Ctrl + Shift + →</w:t>
            </w:r>
            <w:r>
              <w:t xml:space="preserve"> / </w:t>
            </w:r>
            <w:r>
              <w:rPr>
                <w:b/>
                <w:bCs/>
              </w:rPr>
              <w:t xml:space="preserve">←</w:t>
            </w:r>
          </w:p>
        </w:tc>
        <w:tc>
          <w:tcPr>
            <w:tcW w:w="4680" w:type="dxa"/>
          </w:tcPr>
          <w:p w14:paraId="1F4AB301">
            <w:pPr>
              <w:spacing w:after="160" w:line="259" w:lineRule="auto"/>
            </w:pPr>
            <w:r>
              <w:t xml:space="preserve">Move focused window to adjacent space</w:t>
            </w:r>
          </w:p>
        </w:tc>
      </w:tr>
      <w:tr>
        <w:tc>
          <w:tcPr>
            <w:tcW w:w="4680" w:type="dxa"/>
          </w:tcPr>
          <w:p w14:paraId="1B73F35A">
            <w:pPr>
              <w:spacing w:after="160" w:line="259" w:lineRule="auto"/>
            </w:pPr>
            <w:r>
              <w:rPr>
                <w:b/>
                <w:bCs/>
              </w:rPr>
              <w:t xml:space="preserve">Ctrl + Tab</w:t>
            </w:r>
          </w:p>
        </w:tc>
        <w:tc>
          <w:tcPr>
            <w:tcW w:w="4680" w:type="dxa"/>
          </w:tcPr>
          <w:p w14:paraId="61E926E2">
            <w:pPr>
              <w:spacing w:after="160" w:line="259" w:lineRule="auto"/>
            </w:pPr>
            <w:r>
              <w:t xml:space="preserve">Cycle spaces</w:t>
            </w:r>
          </w:p>
        </w:tc>
      </w:tr>
      <w:tr>
        <w:tc>
          <w:tcPr>
            <w:tcW w:w="4680" w:type="dxa"/>
          </w:tcPr>
          <w:p w14:paraId="400D242C">
            <w:pPr>
              <w:spacing w:after="160" w:line="259" w:lineRule="auto"/>
            </w:pPr>
            <w:r>
              <w:rPr>
                <w:b/>
                <w:bCs/>
              </w:rPr>
              <w:t xml:space="preserve">Ctrl + ↑</w:t>
            </w:r>
          </w:p>
        </w:tc>
        <w:tc>
          <w:tcPr>
            <w:tcW w:w="4680" w:type="dxa"/>
          </w:tcPr>
          <w:p w14:paraId="7514D221">
            <w:pPr>
              <w:spacing w:after="160" w:line="259" w:lineRule="auto"/>
            </w:pPr>
            <w:r>
              <w:t xml:space="preserve">Mission Control</w:t>
            </w:r>
          </w:p>
        </w:tc>
      </w:tr>
      <w:tr>
        <w:tc>
          <w:tcPr>
            <w:tcW w:w="4680" w:type="dxa"/>
          </w:tcPr>
          <w:p w14:paraId="41DE73F1">
            <w:pPr>
              <w:spacing w:after="160" w:line="259" w:lineRule="auto"/>
            </w:pPr>
            <w:r>
              <w:rPr>
                <w:b/>
                <w:bCs/>
              </w:rPr>
              <w:t xml:space="preserve">Ctrl + ↓</w:t>
            </w:r>
          </w:p>
        </w:tc>
        <w:tc>
          <w:tcPr>
            <w:tcW w:w="4680" w:type="dxa"/>
          </w:tcPr>
          <w:p w14:paraId="77B7D9F2">
            <w:pPr>
              <w:spacing w:after="160" w:line="259" w:lineRule="auto"/>
            </w:pPr>
            <w:r>
              <w:t xml:space="preserve">Workspace mode</w:t>
            </w:r>
          </w:p>
        </w:tc>
      </w:tr>
      <w:tr>
        <w:tc>
          <w:tcPr>
            <w:tcW w:w="4680" w:type="dxa"/>
          </w:tcPr>
          <w:p w14:paraId="7203F8C6">
            <w:pPr>
              <w:spacing w:after="160" w:line="259" w:lineRule="auto"/>
            </w:pPr>
            <w:r>
              <w:rPr>
                <w:b/>
                <w:bCs/>
              </w:rPr>
              <w:t xml:space="preserve">Ctrl + Shift + R</w:t>
            </w:r>
          </w:p>
        </w:tc>
        <w:tc>
          <w:tcPr>
            <w:tcW w:w="4680" w:type="dxa"/>
          </w:tcPr>
          <w:p w14:paraId="36F8C62F">
            <w:pPr>
              <w:spacing w:after="160" w:line="259" w:lineRule="auto"/>
            </w:pPr>
            <w:r>
              <w:t xml:space="preserve">Start / stop screen recording</w:t>
            </w:r>
          </w:p>
        </w:tc>
      </w:tr>
      <w:tr>
        <w:tc>
          <w:tcPr>
            <w:tcW w:w="4680" w:type="dxa"/>
          </w:tcPr>
          <w:p w14:paraId="16887694">
            <w:pPr>
              <w:spacing w:after="160" w:line="259" w:lineRule="auto"/>
            </w:pPr>
            <w:r>
              <w:rPr>
                <w:b/>
                <w:bCs/>
              </w:rPr>
              <w:t xml:space="preserve">Ctrl + Shift + S</w:t>
            </w:r>
          </w:p>
        </w:tc>
        <w:tc>
          <w:tcPr>
            <w:tcW w:w="4680" w:type="dxa"/>
          </w:tcPr>
          <w:p w14:paraId="3B1EC416">
            <w:pPr>
              <w:spacing w:after="160" w:line="259" w:lineRule="auto"/>
            </w:pPr>
            <w:r>
              <w:t xml:space="preserve">Show the screensaver now</w:t>
            </w:r>
          </w:p>
        </w:tc>
      </w:tr>
      <w:tr>
        <w:tc>
          <w:tcPr>
            <w:tcW w:w="4680" w:type="dxa"/>
          </w:tcPr>
          <w:p w14:paraId="0561616F">
            <w:pPr>
              <w:spacing w:after="160" w:line="259" w:lineRule="auto"/>
            </w:pPr>
            <w:r>
              <w:rPr>
                <w:b/>
                <w:bCs/>
              </w:rPr>
              <w:t xml:space="preserve">Ctrl + Space</w:t>
            </w:r>
          </w:p>
        </w:tc>
        <w:tc>
          <w:tcPr>
            <w:tcW w:w="4680" w:type="dxa"/>
          </w:tcPr>
          <w:p w14:paraId="510B769C">
            <w:pPr>
              <w:spacing w:after="160" w:line="259" w:lineRule="auto"/>
            </w:pPr>
            <w:r>
              <w:t xml:space="preserve">Toggle the input method (fcitx5, for CJK and other IME input)</w:t>
            </w:r>
          </w:p>
        </w:tc>
      </w:tr>
      <w:tr>
        <w:tc>
          <w:tcPr>
            <w:tcW w:w="4680" w:type="dxa"/>
          </w:tcPr>
          <w:p w14:paraId="49F7CB87">
            <w:pPr>
              <w:spacing w:after="160" w:line="259" w:lineRule="auto"/>
            </w:pPr>
            <w:r>
              <w:rPr>
                <w:b/>
                <w:bCs/>
              </w:rPr>
              <w:t xml:space="preserve">Esc</w:t>
            </w:r>
          </w:p>
        </w:tc>
        <w:tc>
          <w:tcPr>
            <w:tcW w:w="4680" w:type="dxa"/>
          </w:tcPr>
          <w:p w14:paraId="0B33B80C">
            <w:pPr>
              <w:spacing w:after="160" w:line="259" w:lineRule="auto"/>
            </w:pPr>
            <w:r>
              <w:t xml:space="preserve">Close Mission Control; release a taken-over agent window</w:t>
            </w:r>
          </w:p>
        </w:tc>
      </w:tr>
      <w:tr>
        <w:tc>
          <w:tcPr>
            <w:tcW w:w="4680" w:type="dxa"/>
          </w:tcPr>
          <w:p w14:paraId="1F24D680">
            <w:pPr>
              <w:spacing w:after="160" w:line="259" w:lineRule="auto"/>
            </w:pPr>
            <w:r>
              <w:t xml:space="preserve">Double-click title bar</w:t>
            </w:r>
          </w:p>
        </w:tc>
        <w:tc>
          <w:tcPr>
            <w:tcW w:w="4680" w:type="dxa"/>
          </w:tcPr>
          <w:p w14:paraId="7D27166D">
            <w:pPr>
              <w:spacing w:after="160" w:line="259" w:lineRule="auto"/>
            </w:pPr>
            <w:r>
              <w:t xml:space="preserve">Maximize / restore a window</w:t>
            </w:r>
          </w:p>
        </w:tc>
      </w:tr>
    </w:tbl>
    <w:p w14:paraId="2CABDB48">
      <w:pPr>
        <w:spacing w:after="160" w:line="259" w:lineRule="auto"/>
      </w:pP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adea" w:hAnsi="Caladea" w:cs="Caladea" w:eastAsia="Caladea"/>
        <w:sz w:val="23"/>
        <w:szCs w:val="23"/>
        <w:lang w:val="en-US"/>
      </w:rPr>
    </w:rPrDefault>
    <w:pPrDefault>
      <w:pPr>
        <w:spacing w:after="161" w:line="281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pBdr>
        <w:bottom w:val="single" w:sz="24" w:space="10" w:color="C8102E"/>
      </w:pBdr>
      <w:spacing w:before="2600" w:after="160" w:line="281" w:lineRule="auto"/>
    </w:pPr>
    <w:rPr>
      <w:rFonts w:ascii="Libre Franklin" w:hAnsi="Libre Franklin" w:cs="Libre Franklin"/>
      <w:b/>
      <w:bCs/>
      <w:color w:val="0F3D4C"/>
      <w:sz w:val="80"/>
      <w:szCs w:val="80"/>
    </w:rPr>
  </w:style>
  <w:style w:type="paragraph" w:styleId="Subtitle">
    <w:name w:val="Subtitle"/>
    <w:basedOn w:val="Normal"/>
    <w:next w:val="Normal"/>
    <w:qFormat/>
    <w:pPr>
      <w:spacing w:before="200" w:after="600" w:line="281" w:lineRule="auto"/>
    </w:pPr>
    <w:rPr>
      <w:rFonts w:ascii="Caladea" w:hAnsi="Caladea" w:cs="Caladea"/>
      <w:i/>
      <w:iCs/>
      <w:color w:val="6B6B6B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pBdr>
        <w:bottom w:val="single" w:sz="12" w:space="6" w:color="C8102E"/>
      </w:pBdr>
      <w:spacing w:before="560" w:after="200" w:line="281" w:lineRule="auto"/>
      <w:outlineLvl w:val="0"/>
    </w:pPr>
    <w:rPr>
      <w:rFonts w:ascii="Libre Franklin" w:hAnsi="Libre Franklin" w:cs="Libre Franklin"/>
      <w:b/>
      <w:bCs/>
      <w:color w:val="0F3D4C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before="400" w:after="120" w:line="281" w:lineRule="auto"/>
      <w:outlineLvl w:val="1"/>
    </w:pPr>
    <w:rPr>
      <w:rFonts w:ascii="Libre Franklin" w:hAnsi="Libre Franklin" w:cs="Libre Franklin"/>
      <w:b/>
      <w:bCs/>
      <w:color w:val="0F3D4C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80" w:after="80" w:line="281" w:lineRule="auto"/>
      <w:outlineLvl w:val="2"/>
    </w:pPr>
    <w:rPr>
      <w:rFonts w:ascii="Libre Franklin" w:hAnsi="Libre Franklin" w:cs="Libre Franklin"/>
      <w:b/>
      <w:bCs/>
      <w:color w:val="222222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24" w:space="14" w:color="C8102E"/>
      </w:pBdr>
      <w:spacing w:before="160" w:after="200" w:line="281" w:lineRule="auto"/>
      <w:ind w:left="600" w:right="600"/>
    </w:pPr>
    <w:rPr>
      <w:i/>
      <w:iCs/>
      <w:color w:val="444444"/>
    </w:rPr>
  </w:style>
  <w:style w:type="paragraph" w:styleId="Caption">
    <w:name w:val="Caption"/>
    <w:basedOn w:val="Normal"/>
    <w:next w:val="Normal"/>
    <w:qFormat/>
    <w:pPr>
      <w:spacing w:after="220" w:line="281" w:lineRule="auto"/>
    </w:pPr>
    <w:rPr>
      <w:i/>
      <w:iCs/>
      <w:color w:val="6B6B6B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52" w:lineRule="auto"/>
      <w:ind w:left="200" w:right="200"/>
    </w:pPr>
    <w:rPr>
      <w:rFonts w:ascii="Liberation Mono" w:hAnsi="Liberation Mono" w:cs="Liberation Mono"/>
      <w:color w:val="1F2328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81" w:lineRule="auto"/>
      <w:jc w:val="right"/>
    </w:pPr>
    <w:rPr>
      <w:rFonts w:ascii="Libre Franklin" w:hAnsi="Libre Franklin" w:cs="Libre Franklin"/>
      <w:color w:val="6B6B6B"/>
      <w:sz w:val="17"/>
      <w:szCs w:val="17"/>
    </w:rPr>
  </w:style>
  <w:style w:type="paragraph" w:styleId="Footer">
    <w:name w:val="footer"/>
    <w:basedOn w:val="Normal"/>
    <w:qFormat/>
    <w:pPr>
      <w:spacing w:after="0" w:line="281" w:lineRule="auto"/>
      <w:jc w:val="center"/>
    </w:pPr>
    <w:rPr>
      <w:rFonts w:ascii="Libre Franklin" w:hAnsi="Libre Franklin" w:cs="Libre Franklin"/>
      <w:color w:val="6B6B6B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C8102E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