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50E068E9">
      <w:pPr>
        <w:pStyle w:val="Heading1"/>
        <w:keepNext/>
        <w:keepLines/>
        <w:pBdr>
          <w:bottom w:val="single" w:sz="12" w:space="6" w:color="C8102E"/>
        </w:pBdr>
        <w:spacing w:before="560" w:after="200" w:line="281" w:lineRule="auto"/>
      </w:pPr>
      <w:r>
        <w:t xml:space="preserve">Spaces and Mission Control</w:t>
      </w:r>
    </w:p>
    <w:p w14:paraId="6AC6AC1F">
      <w:pPr>
        <w:spacing w:after="160" w:line="259" w:lineRule="auto"/>
      </w:pPr>
      <w:r>
        <w:t xml:space="preserve">Starling has </w:t>
      </w:r>
      <w:r>
        <w:rPr>
          <w:b/>
          <w:bCs/>
        </w:rPr>
        <w:t xml:space="preserve">spaces</w:t>
      </w:r>
      <w:r>
        <w:t xml:space="preserve"> (virtual desktops) and a </w:t>
      </w:r>
      <w:r>
        <w:rPr>
          <w:b/>
          <w:bCs/>
        </w:rPr>
        <w:t xml:space="preserve">Mission Control</w:t>
      </w:r>
      <w:r>
        <w:t xml:space="preserve"> overview, driven from the keyboard the way macOS does it.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80"/>
        <w:gridCol w:w="4680"/>
      </w:tblGrid>
      <w:tr>
        <w:tc>
          <w:tcPr>
            <w:tcW w:w="4680" w:type="dxa"/>
          </w:tcPr>
          <w:p w14:paraId="21147CAE">
            <w:pPr>
              <w:spacing w:after="160" w:line="259" w:lineRule="auto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w="4680" w:type="dxa"/>
          </w:tcPr>
          <w:p w14:paraId="0D390072">
            <w:pPr>
              <w:spacing w:after="160" w:line="259" w:lineRule="auto"/>
            </w:pPr>
            <w:r>
              <w:rPr>
                <w:b/>
                <w:bCs/>
              </w:rPr>
              <w:t xml:space="preserve">To</w:t>
            </w:r>
          </w:p>
        </w:tc>
      </w:tr>
      <w:tr>
        <w:tc>
          <w:tcPr>
            <w:tcW w:w="4680" w:type="dxa"/>
          </w:tcPr>
          <w:p w14:paraId="7E536983">
            <w:pPr>
              <w:spacing w:after="160" w:line="259" w:lineRule="auto"/>
            </w:pPr>
            <w:r>
              <w:rPr>
                <w:b/>
                <w:bCs/>
              </w:rPr>
              <w:t xml:space="preserve">Ctrl + →</w:t>
            </w:r>
            <w:r>
              <w:t xml:space="preserve"> / </w:t>
            </w:r>
            <w:r>
              <w:rPr>
                <w:b/>
                <w:bCs/>
              </w:rPr>
              <w:t xml:space="preserve">Ctrl + ←</w:t>
            </w:r>
          </w:p>
        </w:tc>
        <w:tc>
          <w:tcPr>
            <w:tcW w:w="4680" w:type="dxa"/>
          </w:tcPr>
          <w:p w14:paraId="65BD26E8">
            <w:pPr>
              <w:spacing w:after="160" w:line="259" w:lineRule="auto"/>
            </w:pPr>
            <w:r>
              <w:t xml:space="preserve">Slide to the next / previous space</w:t>
            </w:r>
          </w:p>
        </w:tc>
      </w:tr>
      <w:tr>
        <w:tc>
          <w:tcPr>
            <w:tcW w:w="4680" w:type="dxa"/>
          </w:tcPr>
          <w:p w14:paraId="21378C1F">
            <w:pPr>
              <w:spacing w:after="160" w:line="259" w:lineRule="auto"/>
            </w:pPr>
            <w:r>
              <w:rPr>
                <w:b/>
                <w:bCs/>
              </w:rPr>
              <w:t xml:space="preserve">Ctrl + Shift + →</w:t>
            </w:r>
            <w:r>
              <w:t xml:space="preserve"> / </w:t>
            </w:r>
            <w:r>
              <w:rPr>
                <w:b/>
                <w:bCs/>
              </w:rPr>
              <w:t xml:space="preserve">←</w:t>
            </w:r>
          </w:p>
        </w:tc>
        <w:tc>
          <w:tcPr>
            <w:tcW w:w="4680" w:type="dxa"/>
          </w:tcPr>
          <w:p w14:paraId="2D4A0EC3">
            <w:pPr>
              <w:spacing w:after="160" w:line="259" w:lineRule="auto"/>
            </w:pPr>
            <w:r>
              <w:t xml:space="preserve">Carry the focused window to the next / previous space</w:t>
            </w:r>
          </w:p>
        </w:tc>
      </w:tr>
      <w:tr>
        <w:tc>
          <w:tcPr>
            <w:tcW w:w="4680" w:type="dxa"/>
          </w:tcPr>
          <w:p w14:paraId="7B7B25C1">
            <w:pPr>
              <w:spacing w:after="160" w:line="259" w:lineRule="auto"/>
            </w:pPr>
            <w:r>
              <w:rPr>
                <w:b/>
                <w:bCs/>
              </w:rPr>
              <w:t xml:space="preserve">Ctrl + Tab</w:t>
            </w:r>
          </w:p>
        </w:tc>
        <w:tc>
          <w:tcPr>
            <w:tcW w:w="4680" w:type="dxa"/>
          </w:tcPr>
          <w:p w14:paraId="5DD60C07">
            <w:pPr>
              <w:spacing w:after="160" w:line="259" w:lineRule="auto"/>
            </w:pPr>
            <w:r>
              <w:t xml:space="preserve">Cycle through your spaces</w:t>
            </w:r>
          </w:p>
        </w:tc>
      </w:tr>
      <w:tr>
        <w:tc>
          <w:tcPr>
            <w:tcW w:w="4680" w:type="dxa"/>
          </w:tcPr>
          <w:p w14:paraId="0E294CDE">
            <w:pPr>
              <w:spacing w:after="160" w:line="259" w:lineRule="auto"/>
            </w:pPr>
            <w:r>
              <w:rPr>
                <w:b/>
                <w:bCs/>
              </w:rPr>
              <w:t xml:space="preserve">Ctrl + ↑</w:t>
            </w:r>
          </w:p>
        </w:tc>
        <w:tc>
          <w:tcPr>
            <w:tcW w:w="4680" w:type="dxa"/>
          </w:tcPr>
          <w:p w14:paraId="2ADD762E">
            <w:pPr>
              <w:spacing w:after="160" w:line="259" w:lineRule="auto"/>
            </w:pPr>
            <w:r>
              <w:t xml:space="preserve">Open </w:t>
            </w:r>
            <w:r>
              <w:rPr>
                <w:b/>
                <w:bCs/>
              </w:rPr>
              <w:t xml:space="preserve">Mission Control</w:t>
            </w:r>
            <w:r>
              <w:t xml:space="preserve"> (all spaces and windows at once)</w:t>
            </w:r>
          </w:p>
        </w:tc>
      </w:tr>
      <w:tr>
        <w:tc>
          <w:tcPr>
            <w:tcW w:w="4680" w:type="dxa"/>
          </w:tcPr>
          <w:p w14:paraId="61211104">
            <w:pPr>
              <w:spacing w:after="160" w:line="259" w:lineRule="auto"/>
            </w:pPr>
            <w:r>
              <w:rPr>
                <w:b/>
                <w:bCs/>
              </w:rPr>
              <w:t xml:space="preserve">Ctrl + ↓</w:t>
            </w:r>
          </w:p>
        </w:tc>
        <w:tc>
          <w:tcPr>
            <w:tcW w:w="4680" w:type="dxa"/>
          </w:tcPr>
          <w:p w14:paraId="4734F62F">
            <w:pPr>
              <w:spacing w:after="160" w:line="259" w:lineRule="auto"/>
            </w:pPr>
            <w:r>
              <w:t xml:space="preserve">Open your </w:t>
            </w:r>
            <w:r>
              <w:rPr>
                <w:b/>
                <w:bCs/>
              </w:rPr>
              <w:t xml:space="preserve">workspace</w:t>
            </w:r>
            <w:r>
              <w:t xml:space="preserve"> (see below)</w:t>
            </w:r>
          </w:p>
        </w:tc>
      </w:tr>
      <w:tr>
        <w:tc>
          <w:tcPr>
            <w:tcW w:w="4680" w:type="dxa"/>
          </w:tcPr>
          <w:p w14:paraId="4C6AA5E3">
            <w:pPr>
              <w:spacing w:after="160" w:line="259" w:lineRule="auto"/>
            </w:pPr>
            <w:r>
              <w:rPr>
                <w:b/>
                <w:bCs/>
              </w:rPr>
              <w:t xml:space="preserve">Esc</w:t>
            </w:r>
          </w:p>
        </w:tc>
        <w:tc>
          <w:tcPr>
            <w:tcW w:w="4680" w:type="dxa"/>
          </w:tcPr>
          <w:p w14:paraId="1AD7421D">
            <w:pPr>
              <w:spacing w:after="160" w:line="259" w:lineRule="auto"/>
            </w:pPr>
            <w:r>
              <w:t xml:space="preserve">Close Mission Control</w:t>
            </w:r>
          </w:p>
        </w:tc>
      </w:tr>
    </w:tbl>
    <w:p w14:paraId="53452FF1">
      <w:pPr>
        <w:spacing w:after="160" w:line="259" w:lineRule="auto"/>
      </w:pPr>
      <w:r>
        <w:t xml:space="preserve">In Mission Control, </w:t>
      </w:r>
      <w:r>
        <w:rPr>
          <w:b/>
          <w:bCs/>
        </w:rPr>
        <w:t xml:space="preserve">Ctrl + ← / →</w:t>
      </w:r>
      <w:r>
        <w:t xml:space="preserve"> retargets the active space instantly. To add a space, right-click the wallpaper and choose </w:t>
      </w:r>
      <w:r>
        <w:rPr>
          <w:b/>
          <w:bCs/>
        </w:rPr>
        <w:t xml:space="preserve">New Desktop</w:t>
      </w:r>
      <w:r>
        <w:t xml:space="preserve">.</w:t>
      </w:r>
    </w:p>
    <w:p w14:paraId="0461F298">
      <w:pPr>
        <w:spacing w:after="160" w:line="259" w:lineRule="auto"/>
      </w:pPr>
      <w:r>
        <w:rPr>
          <w:rFonts w:ascii="Liberation Mono" w:hAnsi="Liberation Mono" w:cs="Liberation Mono"/>
        </w:rPr>
        <w:t xml:space="preserve">Ctrl</w:t>
      </w:r>
      <w:r>
        <w:t xml:space="preserve"> + arrows belong to the system — apps never see them — so they work no matter which window is focused.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adea" w:hAnsi="Caladea" w:cs="Caladea" w:eastAsia="Caladea"/>
        <w:sz w:val="23"/>
        <w:szCs w:val="23"/>
        <w:lang w:val="en-US"/>
      </w:rPr>
    </w:rPrDefault>
    <w:pPrDefault>
      <w:pPr>
        <w:spacing w:after="161" w:line="281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24" w:space="10" w:color="C8102E"/>
      </w:pBdr>
      <w:spacing w:before="2600" w:after="160" w:line="281" w:lineRule="auto"/>
    </w:pPr>
    <w:rPr>
      <w:rFonts w:ascii="Libre Franklin" w:hAnsi="Libre Franklin" w:cs="Libre Franklin"/>
      <w:b/>
      <w:bCs/>
      <w:color w:val="0F3D4C"/>
      <w:sz w:val="80"/>
      <w:szCs w:val="80"/>
    </w:rPr>
  </w:style>
  <w:style w:type="paragraph" w:styleId="Subtitle">
    <w:name w:val="Subtitle"/>
    <w:basedOn w:val="Normal"/>
    <w:next w:val="Normal"/>
    <w:qFormat/>
    <w:pPr>
      <w:spacing w:before="200" w:after="600" w:line="281" w:lineRule="auto"/>
    </w:pPr>
    <w:rPr>
      <w:rFonts w:ascii="Caladea" w:hAnsi="Caladea" w:cs="Caladea"/>
      <w:i/>
      <w:iCs/>
      <w:color w:val="6B6B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sz="12" w:space="6" w:color="C8102E"/>
      </w:pBdr>
      <w:spacing w:before="560" w:after="200" w:line="281" w:lineRule="auto"/>
      <w:outlineLvl w:val="0"/>
    </w:pPr>
    <w:rPr>
      <w:rFonts w:ascii="Libre Franklin" w:hAnsi="Libre Franklin" w:cs="Libre Franklin"/>
      <w:b/>
      <w:bCs/>
      <w:color w:val="0F3D4C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spacing w:before="400" w:after="120" w:line="281" w:lineRule="auto"/>
      <w:outlineLvl w:val="1"/>
    </w:pPr>
    <w:rPr>
      <w:rFonts w:ascii="Libre Franklin" w:hAnsi="Libre Franklin" w:cs="Libre Franklin"/>
      <w:b/>
      <w:bCs/>
      <w:color w:val="0F3D4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80" w:after="80" w:line="281" w:lineRule="auto"/>
      <w:outlineLvl w:val="2"/>
    </w:pPr>
    <w:rPr>
      <w:rFonts w:ascii="Libre Franklin" w:hAnsi="Libre Franklin" w:cs="Libre Franklin"/>
      <w:b/>
      <w:bCs/>
      <w:color w:val="222222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24" w:space="14" w:color="C8102E"/>
      </w:pBdr>
      <w:spacing w:before="160" w:after="200" w:line="281" w:lineRule="auto"/>
      <w:ind w:left="600" w:right="600"/>
    </w:pPr>
    <w:rPr>
      <w:i/>
      <w:iCs/>
      <w:color w:val="444444"/>
    </w:rPr>
  </w:style>
  <w:style w:type="paragraph" w:styleId="Caption">
    <w:name w:val="Caption"/>
    <w:basedOn w:val="Normal"/>
    <w:next w:val="Normal"/>
    <w:qFormat/>
    <w:pPr>
      <w:spacing w:after="220" w:line="281" w:lineRule="auto"/>
    </w:pPr>
    <w:rPr>
      <w:i/>
      <w:iCs/>
      <w:color w:val="6B6B6B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52" w:lineRule="auto"/>
      <w:ind w:left="200" w:right="200"/>
    </w:pPr>
    <w:rPr>
      <w:rFonts w:ascii="Liberation Mono" w:hAnsi="Liberation Mono" w:cs="Liberation Mono"/>
      <w:color w:val="1F2328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81" w:lineRule="auto"/>
      <w:jc w:val="right"/>
    </w:pPr>
    <w:rPr>
      <w:rFonts w:ascii="Libre Franklin" w:hAnsi="Libre Franklin" w:cs="Libre Franklin"/>
      <w:color w:val="6B6B6B"/>
      <w:sz w:val="17"/>
      <w:szCs w:val="17"/>
    </w:rPr>
  </w:style>
  <w:style w:type="paragraph" w:styleId="Footer">
    <w:name w:val="footer"/>
    <w:basedOn w:val="Normal"/>
    <w:qFormat/>
    <w:pPr>
      <w:spacing w:after="0" w:line="281" w:lineRule="auto"/>
      <w:jc w:val="center"/>
    </w:pPr>
    <w:rPr>
      <w:rFonts w:ascii="Libre Franklin" w:hAnsi="Libre Franklin" w:cs="Libre Franklin"/>
      <w:color w:val="6B6B6B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C8102E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