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14="http://schemas.microsoft.com/office/word/2010/wordprocessingDrawing" xmlns:w14="http://schemas.microsoft.com/office/word/2010/wordml" xmlns:w15="http://schemas.microsoft.com/office/word/2012/wordml" mc:Ignorable="w14 w15 wp14">
  <w:body>
    <w:p w14:paraId="1B68AB05">
      <w:pPr>
        <w:spacing w:after="160" w:line="259" w:lineRule="auto"/>
        <w:jc w:val="center"/>
        <w:rPr>
          <w:sz w:val="52"/>
          <w:szCs w:val="52"/>
        </w:rPr>
      </w:pPr>
      <w:r>
        <w:rPr>
          <w:sz w:val="52"/>
          <w:szCs w:val="52"/>
        </w:rPr>
        <w:t xml:space="preserve">Change Document</w:t>
      </w:r>
    </w:p>
    <w:p w14:paraId="14FA263C">
      <w:pPr>
        <w:pBdr>
          <w:bottom w:val="single" w:sz="12" w:space="1" w:color="auto"/>
        </w:pBdr>
        <w:spacing w:after="160" w:line="259" w:lineRule="auto"/>
        <w:jc w:val="center"/>
      </w:pPr>
      <w:r>
        <w:t xml:space="preserve">Version 1.6 (associated with MM V2.7 section 7.1)</w:t>
      </w:r>
    </w:p>
    <w:p w14:paraId="5BC43FF6">
      <w:pPr>
        <w:pBdr>
          <w:bottom w:val="single" w:sz="12" w:space="1" w:color="auto"/>
        </w:pBdr>
        <w:spacing w:after="160" w:line="259" w:lineRule="auto"/>
        <w:jc w:val="center"/>
      </w:pPr>
      <w:r>
        <w:t xml:space="preserve">April 9, 2026</w:t>
      </w:r>
    </w:p>
    <w:p w14:paraId="65D8744E">
      <w:pPr>
        <w:spacing w:after="160" w:line="259" w:lineRule="auto"/>
        <w:rPr>
          <w:sz w:val="28"/>
          <w:szCs w:val="28"/>
        </w:rPr>
      </w:pPr>
      <w:r>
        <w:rPr>
          <w:sz w:val="28"/>
          <w:szCs w:val="28"/>
        </w:rPr>
        <w:t xml:space="preserve">Date: ___________________</w:t>
      </w:r>
    </w:p>
    <w:p w14:paraId="2677C7EC">
      <w:pPr>
        <w:spacing w:after="160" w:line="259" w:lineRule="auto"/>
        <w:rPr>
          <w:sz w:val="28"/>
          <w:szCs w:val="28"/>
        </w:rPr>
      </w:pPr>
      <w:r>
        <w:rPr>
          <w:sz w:val="28"/>
          <w:szCs w:val="28"/>
        </w:rPr>
        <w:t xml:space="preserve">Lab Name: __________________________________</w:t>
      </w:r>
    </w:p>
    <w:p w14:paraId="5C3D7CBA">
      <w:pPr>
        <w:spacing w:after="160" w:line="259" w:lineRule="auto"/>
        <w:rPr>
          <w:sz w:val="28"/>
          <w:szCs w:val="28"/>
        </w:rPr>
      </w:pPr>
      <w:r>
        <w:rPr>
          <w:sz w:val="28"/>
          <w:szCs w:val="28"/>
        </w:rPr>
        <w:t xml:space="preserve">NVLAP #: __________________________________</w:t>
      </w:r>
    </w:p>
    <w:p w14:paraId="3DE6DD29">
      <w:pPr>
        <w:spacing w:after="160" w:line="259" w:lineRule="auto"/>
        <w:rPr>
          <w:sz w:val="28"/>
          <w:szCs w:val="28"/>
        </w:rPr>
      </w:pPr>
      <w:r>
        <w:rPr>
          <w:sz w:val="28"/>
          <w:szCs w:val="28"/>
        </w:rPr>
        <w:t xml:space="preserve">Vendor Name: __________________________________</w:t>
      </w:r>
    </w:p>
    <w:p w14:paraId="5CBF55D2">
      <w:pPr>
        <w:spacing w:after="160" w:line="259" w:lineRule="auto"/>
        <w:rPr>
          <w:sz w:val="28"/>
          <w:szCs w:val="28"/>
        </w:rPr>
      </w:pPr>
      <w:r>
        <w:rPr>
          <w:sz w:val="28"/>
          <w:szCs w:val="28"/>
        </w:rPr>
        <w:t xml:space="preserve">Module Name: __________________________________</w:t>
      </w:r>
    </w:p>
    <w:p w14:paraId="275C722D">
      <w:pPr>
        <w:spacing w:after="160" w:line="259" w:lineRule="auto"/>
        <w:rPr>
          <w:sz w:val="28"/>
          <w:szCs w:val="28"/>
        </w:rPr>
      </w:pPr>
      <w:r>
        <w:rPr>
          <w:sz w:val="28"/>
          <w:szCs w:val="28"/>
        </w:rPr>
        <w:t xml:space="preserve">Submission Scenario:  ______________________</w:t>
      </w:r>
    </w:p>
    <w:p w14:paraId="24F79D0B">
      <w:pPr>
        <w:spacing w:after="160" w:line="259" w:lineRule="auto"/>
        <w:rPr>
          <w:sz w:val="28"/>
          <w:szCs w:val="28"/>
        </w:rPr>
      </w:pPr>
      <w:r>
        <w:rPr>
          <w:sz w:val="28"/>
          <w:szCs w:val="28"/>
        </w:rPr>
        <w:t xml:space="preserve">Tester 1: ______________________________________   CVP # ______________</w:t>
      </w:r>
    </w:p>
    <w:p w14:paraId="12165286">
      <w:pPr>
        <w:spacing w:after="160" w:line="259" w:lineRule="auto"/>
        <w:rPr>
          <w:sz w:val="28"/>
          <w:szCs w:val="28"/>
        </w:rPr>
      </w:pPr>
      <w:r>
        <w:rPr>
          <w:sz w:val="28"/>
          <w:szCs w:val="28"/>
        </w:rPr>
        <w:t xml:space="preserve">Tester 2: ______________________________________   CVP # ______________</w:t>
      </w:r>
    </w:p>
    <w:p w14:paraId="648EED78">
      <w:pPr>
        <w:spacing w:after="160" w:line="259" w:lineRule="auto"/>
        <w:rPr>
          <w:sz w:val="28"/>
          <w:szCs w:val="28"/>
        </w:rPr>
      </w:pPr>
      <w:r>
        <w:rPr>
          <w:sz w:val="28"/>
          <w:szCs w:val="28"/>
        </w:rPr>
        <w:t xml:space="preserve">Tech Reviewer 1: _______________________________    CVP # ______________</w:t>
      </w:r>
    </w:p>
    <w:p w14:paraId="33850669">
      <w:pPr>
        <w:spacing w:after="160" w:line="259" w:lineRule="auto"/>
        <w:rPr>
          <w:sz w:val="28"/>
          <w:szCs w:val="28"/>
        </w:rPr>
      </w:pPr>
      <w:r>
        <w:rPr>
          <w:sz w:val="28"/>
          <w:szCs w:val="28"/>
        </w:rPr>
        <w:t xml:space="preserve">Approved Signatory: _____________________________   CVP # ______________</w:t>
      </w:r>
    </w:p>
    <w:p w14:paraId="7FDFEDCE">
      <w:pPr>
        <w:spacing w:after="160" w:line="259" w:lineRule="auto"/>
        <w:rPr>
          <w:sz w:val="28"/>
          <w:szCs w:val="28"/>
        </w:rPr>
      </w:pPr>
    </w:p>
    <w:p w14:paraId="390AF405">
      <w:pPr>
        <w:spacing w:after="160" w:line="259" w:lineRule="auto"/>
        <w:rPr>
          <w:rFonts w:ascii="Times New Roman" w:hAnsi="Times New Roman" w:cs="Times New Roman" w:eastAsia="Times New Roman"/>
          <w:color w:val="2F5496"/>
          <w:sz w:val="32"/>
          <w:szCs w:val="32"/>
        </w:rPr>
      </w:pPr>
      <w:r>
        <w:rPr>
          <w:rFonts w:ascii="Times New Roman" w:cs="Times New Roman" w:eastAsia="Times New Roman" w:hAnsi="Times New Roman"/>
        </w:rPr>
        <w:br w:type="page"/>
      </w:r>
    </w:p>
    <w:p w14:paraId="6A314557">
      <w:pPr>
        <w:pStyle w:val="TOCHeading"/>
        <w:keepNext/>
        <w:keepLines/>
        <w:spacing w:before="240" w:after="0" w:line="259" w:lineRule="auto"/>
      </w:pPr>
      <w:r>
        <w:t xml:space="preserve">Contents</w:t>
      </w:r>
    </w:p>
    <w:p w14:paraId="0B22EB18">
      <w:pPr>
        <w:pStyle w:val="TOC1"/>
        <w:tabs>
          <w:tab w:val="left" w:pos="480"/>
          <w:tab w:val="right" w:leader="dot" w:pos="9350"/>
        </w:tabs>
        <w:spacing w:after="100" w:line="259" w:lineRule="auto"/>
        <w:rPr>
          <w:kern w:val="2"/>
          <w:sz w:val="24"/>
          <w:szCs w:val="24"/>
        </w:rPr>
      </w:pPr>
      <w:hyperlink w:anchor="_Toc226628107">
        <w:r>
          <w:rPr>
            <w:rStyle w:val="Hyperlink"/>
            <w:rFonts w:ascii="Times New Roman" w:hAnsi="Times New Roman" w:cs="Times New Roman" w:eastAsia="Times New Roman"/>
            <w:u w:val="single"/>
            <w:color w:val="0563C1"/>
          </w:rPr>
          <w:t xml:space="preserve">1.</w:t>
        </w:r>
      </w:hyperlink>
      <w:hyperlink w:anchor="_Toc226628107">
        <w:r>
          <w:rPr>
            <w:rStyle w:val="Hyperlink"/>
            <w:u w:val="none"/>
            <w:kern w:val="2"/>
            <w:sz w:val="24"/>
            <w:szCs w:val="24"/>
          </w:rPr>
          <w:tab/>
        </w:r>
      </w:hyperlink>
      <w:hyperlink w:anchor="_Toc226628107">
        <w:r>
          <w:rPr>
            <w:rStyle w:val="Hyperlink"/>
            <w:rFonts w:ascii="Times New Roman" w:hAnsi="Times New Roman" w:cs="Times New Roman" w:eastAsia="Times New Roman"/>
            <w:u w:val="single"/>
            <w:color w:val="0563C1"/>
          </w:rPr>
          <w:t xml:space="preserve">Submission Scenarios</w:t>
        </w:r>
      </w:hyperlink>
      <w:hyperlink w:anchor="_Toc226628107">
        <w:r>
          <w:rPr>
            <w:rStyle w:val="Hyperlink"/>
            <w:u w:val="none"/>
          </w:rPr>
          <w:tab/>
        </w:r>
      </w:hyperlink>
      <w:hyperlink w:anchor="_Toc226628107">
        <w:r>
          <w:rPr>
            <w:rStyle w:val="Hyperlink"/>
            <w:u w:val="none"/>
          </w:rPr>
          <w:fldChar w:fldCharType="begin"/>
        </w:r>
        <w:r>
          <w:rPr>
            <w:rStyle w:val="Hyperlink"/>
            <w:u w:val="none"/>
          </w:rPr>
          <w:instrText xml:space="preserve"> PAGEREF _Toc226628107 \h </w:instrText>
        </w:r>
        <w:r>
          <w:rPr>
            <w:rStyle w:val="Hyperlink"/>
            <w:u w:val="none"/>
          </w:rPr>
          <w:fldChar w:fldCharType="separate"/>
        </w:r>
        <w:r>
          <w:rPr>
            <w:rStyle w:val="Hyperlink"/>
            <w:u w:val="none"/>
          </w:rPr>
          <w:t xml:space="preserve">3</w:t>
        </w:r>
        <w:r>
          <w:rPr>
            <w:rStyle w:val="Hyperlink"/>
            <w:u w:val="none"/>
          </w:rPr>
          <w:fldChar w:fldCharType="end"/>
        </w:r>
      </w:hyperlink>
    </w:p>
    <w:p w14:paraId="55A1B323">
      <w:pPr>
        <w:pStyle w:val="TOC2"/>
        <w:tabs>
          <w:tab w:val="left" w:pos="960"/>
          <w:tab w:val="right" w:leader="dot" w:pos="9350"/>
        </w:tabs>
        <w:spacing w:after="100" w:line="259" w:lineRule="auto"/>
        <w:ind w:left="220"/>
        <w:rPr>
          <w:kern w:val="2"/>
          <w:sz w:val="24"/>
          <w:szCs w:val="24"/>
        </w:rPr>
      </w:pPr>
      <w:hyperlink w:anchor="_Toc226628108">
        <w:r>
          <w:rPr>
            <w:rStyle w:val="Hyperlink"/>
            <w:rFonts w:eastAsia="Times New Roman"/>
            <w:u w:val="single"/>
            <w:color w:val="0563C1"/>
          </w:rPr>
          <w:t xml:space="preserve">1.1.</w:t>
        </w:r>
      </w:hyperlink>
      <w:hyperlink w:anchor="_Toc226628108">
        <w:r>
          <w:rPr>
            <w:rStyle w:val="Hyperlink"/>
            <w:u w:val="none"/>
            <w:kern w:val="2"/>
            <w:sz w:val="24"/>
            <w:szCs w:val="24"/>
          </w:rPr>
          <w:tab/>
        </w:r>
      </w:hyperlink>
      <w:hyperlink w:anchor="_Toc226628108">
        <w:r>
          <w:rPr>
            <w:rStyle w:val="Hyperlink"/>
            <w:rFonts w:eastAsia="Times New Roman"/>
            <w:u w:val="single"/>
            <w:color w:val="0563C1"/>
          </w:rPr>
          <w:t xml:space="preserve">Requirements for all revalidations (MM 7.1.1)</w:t>
        </w:r>
      </w:hyperlink>
      <w:hyperlink w:anchor="_Toc226628108">
        <w:r>
          <w:rPr>
            <w:rStyle w:val="Hyperlink"/>
            <w:u w:val="none"/>
          </w:rPr>
          <w:tab/>
        </w:r>
      </w:hyperlink>
      <w:hyperlink w:anchor="_Toc226628108">
        <w:r>
          <w:rPr>
            <w:rStyle w:val="Hyperlink"/>
            <w:u w:val="none"/>
          </w:rPr>
          <w:fldChar w:fldCharType="begin"/>
        </w:r>
        <w:r>
          <w:rPr>
            <w:rStyle w:val="Hyperlink"/>
            <w:u w:val="none"/>
          </w:rPr>
          <w:instrText xml:space="preserve"> PAGEREF _Toc226628108 \h </w:instrText>
        </w:r>
        <w:r>
          <w:rPr>
            <w:rStyle w:val="Hyperlink"/>
            <w:u w:val="none"/>
          </w:rPr>
          <w:fldChar w:fldCharType="separate"/>
        </w:r>
        <w:r>
          <w:rPr>
            <w:rStyle w:val="Hyperlink"/>
            <w:u w:val="none"/>
          </w:rPr>
          <w:t xml:space="preserve">3</w:t>
        </w:r>
        <w:r>
          <w:rPr>
            <w:rStyle w:val="Hyperlink"/>
            <w:u w:val="none"/>
          </w:rPr>
          <w:fldChar w:fldCharType="end"/>
        </w:r>
      </w:hyperlink>
    </w:p>
    <w:p w14:paraId="37622121">
      <w:pPr>
        <w:pStyle w:val="TOC2"/>
        <w:tabs>
          <w:tab w:val="left" w:pos="960"/>
          <w:tab w:val="right" w:leader="dot" w:pos="9350"/>
        </w:tabs>
        <w:spacing w:after="100" w:line="259" w:lineRule="auto"/>
        <w:ind w:left="220"/>
        <w:rPr>
          <w:kern w:val="2"/>
          <w:sz w:val="24"/>
          <w:szCs w:val="24"/>
        </w:rPr>
      </w:pPr>
      <w:hyperlink w:anchor="_Toc226628109">
        <w:r>
          <w:rPr>
            <w:rStyle w:val="Hyperlink"/>
            <w:rFonts w:eastAsia="Times New Roman"/>
            <w:u w:val="single"/>
            <w:color w:val="0563C1"/>
          </w:rPr>
          <w:t xml:space="preserve">1.2.</w:t>
        </w:r>
      </w:hyperlink>
      <w:hyperlink w:anchor="_Toc226628109">
        <w:r>
          <w:rPr>
            <w:rStyle w:val="Hyperlink"/>
            <w:u w:val="none"/>
            <w:kern w:val="2"/>
            <w:sz w:val="24"/>
            <w:szCs w:val="24"/>
          </w:rPr>
          <w:tab/>
        </w:r>
      </w:hyperlink>
      <w:hyperlink w:anchor="_Toc226628109">
        <w:r>
          <w:rPr>
            <w:rStyle w:val="Hyperlink"/>
            <w:rFonts w:eastAsia="Times New Roman"/>
            <w:u w:val="single"/>
            <w:color w:val="0563C1"/>
          </w:rPr>
          <w:t xml:space="preserve">FS &amp; INTU (MM 7.1.2)</w:t>
        </w:r>
      </w:hyperlink>
      <w:hyperlink w:anchor="_Toc226628109">
        <w:r>
          <w:rPr>
            <w:rStyle w:val="Hyperlink"/>
            <w:u w:val="none"/>
          </w:rPr>
          <w:tab/>
        </w:r>
      </w:hyperlink>
      <w:hyperlink w:anchor="_Toc226628109">
        <w:r>
          <w:rPr>
            <w:rStyle w:val="Hyperlink"/>
            <w:u w:val="none"/>
          </w:rPr>
          <w:fldChar w:fldCharType="begin"/>
        </w:r>
        <w:r>
          <w:rPr>
            <w:rStyle w:val="Hyperlink"/>
            <w:u w:val="none"/>
          </w:rPr>
          <w:instrText xml:space="preserve"> PAGEREF _Toc226628109 \h </w:instrText>
        </w:r>
        <w:r>
          <w:rPr>
            <w:rStyle w:val="Hyperlink"/>
            <w:u w:val="none"/>
          </w:rPr>
          <w:fldChar w:fldCharType="separate"/>
        </w:r>
        <w:r>
          <w:rPr>
            <w:rStyle w:val="Hyperlink"/>
            <w:u w:val="none"/>
          </w:rPr>
          <w:t xml:space="preserve">6</w:t>
        </w:r>
        <w:r>
          <w:rPr>
            <w:rStyle w:val="Hyperlink"/>
            <w:u w:val="none"/>
          </w:rPr>
          <w:fldChar w:fldCharType="end"/>
        </w:r>
      </w:hyperlink>
    </w:p>
    <w:p w14:paraId="4A9DB98B">
      <w:pPr>
        <w:pStyle w:val="TOC2"/>
        <w:tabs>
          <w:tab w:val="left" w:pos="960"/>
          <w:tab w:val="right" w:leader="dot" w:pos="9350"/>
        </w:tabs>
        <w:spacing w:after="100" w:line="259" w:lineRule="auto"/>
        <w:ind w:left="220"/>
        <w:rPr>
          <w:kern w:val="2"/>
          <w:sz w:val="24"/>
          <w:szCs w:val="24"/>
        </w:rPr>
      </w:pPr>
      <w:hyperlink w:anchor="_Toc226628110">
        <w:r>
          <w:rPr>
            <w:rStyle w:val="Hyperlink"/>
            <w:rFonts w:eastAsia="Times New Roman"/>
            <w:u w:val="single"/>
            <w:color w:val="0563C1"/>
          </w:rPr>
          <w:t xml:space="preserve">1.3.</w:t>
        </w:r>
      </w:hyperlink>
      <w:hyperlink w:anchor="_Toc226628110">
        <w:r>
          <w:rPr>
            <w:rStyle w:val="Hyperlink"/>
            <w:u w:val="none"/>
            <w:kern w:val="2"/>
            <w:sz w:val="24"/>
            <w:szCs w:val="24"/>
          </w:rPr>
          <w:tab/>
        </w:r>
      </w:hyperlink>
      <w:hyperlink w:anchor="_Toc226628110">
        <w:r>
          <w:rPr>
            <w:rStyle w:val="Hyperlink"/>
            <w:rFonts w:eastAsia="Times New Roman"/>
            <w:u w:val="single"/>
            <w:color w:val="0563C1"/>
          </w:rPr>
          <w:t xml:space="preserve">VUP (MM 7.1.3)</w:t>
        </w:r>
      </w:hyperlink>
      <w:hyperlink w:anchor="_Toc226628110">
        <w:r>
          <w:rPr>
            <w:rStyle w:val="Hyperlink"/>
            <w:u w:val="none"/>
          </w:rPr>
          <w:tab/>
        </w:r>
      </w:hyperlink>
      <w:hyperlink w:anchor="_Toc226628110">
        <w:r>
          <w:rPr>
            <w:rStyle w:val="Hyperlink"/>
            <w:u w:val="none"/>
          </w:rPr>
          <w:fldChar w:fldCharType="begin"/>
        </w:r>
        <w:r>
          <w:rPr>
            <w:rStyle w:val="Hyperlink"/>
            <w:u w:val="none"/>
          </w:rPr>
          <w:instrText xml:space="preserve"> PAGEREF _Toc226628110 \h </w:instrText>
        </w:r>
        <w:r>
          <w:rPr>
            <w:rStyle w:val="Hyperlink"/>
            <w:u w:val="none"/>
          </w:rPr>
          <w:fldChar w:fldCharType="separate"/>
        </w:r>
        <w:r>
          <w:rPr>
            <w:rStyle w:val="Hyperlink"/>
            <w:u w:val="none"/>
          </w:rPr>
          <w:t xml:space="preserve">7</w:t>
        </w:r>
        <w:r>
          <w:rPr>
            <w:rStyle w:val="Hyperlink"/>
            <w:u w:val="none"/>
          </w:rPr>
          <w:fldChar w:fldCharType="end"/>
        </w:r>
      </w:hyperlink>
    </w:p>
    <w:p w14:paraId="1FE3D912">
      <w:pPr>
        <w:pStyle w:val="TOC2"/>
        <w:tabs>
          <w:tab w:val="left" w:pos="960"/>
          <w:tab w:val="right" w:leader="dot" w:pos="9350"/>
        </w:tabs>
        <w:spacing w:after="100" w:line="259" w:lineRule="auto"/>
        <w:ind w:left="220"/>
        <w:rPr>
          <w:kern w:val="2"/>
          <w:sz w:val="24"/>
          <w:szCs w:val="24"/>
        </w:rPr>
      </w:pPr>
      <w:hyperlink w:anchor="_Toc226628111">
        <w:r>
          <w:rPr>
            <w:rStyle w:val="Hyperlink"/>
            <w:rFonts w:eastAsia="Times New Roman"/>
            <w:u w:val="single"/>
            <w:color w:val="0563C1"/>
          </w:rPr>
          <w:t xml:space="preserve">1.4.</w:t>
        </w:r>
      </w:hyperlink>
      <w:hyperlink w:anchor="_Toc226628111">
        <w:r>
          <w:rPr>
            <w:rStyle w:val="Hyperlink"/>
            <w:u w:val="none"/>
            <w:kern w:val="2"/>
            <w:sz w:val="24"/>
            <w:szCs w:val="24"/>
          </w:rPr>
          <w:tab/>
        </w:r>
      </w:hyperlink>
      <w:hyperlink w:anchor="_Toc226628111">
        <w:r>
          <w:rPr>
            <w:rStyle w:val="Hyperlink"/>
            <w:rFonts w:eastAsia="Times New Roman"/>
            <w:u w:val="single"/>
            <w:color w:val="0563C1"/>
          </w:rPr>
          <w:t xml:space="preserve">VAOE (MM 7.1.4)</w:t>
        </w:r>
      </w:hyperlink>
      <w:hyperlink w:anchor="_Toc226628111">
        <w:r>
          <w:rPr>
            <w:rStyle w:val="Hyperlink"/>
            <w:u w:val="none"/>
          </w:rPr>
          <w:tab/>
        </w:r>
      </w:hyperlink>
      <w:hyperlink w:anchor="_Toc226628111">
        <w:r>
          <w:rPr>
            <w:rStyle w:val="Hyperlink"/>
            <w:u w:val="none"/>
          </w:rPr>
          <w:fldChar w:fldCharType="begin"/>
        </w:r>
        <w:r>
          <w:rPr>
            <w:rStyle w:val="Hyperlink"/>
            <w:u w:val="none"/>
          </w:rPr>
          <w:instrText xml:space="preserve"> PAGEREF _Toc226628111 \h </w:instrText>
        </w:r>
        <w:r>
          <w:rPr>
            <w:rStyle w:val="Hyperlink"/>
            <w:u w:val="none"/>
          </w:rPr>
          <w:fldChar w:fldCharType="separate"/>
        </w:r>
        <w:r>
          <w:rPr>
            <w:rStyle w:val="Hyperlink"/>
            <w:u w:val="none"/>
          </w:rPr>
          <w:t xml:space="preserve">8</w:t>
        </w:r>
        <w:r>
          <w:rPr>
            <w:rStyle w:val="Hyperlink"/>
            <w:u w:val="none"/>
          </w:rPr>
          <w:fldChar w:fldCharType="end"/>
        </w:r>
      </w:hyperlink>
    </w:p>
    <w:p w14:paraId="030B5DA3">
      <w:pPr>
        <w:pStyle w:val="TOC2"/>
        <w:tabs>
          <w:tab w:val="left" w:pos="960"/>
          <w:tab w:val="right" w:leader="dot" w:pos="9350"/>
        </w:tabs>
        <w:spacing w:after="100" w:line="259" w:lineRule="auto"/>
        <w:ind w:left="220"/>
        <w:rPr>
          <w:kern w:val="2"/>
          <w:sz w:val="24"/>
          <w:szCs w:val="24"/>
        </w:rPr>
      </w:pPr>
      <w:hyperlink w:anchor="_Toc226628112">
        <w:r>
          <w:rPr>
            <w:rStyle w:val="Hyperlink"/>
            <w:rFonts w:eastAsia="Times New Roman"/>
            <w:u w:val="single"/>
            <w:color w:val="0563C1"/>
          </w:rPr>
          <w:t xml:space="preserve">1.5.</w:t>
        </w:r>
      </w:hyperlink>
      <w:hyperlink w:anchor="_Toc226628112">
        <w:r>
          <w:rPr>
            <w:rStyle w:val="Hyperlink"/>
            <w:u w:val="none"/>
            <w:kern w:val="2"/>
            <w:sz w:val="24"/>
            <w:szCs w:val="24"/>
          </w:rPr>
          <w:tab/>
        </w:r>
      </w:hyperlink>
      <w:hyperlink w:anchor="_Toc226628112">
        <w:r>
          <w:rPr>
            <w:rStyle w:val="Hyperlink"/>
            <w:rFonts w:eastAsia="Times New Roman"/>
            <w:u w:val="single"/>
            <w:color w:val="0563C1"/>
          </w:rPr>
          <w:t xml:space="preserve">NSRL (MM 7.1.5)</w:t>
        </w:r>
      </w:hyperlink>
      <w:hyperlink w:anchor="_Toc226628112">
        <w:r>
          <w:rPr>
            <w:rStyle w:val="Hyperlink"/>
            <w:u w:val="none"/>
          </w:rPr>
          <w:tab/>
        </w:r>
      </w:hyperlink>
      <w:hyperlink w:anchor="_Toc226628112">
        <w:r>
          <w:rPr>
            <w:rStyle w:val="Hyperlink"/>
            <w:u w:val="none"/>
          </w:rPr>
          <w:fldChar w:fldCharType="begin"/>
        </w:r>
        <w:r>
          <w:rPr>
            <w:rStyle w:val="Hyperlink"/>
            <w:u w:val="none"/>
          </w:rPr>
          <w:instrText xml:space="preserve"> PAGEREF _Toc226628112 \h </w:instrText>
        </w:r>
        <w:r>
          <w:rPr>
            <w:rStyle w:val="Hyperlink"/>
            <w:u w:val="none"/>
          </w:rPr>
          <w:fldChar w:fldCharType="separate"/>
        </w:r>
        <w:r>
          <w:rPr>
            <w:rStyle w:val="Hyperlink"/>
            <w:u w:val="none"/>
          </w:rPr>
          <w:t xml:space="preserve">9</w:t>
        </w:r>
        <w:r>
          <w:rPr>
            <w:rStyle w:val="Hyperlink"/>
            <w:u w:val="none"/>
          </w:rPr>
          <w:fldChar w:fldCharType="end"/>
        </w:r>
      </w:hyperlink>
    </w:p>
    <w:p w14:paraId="6613DE60">
      <w:pPr>
        <w:pStyle w:val="TOC2"/>
        <w:tabs>
          <w:tab w:val="left" w:pos="960"/>
          <w:tab w:val="right" w:leader="dot" w:pos="9350"/>
        </w:tabs>
        <w:spacing w:after="100" w:line="259" w:lineRule="auto"/>
        <w:ind w:left="220"/>
        <w:rPr>
          <w:kern w:val="2"/>
          <w:sz w:val="24"/>
          <w:szCs w:val="24"/>
        </w:rPr>
      </w:pPr>
      <w:hyperlink w:anchor="_Toc226628113">
        <w:r>
          <w:rPr>
            <w:rStyle w:val="Hyperlink"/>
            <w:rFonts w:eastAsia="Times New Roman"/>
            <w:u w:val="single"/>
            <w:color w:val="0563C1"/>
          </w:rPr>
          <w:t xml:space="preserve">1.6.</w:t>
        </w:r>
      </w:hyperlink>
      <w:hyperlink w:anchor="_Toc226628113">
        <w:r>
          <w:rPr>
            <w:rStyle w:val="Hyperlink"/>
            <w:u w:val="none"/>
            <w:kern w:val="2"/>
            <w:sz w:val="24"/>
            <w:szCs w:val="24"/>
          </w:rPr>
          <w:tab/>
        </w:r>
      </w:hyperlink>
      <w:hyperlink w:anchor="_Toc226628113">
        <w:r>
          <w:rPr>
            <w:rStyle w:val="Hyperlink"/>
            <w:rFonts w:eastAsia="Times New Roman"/>
            <w:u w:val="single"/>
            <w:color w:val="0563C1"/>
          </w:rPr>
          <w:t xml:space="preserve">ALG (MM 7.1.6)</w:t>
        </w:r>
      </w:hyperlink>
      <w:hyperlink w:anchor="_Toc226628113">
        <w:r>
          <w:rPr>
            <w:rStyle w:val="Hyperlink"/>
            <w:u w:val="none"/>
          </w:rPr>
          <w:tab/>
        </w:r>
      </w:hyperlink>
      <w:hyperlink w:anchor="_Toc226628113">
        <w:r>
          <w:rPr>
            <w:rStyle w:val="Hyperlink"/>
            <w:u w:val="none"/>
          </w:rPr>
          <w:fldChar w:fldCharType="begin"/>
        </w:r>
        <w:r>
          <w:rPr>
            <w:rStyle w:val="Hyperlink"/>
            <w:u w:val="none"/>
          </w:rPr>
          <w:instrText xml:space="preserve"> PAGEREF _Toc226628113 \h </w:instrText>
        </w:r>
        <w:r>
          <w:rPr>
            <w:rStyle w:val="Hyperlink"/>
            <w:u w:val="none"/>
          </w:rPr>
          <w:fldChar w:fldCharType="separate"/>
        </w:r>
        <w:r>
          <w:rPr>
            <w:rStyle w:val="Hyperlink"/>
            <w:u w:val="none"/>
          </w:rPr>
          <w:t xml:space="preserve">12</w:t>
        </w:r>
        <w:r>
          <w:rPr>
            <w:rStyle w:val="Hyperlink"/>
            <w:u w:val="none"/>
          </w:rPr>
          <w:fldChar w:fldCharType="end"/>
        </w:r>
      </w:hyperlink>
    </w:p>
    <w:p w14:paraId="2346F081">
      <w:pPr>
        <w:pStyle w:val="TOC2"/>
        <w:tabs>
          <w:tab w:val="left" w:pos="960"/>
          <w:tab w:val="right" w:leader="dot" w:pos="9350"/>
        </w:tabs>
        <w:spacing w:after="100" w:line="259" w:lineRule="auto"/>
        <w:ind w:left="220"/>
        <w:rPr>
          <w:kern w:val="2"/>
          <w:sz w:val="24"/>
          <w:szCs w:val="24"/>
        </w:rPr>
      </w:pPr>
      <w:hyperlink w:anchor="_Toc226628114">
        <w:r>
          <w:rPr>
            <w:rStyle w:val="Hyperlink"/>
            <w:rFonts w:eastAsia="Times New Roman"/>
            <w:u w:val="single"/>
            <w:color w:val="0563C1"/>
          </w:rPr>
          <w:t xml:space="preserve">1.7.</w:t>
        </w:r>
      </w:hyperlink>
      <w:hyperlink w:anchor="_Toc226628114">
        <w:r>
          <w:rPr>
            <w:rStyle w:val="Hyperlink"/>
            <w:u w:val="none"/>
            <w:kern w:val="2"/>
            <w:sz w:val="24"/>
            <w:szCs w:val="24"/>
          </w:rPr>
          <w:tab/>
        </w:r>
      </w:hyperlink>
      <w:hyperlink w:anchor="_Toc226628114">
        <w:r>
          <w:rPr>
            <w:rStyle w:val="Hyperlink"/>
            <w:rFonts w:eastAsia="Times New Roman"/>
            <w:u w:val="single"/>
            <w:color w:val="0563C1"/>
          </w:rPr>
          <w:t xml:space="preserve">OEUP (MM 7.1.7)</w:t>
        </w:r>
      </w:hyperlink>
      <w:hyperlink w:anchor="_Toc226628114">
        <w:r>
          <w:rPr>
            <w:rStyle w:val="Hyperlink"/>
            <w:u w:val="none"/>
          </w:rPr>
          <w:tab/>
        </w:r>
      </w:hyperlink>
      <w:hyperlink w:anchor="_Toc226628114">
        <w:r>
          <w:rPr>
            <w:rStyle w:val="Hyperlink"/>
            <w:u w:val="none"/>
          </w:rPr>
          <w:fldChar w:fldCharType="begin"/>
        </w:r>
        <w:r>
          <w:rPr>
            <w:rStyle w:val="Hyperlink"/>
            <w:u w:val="none"/>
          </w:rPr>
          <w:instrText xml:space="preserve"> PAGEREF _Toc226628114 \h </w:instrText>
        </w:r>
        <w:r>
          <w:rPr>
            <w:rStyle w:val="Hyperlink"/>
            <w:u w:val="none"/>
          </w:rPr>
          <w:fldChar w:fldCharType="separate"/>
        </w:r>
        <w:r>
          <w:rPr>
            <w:rStyle w:val="Hyperlink"/>
            <w:u w:val="none"/>
          </w:rPr>
          <w:t xml:space="preserve">13</w:t>
        </w:r>
        <w:r>
          <w:rPr>
            <w:rStyle w:val="Hyperlink"/>
            <w:u w:val="none"/>
          </w:rPr>
          <w:fldChar w:fldCharType="end"/>
        </w:r>
      </w:hyperlink>
    </w:p>
    <w:p w14:paraId="7385575B">
      <w:pPr>
        <w:pStyle w:val="TOC2"/>
        <w:tabs>
          <w:tab w:val="left" w:pos="960"/>
          <w:tab w:val="right" w:leader="dot" w:pos="9350"/>
        </w:tabs>
        <w:spacing w:after="100" w:line="259" w:lineRule="auto"/>
        <w:ind w:left="220"/>
        <w:rPr>
          <w:kern w:val="2"/>
          <w:sz w:val="24"/>
          <w:szCs w:val="24"/>
        </w:rPr>
      </w:pPr>
      <w:hyperlink w:anchor="_Toc226628115">
        <w:r>
          <w:rPr>
            <w:rStyle w:val="Hyperlink"/>
            <w:rFonts w:eastAsia="Times New Roman"/>
            <w:u w:val="single"/>
            <w:color w:val="0563C1"/>
          </w:rPr>
          <w:t xml:space="preserve">1.8.</w:t>
        </w:r>
      </w:hyperlink>
      <w:hyperlink w:anchor="_Toc226628115">
        <w:r>
          <w:rPr>
            <w:rStyle w:val="Hyperlink"/>
            <w:u w:val="none"/>
            <w:kern w:val="2"/>
            <w:sz w:val="24"/>
            <w:szCs w:val="24"/>
          </w:rPr>
          <w:tab/>
        </w:r>
      </w:hyperlink>
      <w:hyperlink w:anchor="_Toc226628115">
        <w:r>
          <w:rPr>
            <w:rStyle w:val="Hyperlink"/>
            <w:rFonts w:eastAsia="Times New Roman"/>
            <w:u w:val="single"/>
            <w:color w:val="0563C1"/>
          </w:rPr>
          <w:t xml:space="preserve">RBND (MM 7.1.8)</w:t>
        </w:r>
      </w:hyperlink>
      <w:hyperlink w:anchor="_Toc226628115">
        <w:r>
          <w:rPr>
            <w:rStyle w:val="Hyperlink"/>
            <w:u w:val="none"/>
          </w:rPr>
          <w:tab/>
        </w:r>
      </w:hyperlink>
      <w:hyperlink w:anchor="_Toc226628115">
        <w:r>
          <w:rPr>
            <w:rStyle w:val="Hyperlink"/>
            <w:u w:val="none"/>
          </w:rPr>
          <w:fldChar w:fldCharType="begin"/>
        </w:r>
        <w:r>
          <w:rPr>
            <w:rStyle w:val="Hyperlink"/>
            <w:u w:val="none"/>
          </w:rPr>
          <w:instrText xml:space="preserve"> PAGEREF _Toc226628115 \h </w:instrText>
        </w:r>
        <w:r>
          <w:rPr>
            <w:rStyle w:val="Hyperlink"/>
            <w:u w:val="none"/>
          </w:rPr>
          <w:fldChar w:fldCharType="separate"/>
        </w:r>
        <w:r>
          <w:rPr>
            <w:rStyle w:val="Hyperlink"/>
            <w:u w:val="none"/>
          </w:rPr>
          <w:t xml:space="preserve">14</w:t>
        </w:r>
        <w:r>
          <w:rPr>
            <w:rStyle w:val="Hyperlink"/>
            <w:u w:val="none"/>
          </w:rPr>
          <w:fldChar w:fldCharType="end"/>
        </w:r>
      </w:hyperlink>
    </w:p>
    <w:p w14:paraId="5D753DBC">
      <w:pPr>
        <w:pStyle w:val="TOC2"/>
        <w:tabs>
          <w:tab w:val="left" w:pos="960"/>
          <w:tab w:val="right" w:leader="dot" w:pos="9350"/>
        </w:tabs>
        <w:spacing w:after="100" w:line="259" w:lineRule="auto"/>
        <w:ind w:left="220"/>
        <w:rPr>
          <w:kern w:val="2"/>
          <w:sz w:val="24"/>
          <w:szCs w:val="24"/>
        </w:rPr>
      </w:pPr>
      <w:hyperlink w:anchor="_Toc226628116">
        <w:r>
          <w:rPr>
            <w:rStyle w:val="Hyperlink"/>
            <w:rFonts w:eastAsia="Times New Roman"/>
            <w:u w:val="single"/>
            <w:color w:val="0563C1"/>
          </w:rPr>
          <w:t xml:space="preserve">1.9.</w:t>
        </w:r>
      </w:hyperlink>
      <w:hyperlink w:anchor="_Toc226628116">
        <w:r>
          <w:rPr>
            <w:rStyle w:val="Hyperlink"/>
            <w:u w:val="none"/>
            <w:kern w:val="2"/>
            <w:sz w:val="24"/>
            <w:szCs w:val="24"/>
          </w:rPr>
          <w:tab/>
        </w:r>
      </w:hyperlink>
      <w:hyperlink w:anchor="_Toc226628116">
        <w:r>
          <w:rPr>
            <w:rStyle w:val="Hyperlink"/>
            <w:rFonts w:eastAsia="Times New Roman"/>
            <w:u w:val="single"/>
            <w:color w:val="0563C1"/>
          </w:rPr>
          <w:t xml:space="preserve">PTSC (MM 7.1.9)</w:t>
        </w:r>
      </w:hyperlink>
      <w:hyperlink w:anchor="_Toc226628116">
        <w:r>
          <w:rPr>
            <w:rStyle w:val="Hyperlink"/>
            <w:u w:val="none"/>
          </w:rPr>
          <w:tab/>
        </w:r>
      </w:hyperlink>
      <w:hyperlink w:anchor="_Toc226628116">
        <w:r>
          <w:rPr>
            <w:rStyle w:val="Hyperlink"/>
            <w:u w:val="none"/>
          </w:rPr>
          <w:fldChar w:fldCharType="begin"/>
        </w:r>
        <w:r>
          <w:rPr>
            <w:rStyle w:val="Hyperlink"/>
            <w:u w:val="none"/>
          </w:rPr>
          <w:instrText xml:space="preserve"> PAGEREF _Toc226628116 \h </w:instrText>
        </w:r>
        <w:r>
          <w:rPr>
            <w:rStyle w:val="Hyperlink"/>
            <w:u w:val="none"/>
          </w:rPr>
          <w:fldChar w:fldCharType="separate"/>
        </w:r>
        <w:r>
          <w:rPr>
            <w:rStyle w:val="Hyperlink"/>
            <w:u w:val="none"/>
          </w:rPr>
          <w:t xml:space="preserve">16</w:t>
        </w:r>
        <w:r>
          <w:rPr>
            <w:rStyle w:val="Hyperlink"/>
            <w:u w:val="none"/>
          </w:rPr>
          <w:fldChar w:fldCharType="end"/>
        </w:r>
      </w:hyperlink>
    </w:p>
    <w:p w14:paraId="75CE42EA">
      <w:pPr>
        <w:pStyle w:val="TOC2"/>
        <w:tabs>
          <w:tab w:val="left" w:pos="960"/>
          <w:tab w:val="right" w:leader="dot" w:pos="9350"/>
        </w:tabs>
        <w:spacing w:after="100" w:line="259" w:lineRule="auto"/>
        <w:ind w:left="220"/>
        <w:rPr>
          <w:kern w:val="2"/>
          <w:sz w:val="24"/>
          <w:szCs w:val="24"/>
        </w:rPr>
      </w:pPr>
      <w:hyperlink w:anchor="_Toc226628117">
        <w:r>
          <w:rPr>
            <w:rStyle w:val="Hyperlink"/>
            <w:rFonts w:eastAsia="Times New Roman"/>
            <w:u w:val="single"/>
            <w:color w:val="0563C1"/>
          </w:rPr>
          <w:t xml:space="preserve">1.10.</w:t>
        </w:r>
      </w:hyperlink>
      <w:hyperlink w:anchor="_Toc226628117">
        <w:r>
          <w:rPr>
            <w:rStyle w:val="Hyperlink"/>
            <w:u w:val="none"/>
            <w:kern w:val="2"/>
            <w:sz w:val="24"/>
            <w:szCs w:val="24"/>
          </w:rPr>
          <w:tab/>
        </w:r>
      </w:hyperlink>
      <w:hyperlink w:anchor="_Toc226628117">
        <w:r>
          <w:rPr>
            <w:rStyle w:val="Hyperlink"/>
            <w:rFonts w:eastAsia="Times New Roman"/>
            <w:u w:val="single"/>
            <w:color w:val="0563C1"/>
          </w:rPr>
          <w:t xml:space="preserve">UPDT (MM 7.1.10)</w:t>
        </w:r>
      </w:hyperlink>
      <w:hyperlink w:anchor="_Toc226628117">
        <w:r>
          <w:rPr>
            <w:rStyle w:val="Hyperlink"/>
            <w:u w:val="none"/>
          </w:rPr>
          <w:tab/>
        </w:r>
      </w:hyperlink>
      <w:hyperlink w:anchor="_Toc226628117">
        <w:r>
          <w:rPr>
            <w:rStyle w:val="Hyperlink"/>
            <w:u w:val="none"/>
          </w:rPr>
          <w:fldChar w:fldCharType="begin"/>
        </w:r>
        <w:r>
          <w:rPr>
            <w:rStyle w:val="Hyperlink"/>
            <w:u w:val="none"/>
          </w:rPr>
          <w:instrText xml:space="preserve"> PAGEREF _Toc226628117 \h </w:instrText>
        </w:r>
        <w:r>
          <w:rPr>
            <w:rStyle w:val="Hyperlink"/>
            <w:u w:val="none"/>
          </w:rPr>
          <w:fldChar w:fldCharType="separate"/>
        </w:r>
        <w:r>
          <w:rPr>
            <w:rStyle w:val="Hyperlink"/>
            <w:u w:val="none"/>
          </w:rPr>
          <w:t xml:space="preserve">18</w:t>
        </w:r>
        <w:r>
          <w:rPr>
            <w:rStyle w:val="Hyperlink"/>
            <w:u w:val="none"/>
          </w:rPr>
          <w:fldChar w:fldCharType="end"/>
        </w:r>
      </w:hyperlink>
    </w:p>
    <w:p w14:paraId="04EA0140">
      <w:pPr>
        <w:pStyle w:val="TOC2"/>
        <w:tabs>
          <w:tab w:val="left" w:pos="960"/>
          <w:tab w:val="right" w:leader="dot" w:pos="9350"/>
        </w:tabs>
        <w:spacing w:after="100" w:line="259" w:lineRule="auto"/>
        <w:ind w:left="220"/>
        <w:rPr>
          <w:kern w:val="2"/>
          <w:sz w:val="24"/>
          <w:szCs w:val="24"/>
        </w:rPr>
      </w:pPr>
      <w:hyperlink w:anchor="_Toc226628118">
        <w:r>
          <w:rPr>
            <w:rStyle w:val="Hyperlink"/>
            <w:rFonts w:eastAsia="Times New Roman"/>
            <w:u w:val="single"/>
            <w:color w:val="0563C1"/>
          </w:rPr>
          <w:t xml:space="preserve">1.11.</w:t>
        </w:r>
      </w:hyperlink>
      <w:hyperlink w:anchor="_Toc226628118">
        <w:r>
          <w:rPr>
            <w:rStyle w:val="Hyperlink"/>
            <w:u w:val="none"/>
            <w:kern w:val="2"/>
            <w:sz w:val="24"/>
            <w:szCs w:val="24"/>
          </w:rPr>
          <w:tab/>
        </w:r>
      </w:hyperlink>
      <w:hyperlink w:anchor="_Toc226628118">
        <w:r>
          <w:rPr>
            <w:rStyle w:val="Hyperlink"/>
            <w:rFonts w:eastAsia="Times New Roman"/>
            <w:u w:val="single"/>
            <w:color w:val="0563C1"/>
          </w:rPr>
          <w:t xml:space="preserve">CVE (MM 7.1.11)</w:t>
        </w:r>
      </w:hyperlink>
      <w:hyperlink w:anchor="_Toc226628118">
        <w:r>
          <w:rPr>
            <w:rStyle w:val="Hyperlink"/>
            <w:u w:val="none"/>
          </w:rPr>
          <w:tab/>
        </w:r>
      </w:hyperlink>
      <w:hyperlink w:anchor="_Toc226628118">
        <w:r>
          <w:rPr>
            <w:rStyle w:val="Hyperlink"/>
            <w:u w:val="none"/>
          </w:rPr>
          <w:fldChar w:fldCharType="begin"/>
        </w:r>
        <w:r>
          <w:rPr>
            <w:rStyle w:val="Hyperlink"/>
            <w:u w:val="none"/>
          </w:rPr>
          <w:instrText xml:space="preserve"> PAGEREF _Toc226628118 \h </w:instrText>
        </w:r>
        <w:r>
          <w:rPr>
            <w:rStyle w:val="Hyperlink"/>
            <w:u w:val="none"/>
          </w:rPr>
          <w:fldChar w:fldCharType="separate"/>
        </w:r>
        <w:r>
          <w:rPr>
            <w:rStyle w:val="Hyperlink"/>
            <w:u w:val="none"/>
          </w:rPr>
          <w:t xml:space="preserve">32</w:t>
        </w:r>
        <w:r>
          <w:rPr>
            <w:rStyle w:val="Hyperlink"/>
            <w:u w:val="none"/>
          </w:rPr>
          <w:fldChar w:fldCharType="end"/>
        </w:r>
      </w:hyperlink>
    </w:p>
    <w:p w14:paraId="203E99A4">
      <w:pPr>
        <w:pStyle w:val="TOC2"/>
        <w:tabs>
          <w:tab w:val="left" w:pos="960"/>
          <w:tab w:val="right" w:leader="dot" w:pos="9350"/>
        </w:tabs>
        <w:spacing w:after="100" w:line="259" w:lineRule="auto"/>
        <w:ind w:left="220"/>
        <w:rPr>
          <w:kern w:val="2"/>
          <w:sz w:val="24"/>
          <w:szCs w:val="24"/>
        </w:rPr>
      </w:pPr>
      <w:hyperlink w:anchor="_Toc226628119">
        <w:r>
          <w:rPr>
            <w:rStyle w:val="Hyperlink"/>
            <w:rFonts w:eastAsia="Times New Roman"/>
            <w:u w:val="single"/>
            <w:color w:val="0563C1"/>
          </w:rPr>
          <w:t xml:space="preserve">1.12.</w:t>
        </w:r>
      </w:hyperlink>
      <w:hyperlink w:anchor="_Toc226628119">
        <w:r>
          <w:rPr>
            <w:rStyle w:val="Hyperlink"/>
            <w:u w:val="none"/>
            <w:kern w:val="2"/>
            <w:sz w:val="24"/>
            <w:szCs w:val="24"/>
          </w:rPr>
          <w:tab/>
        </w:r>
      </w:hyperlink>
      <w:hyperlink w:anchor="_Toc226628119">
        <w:r>
          <w:rPr>
            <w:rStyle w:val="Hyperlink"/>
            <w:rFonts w:eastAsia="Times New Roman"/>
            <w:u w:val="single"/>
            <w:color w:val="0563C1"/>
          </w:rPr>
          <w:t xml:space="preserve">TRNS (MM 7.1.12)</w:t>
        </w:r>
      </w:hyperlink>
      <w:hyperlink w:anchor="_Toc226628119">
        <w:r>
          <w:rPr>
            <w:rStyle w:val="Hyperlink"/>
            <w:u w:val="none"/>
          </w:rPr>
          <w:tab/>
        </w:r>
      </w:hyperlink>
      <w:hyperlink w:anchor="_Toc226628119">
        <w:r>
          <w:rPr>
            <w:rStyle w:val="Hyperlink"/>
            <w:u w:val="none"/>
          </w:rPr>
          <w:fldChar w:fldCharType="begin"/>
        </w:r>
        <w:r>
          <w:rPr>
            <w:rStyle w:val="Hyperlink"/>
            <w:u w:val="none"/>
          </w:rPr>
          <w:instrText xml:space="preserve"> PAGEREF _Toc226628119 \h </w:instrText>
        </w:r>
        <w:r>
          <w:rPr>
            <w:rStyle w:val="Hyperlink"/>
            <w:u w:val="none"/>
          </w:rPr>
          <w:fldChar w:fldCharType="separate"/>
        </w:r>
        <w:r>
          <w:rPr>
            <w:rStyle w:val="Hyperlink"/>
            <w:u w:val="none"/>
          </w:rPr>
          <w:t xml:space="preserve">34</w:t>
        </w:r>
        <w:r>
          <w:rPr>
            <w:rStyle w:val="Hyperlink"/>
            <w:u w:val="none"/>
          </w:rPr>
          <w:fldChar w:fldCharType="end"/>
        </w:r>
      </w:hyperlink>
    </w:p>
    <w:p w14:paraId="1C98F48F">
      <w:pPr>
        <w:pStyle w:val="TOC2"/>
        <w:tabs>
          <w:tab w:val="left" w:pos="960"/>
          <w:tab w:val="right" w:leader="dot" w:pos="9350"/>
        </w:tabs>
        <w:spacing w:after="100" w:line="259" w:lineRule="auto"/>
        <w:ind w:left="220"/>
        <w:rPr>
          <w:kern w:val="2"/>
          <w:sz w:val="24"/>
          <w:szCs w:val="24"/>
        </w:rPr>
      </w:pPr>
      <w:hyperlink w:anchor="_Toc226628120">
        <w:r>
          <w:rPr>
            <w:rStyle w:val="Hyperlink"/>
            <w:rFonts w:eastAsia="Times New Roman"/>
            <w:u w:val="single"/>
            <w:color w:val="0563C1"/>
          </w:rPr>
          <w:t xml:space="preserve">1.13.</w:t>
        </w:r>
      </w:hyperlink>
      <w:hyperlink w:anchor="_Toc226628120">
        <w:r>
          <w:rPr>
            <w:rStyle w:val="Hyperlink"/>
            <w:u w:val="none"/>
            <w:kern w:val="2"/>
            <w:sz w:val="24"/>
            <w:szCs w:val="24"/>
          </w:rPr>
          <w:tab/>
        </w:r>
      </w:hyperlink>
      <w:hyperlink w:anchor="_Toc226628120">
        <w:r>
          <w:rPr>
            <w:rStyle w:val="Hyperlink"/>
            <w:rFonts w:eastAsia="Times New Roman"/>
            <w:u w:val="single"/>
            <w:color w:val="0563C1"/>
          </w:rPr>
          <w:t xml:space="preserve">PHYS (MM 7.1.13)</w:t>
        </w:r>
      </w:hyperlink>
      <w:hyperlink w:anchor="_Toc226628120">
        <w:r>
          <w:rPr>
            <w:rStyle w:val="Hyperlink"/>
            <w:u w:val="none"/>
          </w:rPr>
          <w:tab/>
        </w:r>
      </w:hyperlink>
      <w:hyperlink w:anchor="_Toc226628120">
        <w:r>
          <w:rPr>
            <w:rStyle w:val="Hyperlink"/>
            <w:u w:val="none"/>
          </w:rPr>
          <w:fldChar w:fldCharType="begin"/>
        </w:r>
        <w:r>
          <w:rPr>
            <w:rStyle w:val="Hyperlink"/>
            <w:u w:val="none"/>
          </w:rPr>
          <w:instrText xml:space="preserve"> PAGEREF _Toc226628120 \h </w:instrText>
        </w:r>
        <w:r>
          <w:rPr>
            <w:rStyle w:val="Hyperlink"/>
            <w:u w:val="none"/>
          </w:rPr>
          <w:fldChar w:fldCharType="separate"/>
        </w:r>
        <w:r>
          <w:rPr>
            <w:rStyle w:val="Hyperlink"/>
            <w:u w:val="none"/>
          </w:rPr>
          <w:t xml:space="preserve">39</w:t>
        </w:r>
        <w:r>
          <w:rPr>
            <w:rStyle w:val="Hyperlink"/>
            <w:u w:val="none"/>
          </w:rPr>
          <w:fldChar w:fldCharType="end"/>
        </w:r>
      </w:hyperlink>
    </w:p>
    <w:p w14:paraId="32EACC78">
      <w:pPr>
        <w:pStyle w:val="TOC1"/>
        <w:tabs>
          <w:tab w:val="left" w:pos="480"/>
          <w:tab w:val="right" w:leader="dot" w:pos="9350"/>
        </w:tabs>
        <w:spacing w:after="100" w:line="259" w:lineRule="auto"/>
        <w:rPr>
          <w:kern w:val="2"/>
          <w:sz w:val="24"/>
          <w:szCs w:val="24"/>
        </w:rPr>
      </w:pPr>
      <w:hyperlink w:anchor="_Toc226628121">
        <w:r>
          <w:rPr>
            <w:rStyle w:val="Hyperlink"/>
            <w:rFonts w:ascii="Times New Roman" w:hAnsi="Times New Roman" w:cs="Times New Roman" w:eastAsia="Times New Roman"/>
            <w:u w:val="single"/>
            <w:color w:val="0563C1"/>
          </w:rPr>
          <w:t xml:space="preserve">2.</w:t>
        </w:r>
      </w:hyperlink>
      <w:hyperlink w:anchor="_Toc226628121">
        <w:r>
          <w:rPr>
            <w:rStyle w:val="Hyperlink"/>
            <w:u w:val="none"/>
            <w:kern w:val="2"/>
            <w:sz w:val="24"/>
            <w:szCs w:val="24"/>
          </w:rPr>
          <w:tab/>
        </w:r>
      </w:hyperlink>
      <w:hyperlink w:anchor="_Toc226628121">
        <w:r>
          <w:rPr>
            <w:rStyle w:val="Hyperlink"/>
            <w:rFonts w:ascii="Times New Roman" w:hAnsi="Times New Roman" w:cs="Times New Roman" w:eastAsia="Times New Roman"/>
            <w:u w:val="single"/>
            <w:color w:val="0563C1"/>
          </w:rPr>
          <w:t xml:space="preserve">Certificate Modification Tables</w:t>
        </w:r>
      </w:hyperlink>
      <w:hyperlink w:anchor="_Toc226628121">
        <w:r>
          <w:rPr>
            <w:rStyle w:val="Hyperlink"/>
            <w:u w:val="none"/>
          </w:rPr>
          <w:tab/>
        </w:r>
      </w:hyperlink>
      <w:hyperlink w:anchor="_Toc226628121">
        <w:r>
          <w:rPr>
            <w:rStyle w:val="Hyperlink"/>
            <w:u w:val="none"/>
          </w:rPr>
          <w:fldChar w:fldCharType="begin"/>
        </w:r>
        <w:r>
          <w:rPr>
            <w:rStyle w:val="Hyperlink"/>
            <w:u w:val="none"/>
          </w:rPr>
          <w:instrText xml:space="preserve"> PAGEREF _Toc226628121 \h </w:instrText>
        </w:r>
        <w:r>
          <w:rPr>
            <w:rStyle w:val="Hyperlink"/>
            <w:u w:val="none"/>
          </w:rPr>
          <w:fldChar w:fldCharType="separate"/>
        </w:r>
        <w:r>
          <w:rPr>
            <w:rStyle w:val="Hyperlink"/>
            <w:u w:val="none"/>
          </w:rPr>
          <w:t xml:space="preserve">40</w:t>
        </w:r>
        <w:r>
          <w:rPr>
            <w:rStyle w:val="Hyperlink"/>
            <w:u w:val="none"/>
          </w:rPr>
          <w:fldChar w:fldCharType="end"/>
        </w:r>
      </w:hyperlink>
    </w:p>
    <w:p w14:paraId="74B2EC1C">
      <w:pPr>
        <w:pStyle w:val="TOC2"/>
        <w:tabs>
          <w:tab w:val="left" w:pos="960"/>
          <w:tab w:val="right" w:leader="dot" w:pos="9350"/>
        </w:tabs>
        <w:spacing w:after="100" w:line="259" w:lineRule="auto"/>
        <w:ind w:left="220"/>
        <w:rPr>
          <w:kern w:val="2"/>
          <w:sz w:val="24"/>
          <w:szCs w:val="24"/>
        </w:rPr>
      </w:pPr>
      <w:hyperlink w:anchor="_Toc226628122">
        <w:r>
          <w:rPr>
            <w:rStyle w:val="Hyperlink"/>
            <w:rFonts w:eastAsia="Times New Roman"/>
            <w:u w:val="single"/>
            <w:color w:val="0563C1"/>
          </w:rPr>
          <w:t xml:space="preserve">2.1.</w:t>
        </w:r>
      </w:hyperlink>
      <w:hyperlink w:anchor="_Toc226628122">
        <w:r>
          <w:rPr>
            <w:rStyle w:val="Hyperlink"/>
            <w:u w:val="none"/>
            <w:kern w:val="2"/>
            <w:sz w:val="24"/>
            <w:szCs w:val="24"/>
          </w:rPr>
          <w:tab/>
        </w:r>
      </w:hyperlink>
      <w:hyperlink w:anchor="_Toc226628122">
        <w:r>
          <w:rPr>
            <w:rStyle w:val="Hyperlink"/>
            <w:rFonts w:eastAsia="Times New Roman"/>
            <w:u w:val="single"/>
            <w:color w:val="0563C1"/>
          </w:rPr>
          <w:t xml:space="preserve">Non-Br1 algorithm updates</w:t>
        </w:r>
      </w:hyperlink>
      <w:hyperlink w:anchor="_Toc226628122">
        <w:r>
          <w:rPr>
            <w:rStyle w:val="Hyperlink"/>
            <w:u w:val="none"/>
          </w:rPr>
          <w:tab/>
        </w:r>
      </w:hyperlink>
      <w:hyperlink w:anchor="_Toc226628122">
        <w:r>
          <w:rPr>
            <w:rStyle w:val="Hyperlink"/>
            <w:u w:val="none"/>
          </w:rPr>
          <w:fldChar w:fldCharType="begin"/>
        </w:r>
        <w:r>
          <w:rPr>
            <w:rStyle w:val="Hyperlink"/>
            <w:u w:val="none"/>
          </w:rPr>
          <w:instrText xml:space="preserve"> PAGEREF _Toc226628122 \h </w:instrText>
        </w:r>
        <w:r>
          <w:rPr>
            <w:rStyle w:val="Hyperlink"/>
            <w:u w:val="none"/>
          </w:rPr>
          <w:fldChar w:fldCharType="separate"/>
        </w:r>
        <w:r>
          <w:rPr>
            <w:rStyle w:val="Hyperlink"/>
            <w:u w:val="none"/>
          </w:rPr>
          <w:t xml:space="preserve">40</w:t>
        </w:r>
        <w:r>
          <w:rPr>
            <w:rStyle w:val="Hyperlink"/>
            <w:u w:val="none"/>
          </w:rPr>
          <w:fldChar w:fldCharType="end"/>
        </w:r>
      </w:hyperlink>
    </w:p>
    <w:p w14:paraId="0F18EA2E">
      <w:pPr>
        <w:pStyle w:val="TOC2"/>
        <w:tabs>
          <w:tab w:val="left" w:pos="960"/>
          <w:tab w:val="right" w:leader="dot" w:pos="9350"/>
        </w:tabs>
        <w:spacing w:after="100" w:line="259" w:lineRule="auto"/>
        <w:ind w:left="220"/>
        <w:rPr>
          <w:kern w:val="2"/>
          <w:sz w:val="24"/>
          <w:szCs w:val="24"/>
        </w:rPr>
      </w:pPr>
      <w:hyperlink w:anchor="_Toc226628123">
        <w:r>
          <w:rPr>
            <w:rStyle w:val="Hyperlink"/>
            <w:rFonts w:eastAsia="Times New Roman"/>
            <w:u w:val="single"/>
            <w:color w:val="0563C1"/>
          </w:rPr>
          <w:t xml:space="preserve">2.2.</w:t>
        </w:r>
      </w:hyperlink>
      <w:hyperlink w:anchor="_Toc226628123">
        <w:r>
          <w:rPr>
            <w:rStyle w:val="Hyperlink"/>
            <w:u w:val="none"/>
            <w:kern w:val="2"/>
            <w:sz w:val="24"/>
            <w:szCs w:val="24"/>
          </w:rPr>
          <w:tab/>
        </w:r>
      </w:hyperlink>
      <w:hyperlink w:anchor="_Toc226628123">
        <w:r>
          <w:rPr>
            <w:rStyle w:val="Hyperlink"/>
            <w:rFonts w:eastAsia="Times New Roman"/>
            <w:u w:val="single"/>
            <w:color w:val="0563C1"/>
          </w:rPr>
          <w:t xml:space="preserve">Br1 algorithm updates</w:t>
        </w:r>
      </w:hyperlink>
      <w:hyperlink w:anchor="_Toc226628123">
        <w:r>
          <w:rPr>
            <w:rStyle w:val="Hyperlink"/>
            <w:u w:val="none"/>
          </w:rPr>
          <w:tab/>
        </w:r>
      </w:hyperlink>
      <w:hyperlink w:anchor="_Toc226628123">
        <w:r>
          <w:rPr>
            <w:rStyle w:val="Hyperlink"/>
            <w:u w:val="none"/>
          </w:rPr>
          <w:fldChar w:fldCharType="begin"/>
        </w:r>
        <w:r>
          <w:rPr>
            <w:rStyle w:val="Hyperlink"/>
            <w:u w:val="none"/>
          </w:rPr>
          <w:instrText xml:space="preserve"> PAGEREF _Toc226628123 \h </w:instrText>
        </w:r>
        <w:r>
          <w:rPr>
            <w:rStyle w:val="Hyperlink"/>
            <w:u w:val="none"/>
          </w:rPr>
          <w:fldChar w:fldCharType="separate"/>
        </w:r>
        <w:r>
          <w:rPr>
            <w:rStyle w:val="Hyperlink"/>
            <w:u w:val="none"/>
          </w:rPr>
          <w:t xml:space="preserve">41</w:t>
        </w:r>
        <w:r>
          <w:rPr>
            <w:rStyle w:val="Hyperlink"/>
            <w:u w:val="none"/>
          </w:rPr>
          <w:fldChar w:fldCharType="end"/>
        </w:r>
      </w:hyperlink>
    </w:p>
    <w:p w14:paraId="49DCB1DD">
      <w:pPr>
        <w:pStyle w:val="TOC1"/>
        <w:tabs>
          <w:tab w:val="left" w:pos="480"/>
          <w:tab w:val="right" w:leader="dot" w:pos="9350"/>
        </w:tabs>
        <w:spacing w:after="100" w:line="259" w:lineRule="auto"/>
        <w:rPr>
          <w:kern w:val="2"/>
          <w:sz w:val="24"/>
          <w:szCs w:val="24"/>
        </w:rPr>
      </w:pPr>
      <w:hyperlink w:anchor="_Toc226628124">
        <w:r>
          <w:rPr>
            <w:rStyle w:val="Hyperlink"/>
            <w:rFonts w:ascii="Times New Roman" w:hAnsi="Times New Roman" w:cs="Times New Roman" w:eastAsia="Times New Roman"/>
            <w:u w:val="single"/>
            <w:color w:val="0563C1"/>
          </w:rPr>
          <w:t xml:space="preserve">3.</w:t>
        </w:r>
      </w:hyperlink>
      <w:hyperlink w:anchor="_Toc226628124">
        <w:r>
          <w:rPr>
            <w:rStyle w:val="Hyperlink"/>
            <w:u w:val="none"/>
            <w:kern w:val="2"/>
            <w:sz w:val="24"/>
            <w:szCs w:val="24"/>
          </w:rPr>
          <w:tab/>
        </w:r>
      </w:hyperlink>
      <w:hyperlink w:anchor="_Toc226628124">
        <w:r>
          <w:rPr>
            <w:rStyle w:val="Hyperlink"/>
            <w:rFonts w:ascii="Times New Roman" w:hAnsi="Times New Roman" w:cs="Times New Roman" w:eastAsia="Times New Roman"/>
            <w:u w:val="single"/>
            <w:color w:val="0563C1"/>
          </w:rPr>
          <w:t xml:space="preserve">Affected TEs and Security Policy Changes</w:t>
        </w:r>
      </w:hyperlink>
      <w:hyperlink w:anchor="_Toc226628124">
        <w:r>
          <w:rPr>
            <w:rStyle w:val="Hyperlink"/>
            <w:u w:val="none"/>
          </w:rPr>
          <w:tab/>
        </w:r>
      </w:hyperlink>
      <w:hyperlink w:anchor="_Toc226628124">
        <w:r>
          <w:rPr>
            <w:rStyle w:val="Hyperlink"/>
            <w:u w:val="none"/>
          </w:rPr>
          <w:fldChar w:fldCharType="begin"/>
        </w:r>
        <w:r>
          <w:rPr>
            <w:rStyle w:val="Hyperlink"/>
            <w:u w:val="none"/>
          </w:rPr>
          <w:instrText xml:space="preserve"> PAGEREF _Toc226628124 \h </w:instrText>
        </w:r>
        <w:r>
          <w:rPr>
            <w:rStyle w:val="Hyperlink"/>
            <w:u w:val="none"/>
          </w:rPr>
          <w:fldChar w:fldCharType="separate"/>
        </w:r>
        <w:r>
          <w:rPr>
            <w:rStyle w:val="Hyperlink"/>
            <w:u w:val="none"/>
          </w:rPr>
          <w:t xml:space="preserve">42</w:t>
        </w:r>
        <w:r>
          <w:rPr>
            <w:rStyle w:val="Hyperlink"/>
            <w:u w:val="none"/>
          </w:rPr>
          <w:fldChar w:fldCharType="end"/>
        </w:r>
      </w:hyperlink>
    </w:p>
    <w:p w14:paraId="32A04C3E">
      <w:pPr>
        <w:pStyle w:val="TOC1"/>
        <w:tabs>
          <w:tab w:val="left" w:pos="480"/>
          <w:tab w:val="right" w:leader="dot" w:pos="9350"/>
        </w:tabs>
        <w:spacing w:after="100" w:line="259" w:lineRule="auto"/>
        <w:rPr>
          <w:kern w:val="2"/>
          <w:sz w:val="24"/>
          <w:szCs w:val="24"/>
        </w:rPr>
      </w:pPr>
      <w:hyperlink w:anchor="_Toc226628125">
        <w:r>
          <w:rPr>
            <w:rStyle w:val="Hyperlink"/>
            <w:rFonts w:ascii="Times New Roman" w:hAnsi="Times New Roman" w:cs="Times New Roman" w:eastAsia="Times New Roman"/>
            <w:u w:val="single"/>
            <w:color w:val="0563C1"/>
          </w:rPr>
          <w:t xml:space="preserve">4.</w:t>
        </w:r>
      </w:hyperlink>
      <w:hyperlink w:anchor="_Toc226628125">
        <w:r>
          <w:rPr>
            <w:rStyle w:val="Hyperlink"/>
            <w:u w:val="none"/>
            <w:kern w:val="2"/>
            <w:sz w:val="24"/>
            <w:szCs w:val="24"/>
          </w:rPr>
          <w:tab/>
        </w:r>
      </w:hyperlink>
      <w:hyperlink w:anchor="_Toc226628125">
        <w:r>
          <w:rPr>
            <w:rStyle w:val="Hyperlink"/>
            <w:rFonts w:ascii="Times New Roman" w:hAnsi="Times New Roman" w:cs="Times New Roman" w:eastAsia="Times New Roman"/>
            <w:u w:val="single"/>
            <w:color w:val="0563C1"/>
          </w:rPr>
          <w:t xml:space="preserve">Predefined Regression Testing</w:t>
        </w:r>
      </w:hyperlink>
      <w:hyperlink w:anchor="_Toc226628125">
        <w:r>
          <w:rPr>
            <w:rStyle w:val="Hyperlink"/>
            <w:u w:val="none"/>
          </w:rPr>
          <w:tab/>
        </w:r>
      </w:hyperlink>
      <w:hyperlink w:anchor="_Toc226628125">
        <w:r>
          <w:rPr>
            <w:rStyle w:val="Hyperlink"/>
            <w:u w:val="none"/>
          </w:rPr>
          <w:fldChar w:fldCharType="begin"/>
        </w:r>
        <w:r>
          <w:rPr>
            <w:rStyle w:val="Hyperlink"/>
            <w:u w:val="none"/>
          </w:rPr>
          <w:instrText xml:space="preserve"> PAGEREF _Toc226628125 \h </w:instrText>
        </w:r>
        <w:r>
          <w:rPr>
            <w:rStyle w:val="Hyperlink"/>
            <w:u w:val="none"/>
          </w:rPr>
          <w:fldChar w:fldCharType="separate"/>
        </w:r>
        <w:r>
          <w:rPr>
            <w:rStyle w:val="Hyperlink"/>
            <w:u w:val="none"/>
          </w:rPr>
          <w:t xml:space="preserve">43</w:t>
        </w:r>
        <w:r>
          <w:rPr>
            <w:rStyle w:val="Hyperlink"/>
            <w:u w:val="none"/>
          </w:rPr>
          <w:fldChar w:fldCharType="end"/>
        </w:r>
      </w:hyperlink>
    </w:p>
    <w:p w14:paraId="4A99C203">
      <w:pPr>
        <w:pStyle w:val="TOC1"/>
        <w:tabs>
          <w:tab w:val="left" w:pos="480"/>
          <w:tab w:val="right" w:leader="dot" w:pos="9350"/>
        </w:tabs>
        <w:spacing w:after="100" w:line="259" w:lineRule="auto"/>
        <w:rPr>
          <w:kern w:val="2"/>
          <w:sz w:val="24"/>
          <w:szCs w:val="24"/>
        </w:rPr>
      </w:pPr>
      <w:hyperlink w:anchor="_Toc226628126">
        <w:r>
          <w:rPr>
            <w:rStyle w:val="Hyperlink"/>
            <w:rFonts w:ascii="Times New Roman" w:hAnsi="Times New Roman" w:cs="Times New Roman" w:eastAsia="Times New Roman"/>
            <w:u w:val="single"/>
            <w:color w:val="0563C1"/>
          </w:rPr>
          <w:t xml:space="preserve">5.</w:t>
        </w:r>
      </w:hyperlink>
      <w:hyperlink w:anchor="_Toc226628126">
        <w:r>
          <w:rPr>
            <w:rStyle w:val="Hyperlink"/>
            <w:u w:val="none"/>
            <w:kern w:val="2"/>
            <w:sz w:val="24"/>
            <w:szCs w:val="24"/>
          </w:rPr>
          <w:tab/>
        </w:r>
      </w:hyperlink>
      <w:hyperlink w:anchor="_Toc226628126">
        <w:r>
          <w:rPr>
            <w:rStyle w:val="Hyperlink"/>
            <w:rFonts w:ascii="Times New Roman" w:hAnsi="Times New Roman" w:cs="Times New Roman" w:eastAsia="Times New Roman"/>
            <w:u w:val="single"/>
            <w:color w:val="0563C1"/>
          </w:rPr>
          <w:t xml:space="preserve">Document History</w:t>
        </w:r>
      </w:hyperlink>
      <w:hyperlink w:anchor="_Toc226628126">
        <w:r>
          <w:rPr>
            <w:rStyle w:val="Hyperlink"/>
            <w:u w:val="none"/>
          </w:rPr>
          <w:tab/>
        </w:r>
      </w:hyperlink>
      <w:hyperlink w:anchor="_Toc226628126">
        <w:r>
          <w:rPr>
            <w:rStyle w:val="Hyperlink"/>
            <w:u w:val="none"/>
          </w:rPr>
          <w:fldChar w:fldCharType="begin"/>
        </w:r>
        <w:r>
          <w:rPr>
            <w:rStyle w:val="Hyperlink"/>
            <w:u w:val="none"/>
          </w:rPr>
          <w:instrText xml:space="preserve"> PAGEREF _Toc226628126 \h </w:instrText>
        </w:r>
        <w:r>
          <w:rPr>
            <w:rStyle w:val="Hyperlink"/>
            <w:u w:val="none"/>
          </w:rPr>
          <w:fldChar w:fldCharType="separate"/>
        </w:r>
        <w:r>
          <w:rPr>
            <w:rStyle w:val="Hyperlink"/>
            <w:u w:val="none"/>
          </w:rPr>
          <w:t xml:space="preserve">43</w:t>
        </w:r>
        <w:r>
          <w:rPr>
            <w:rStyle w:val="Hyperlink"/>
            <w:u w:val="none"/>
          </w:rPr>
          <w:fldChar w:fldCharType="end"/>
        </w:r>
      </w:hyperlink>
    </w:p>
    <w:p w14:paraId="7F3DF856">
      <w:pPr>
        <w:spacing w:after="160" w:line="259" w:lineRule="auto"/>
      </w:pPr>
    </w:p>
    <w:p w14:paraId="64688467">
      <w:pPr>
        <w:spacing w:after="160" w:line="259" w:lineRule="auto"/>
        <w:rPr>
          <w:rFonts w:ascii="Times New Roman" w:hAnsi="Times New Roman" w:cs="Times New Roman" w:eastAsia="Times New Roman"/>
        </w:rPr>
      </w:pPr>
      <w:r>
        <w:rPr>
          <w:rFonts w:ascii="Times New Roman" w:cs="Times New Roman" w:eastAsia="Times New Roman" w:hAnsi="Times New Roman"/>
        </w:rPr>
        <w:br w:type="page"/>
      </w:r>
    </w:p>
    <w:p w14:paraId="7A99A4B4">
      <w:pPr>
        <w:spacing w:after="160" w:line="259" w:lineRule="auto"/>
        <w:rPr>
          <w:rFonts w:ascii="Times New Roman" w:hAnsi="Times New Roman" w:cs="Times New Roman" w:eastAsia="Times New Roman"/>
          <w:color w:val="2F5496"/>
          <w:sz w:val="32"/>
          <w:szCs w:val="32"/>
        </w:rPr>
      </w:pPr>
      <w:r>
        <w:rPr>
          <w:rFonts w:ascii="Times New Roman" w:hAnsi="Times New Roman" w:cs="Times New Roman" w:eastAsia="Times New Roman"/>
          <w:sz w:val="20"/>
          <w:szCs w:val="20"/>
        </w:rPr>
        <w:t xml:space="preserve">The CSTL </w:t>
      </w:r>
      <w:r>
        <w:rPr>
          <w:rFonts w:ascii="Times New Roman" w:hAnsi="Times New Roman" w:cs="Times New Roman" w:eastAsia="Times New Roman"/>
          <w:b/>
          <w:bCs/>
          <w:color w:val="FF0000"/>
          <w:sz w:val="20"/>
          <w:szCs w:val="20"/>
        </w:rPr>
        <w:t xml:space="preserve">shall</w:t>
      </w:r>
      <w:r>
        <w:rPr>
          <w:rFonts w:ascii="Times New Roman" w:hAnsi="Times New Roman" w:cs="Times New Roman" w:eastAsia="Times New Roman"/>
          <w:color w:val="FF0000"/>
          <w:sz w:val="20"/>
          <w:szCs w:val="20"/>
        </w:rPr>
        <w:t xml:space="preserve"> </w:t>
      </w:r>
      <w:r>
        <w:rPr>
          <w:rFonts w:ascii="Times New Roman" w:hAnsi="Times New Roman" w:cs="Times New Roman" w:eastAsia="Times New Roman"/>
          <w:sz w:val="20"/>
          <w:szCs w:val="20"/>
        </w:rPr>
        <w:t xml:space="preserve">fill in all applicable tables under “CSTL Compliance evidence / justification”.  Non-applicable sections/tables can be left blank or removed from this document. </w:t>
      </w:r>
    </w:p>
    <w:p w14:paraId="347B0973">
      <w:pPr>
        <w:pStyle w:val="Heading1"/>
        <w:keepNext/>
        <w:keepLines/>
        <w:numPr>
          <w:ilvl w:val="0"/>
          <w:numId w:val="12"/>
        </w:numPr>
        <w:spacing w:before="240" w:after="0" w:line="259" w:lineRule="auto"/>
        <w:rPr>
          <w:rFonts w:ascii="Times New Roman" w:hAnsi="Times New Roman" w:cs="Times New Roman" w:eastAsia="Times New Roman"/>
        </w:rPr>
      </w:pPr>
      <w:bookmarkStart w:id="100001" w:name="_Toc226628107"/>
      <w:bookmarkEnd w:id="100001"/>
      <w:r>
        <w:rPr>
          <w:rFonts w:ascii="Times New Roman" w:hAnsi="Times New Roman" w:cs="Times New Roman" w:eastAsia="Times New Roman"/>
        </w:rPr>
        <w:t xml:space="preserve">Submission Scenarios</w:t>
      </w:r>
    </w:p>
    <w:p w14:paraId="793881BA">
      <w:pPr>
        <w:spacing w:after="160" w:line="259" w:lineRule="auto"/>
        <w:rPr>
          <w:rFonts w:ascii="Times New Roman" w:hAnsi="Times New Roman" w:cs="Times New Roman"/>
          <w:sz w:val="20"/>
          <w:szCs w:val="20"/>
        </w:rPr>
      </w:pPr>
      <w:r>
        <w:rPr>
          <w:rFonts w:ascii="Times New Roman" w:hAnsi="Times New Roman" w:cs="Times New Roman"/>
          <w:sz w:val="20"/>
          <w:szCs w:val="20"/>
        </w:rPr>
        <w:t xml:space="preserve">Please review the below tables and requirements within the context of the FIPS 140-3 Management Manual Section 7.1 requirements.</w:t>
      </w:r>
    </w:p>
    <w:p w14:paraId="0CC25320">
      <w:pPr>
        <w:pStyle w:val="Heading2"/>
        <w:keepNext/>
        <w:keepLines/>
        <w:numPr>
          <w:ilvl w:val="1"/>
          <w:numId w:val="12"/>
        </w:numPr>
        <w:spacing w:before="120" w:after="120" w:line="240" w:lineRule="auto"/>
        <w:rPr>
          <w:rFonts w:eastAsia="Times New Roman"/>
        </w:rPr>
      </w:pPr>
      <w:bookmarkStart w:id="100002" w:name="_Toc226628108"/>
      <w:bookmarkEnd w:id="100002"/>
      <w:r>
        <w:rPr>
          <w:rFonts w:eastAsia="Times New Roman"/>
        </w:rPr>
        <w:t xml:space="preserve">Requirements for all revalidations (MM 7.1.1)</w:t>
      </w:r>
    </w:p>
    <w:p w14:paraId="0E400163">
      <w:pPr>
        <w:spacing w:before="120" w:after="120" w:line="240" w:lineRule="auto"/>
        <w:rPr>
          <w:rFonts w:ascii="Times New Roman" w:hAnsi="Times New Roman" w:cs="Times New Roman" w:eastAsia="Times New Roman"/>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7B336714">
            <w:pPr>
              <w:spacing w:before="120" w:after="120" w:line="240" w:lineRule="auto"/>
              <w:rPr>
                <w:b/>
                <w:bCs/>
              </w:rPr>
            </w:pPr>
            <w:r>
              <w:rPr>
                <w:b/>
                <w:bCs/>
              </w:rPr>
              <w:t xml:space="preserve">Requirement</w:t>
            </w:r>
          </w:p>
        </w:tc>
        <w:tc>
          <w:tcPr>
            <w:tcW w:type="dxa" w:w="4675"/>
            <w:shd w:val="clear" w:color="auto" w:fill="E7E6E6"/>
          </w:tcPr>
          <w:p w14:paraId="7E065782">
            <w:pPr>
              <w:spacing w:before="120" w:after="120" w:line="240" w:lineRule="auto"/>
              <w:rPr>
                <w:b/>
                <w:bCs/>
              </w:rPr>
            </w:pPr>
            <w:r>
              <w:rPr>
                <w:b/>
                <w:bCs/>
              </w:rPr>
              <w:t xml:space="preserve">CSTL Compliance evidence / justification</w:t>
            </w:r>
          </w:p>
        </w:tc>
      </w:tr>
      <w:tr>
        <w:tc>
          <w:tcPr>
            <w:tcW w:type="dxa" w:w="4675"/>
          </w:tcPr>
          <w:p w14:paraId="516FD692">
            <w:pPr>
              <w:spacing w:before="120" w:after="120" w:line="240" w:lineRule="auto"/>
            </w:pPr>
            <w:r>
              <w:t xml:space="preserve">The purpose of the revalidation (scenario, objective, etc.) with reference to applicable guidance (e.g., Section(s) within Management Manual Submission Scenarios 7.1).</w:t>
            </w:r>
          </w:p>
        </w:tc>
        <w:tc>
          <w:tcPr>
            <w:tcW w:type="dxa" w:w="4675"/>
          </w:tcPr>
          <w:p w14:paraId="4A87804C">
            <w:pPr>
              <w:spacing w:before="120" w:after="120" w:line="240" w:lineRule="auto"/>
            </w:pPr>
          </w:p>
        </w:tc>
      </w:tr>
      <w:tr>
        <w:tc>
          <w:tcPr>
            <w:tcW w:type="dxa" w:w="4675"/>
          </w:tcPr>
          <w:p w14:paraId="188A85B6">
            <w:pPr>
              <w:spacing w:before="120" w:after="120" w:line="240" w:lineRule="auto"/>
            </w:pPr>
            <w:r>
              <w:t xml:space="preserve">The CSTL is responsible for an independent evaluation of the impacts throughout the module requirements for any change and performs any testing needed prior to submission.  The CSTL </w:t>
            </w:r>
            <w:r>
              <w:rPr>
                <w:b/>
                <w:bCs/>
                <w:color w:val="FF0000"/>
              </w:rPr>
              <w:t xml:space="preserve">shall</w:t>
            </w:r>
            <w:r>
              <w:rPr>
                <w:color w:val="FF0000"/>
              </w:rPr>
              <w:t xml:space="preserve"> </w:t>
            </w:r>
            <w:r>
              <w:t xml:space="preserve">address all affected TEs and the CSTL’s assessment.</w:t>
            </w:r>
          </w:p>
        </w:tc>
        <w:tc>
          <w:tcPr>
            <w:tcW w:type="dxa" w:w="4675"/>
          </w:tcPr>
          <w:p w14:paraId="15386412">
            <w:pPr>
              <w:spacing w:before="120" w:after="120" w:line="240" w:lineRule="auto"/>
            </w:pPr>
          </w:p>
        </w:tc>
      </w:tr>
      <w:tr>
        <w:tc>
          <w:tcPr>
            <w:tcW w:type="dxa" w:w="4675"/>
          </w:tcPr>
          <w:p w14:paraId="0E056282">
            <w:pPr>
              <w:spacing w:before="120" w:after="120" w:line="240" w:lineRule="auto"/>
            </w:pPr>
            <w:r>
              <w:t xml:space="preserve">Brief summary of the modifications (e.g., changes made to the module code, documentation, etc.).</w:t>
            </w:r>
          </w:p>
        </w:tc>
        <w:tc>
          <w:tcPr>
            <w:tcW w:type="dxa" w:w="4675"/>
          </w:tcPr>
          <w:p w14:paraId="7FA0BCDC">
            <w:pPr>
              <w:spacing w:before="120" w:after="120" w:line="240" w:lineRule="auto"/>
            </w:pPr>
          </w:p>
        </w:tc>
      </w:tr>
      <w:tr>
        <w:tc>
          <w:tcPr>
            <w:tcW w:type="dxa" w:w="4675"/>
          </w:tcPr>
          <w:p w14:paraId="779B2147">
            <w:pPr>
              <w:spacing w:before="120" w:after="120" w:line="240" w:lineRule="auto"/>
            </w:pPr>
            <w:r>
              <w:t xml:space="preserve">Indicate whether the modified cryptographic module replaces the previously validated module or adds to it. </w:t>
            </w:r>
          </w:p>
        </w:tc>
        <w:tc>
          <w:tcPr>
            <w:tcW w:type="dxa" w:w="4675"/>
          </w:tcPr>
          <w:p w14:paraId="15589289">
            <w:pPr>
              <w:spacing w:before="120" w:after="120" w:line="240" w:lineRule="auto"/>
            </w:pPr>
          </w:p>
        </w:tc>
      </w:tr>
      <w:tr>
        <w:tc>
          <w:tcPr>
            <w:tcW w:type="dxa" w:w="4675"/>
          </w:tcPr>
          <w:p w14:paraId="74549E37">
            <w:pPr>
              <w:spacing w:before="120" w:after="120" w:line="240" w:lineRule="auto"/>
            </w:pPr>
            <w:r>
              <w:rPr>
                <w:lang w:val="en"/>
              </w:rPr>
              <w:t xml:space="preserve">(7.1.15 Additional Comment #1 &amp; #2) </w:t>
            </w:r>
            <w:r>
              <w:t xml:space="preserve">If the individual section(s) is being lowered as part of the revalidation, this is considered security relevant and the module may be submitted as a UPDT with full testing on the individual section(s) that is being lowered.</w:t>
            </w:r>
          </w:p>
          <w:p w14:paraId="29DFA47D">
            <w:pPr>
              <w:spacing w:before="120" w:after="120" w:line="240" w:lineRule="auto"/>
            </w:pPr>
            <w:r>
              <w:rPr>
                <w:lang w:val="en"/>
              </w:rPr>
              <w:t xml:space="preserve">If the individual section(s) is being raised or if the physical embodiment changes, e.g., from multi-chip standalone to multi-chip embedded, then the cryptographic module will be considered a new module and </w:t>
            </w:r>
            <w:r>
              <w:rPr>
                <w:b/>
                <w:bCs/>
                <w:color w:val="FF0000"/>
                <w:lang w:val="en"/>
              </w:rPr>
              <w:t xml:space="preserve">shall </w:t>
            </w:r>
            <w:r>
              <w:rPr>
                <w:lang w:val="en"/>
              </w:rPr>
              <w:t xml:space="preserve">undergo full validation testing by a CSTL and submitted as an FS.</w:t>
            </w:r>
          </w:p>
        </w:tc>
        <w:tc>
          <w:tcPr>
            <w:tcW w:type="dxa" w:w="4675"/>
          </w:tcPr>
          <w:p w14:paraId="03B6115A">
            <w:pPr>
              <w:spacing w:before="120" w:after="120" w:line="240" w:lineRule="auto"/>
            </w:pPr>
          </w:p>
        </w:tc>
      </w:tr>
      <w:tr>
        <w:tc>
          <w:tcPr>
            <w:tcW w:type="dxa" w:w="4675"/>
          </w:tcPr>
          <w:p w14:paraId="6584D885">
            <w:pPr>
              <w:spacing w:before="120" w:after="120" w:line="240" w:lineRule="auto"/>
            </w:pPr>
            <w:r>
              <w:rPr>
                <w:lang w:val="en"/>
              </w:rPr>
              <w:t xml:space="preserve">(7.1.15 Additional Comment #4) </w:t>
            </w:r>
            <w:r>
              <w:t xml:space="preserve">It is not possible to combine any revalidation scenarios outside of what is explicitly permitted by the submission scenario.</w:t>
            </w:r>
          </w:p>
          <w:p w14:paraId="35393809">
            <w:pPr>
              <w:spacing w:before="120" w:after="120" w:line="240" w:lineRule="auto"/>
            </w:pPr>
            <w:r>
              <w:rPr>
                <w:lang w:val="en"/>
              </w:rPr>
              <w:t xml:space="preserve">For the revalidation scenarios that </w:t>
            </w:r>
            <w:r>
              <w:rPr>
                <w:i/>
                <w:iCs/>
                <w:lang w:val="en"/>
              </w:rPr>
              <w:t xml:space="preserve">can</w:t>
            </w:r>
            <w:r>
              <w:rPr>
                <w:lang w:val="en"/>
              </w:rPr>
              <w:t xml:space="preserve"> be combined the main submission </w:t>
            </w:r>
            <w:r>
              <w:rPr>
                <w:b/>
                <w:bCs/>
                <w:color w:val="FF0000"/>
                <w:lang w:val="en"/>
              </w:rPr>
              <w:t xml:space="preserve">shall</w:t>
            </w:r>
            <w:r>
              <w:rPr>
                <w:color w:val="FF0000"/>
                <w:lang w:val="en"/>
              </w:rPr>
              <w:t xml:space="preserve"> </w:t>
            </w:r>
            <w:r>
              <w:rPr>
                <w:lang w:val="en"/>
              </w:rPr>
              <w:t xml:space="preserve">meet all applicable requirements of the secondary scenario, in addition to the main scenario requirements, and document both scenarios in the Change Document.  For example, a RBND + NSRL must document and include all NSRL regression testing as applicable.</w:t>
            </w:r>
          </w:p>
        </w:tc>
        <w:tc>
          <w:tcPr>
            <w:tcW w:type="dxa" w:w="4675"/>
          </w:tcPr>
          <w:p w14:paraId="6F27747A">
            <w:pPr>
              <w:spacing w:before="120" w:after="120" w:line="240" w:lineRule="auto"/>
            </w:pPr>
          </w:p>
        </w:tc>
      </w:tr>
      <w:tr>
        <w:tc>
          <w:tcPr>
            <w:tcW w:type="dxa" w:w="4675"/>
          </w:tcPr>
          <w:p w14:paraId="538DDF66">
            <w:pPr>
              <w:spacing w:before="120" w:after="120" w:line="240" w:lineRule="auto"/>
            </w:pPr>
            <w:r>
              <w:rPr>
                <w:lang w:val="en"/>
              </w:rPr>
              <w:t xml:space="preserve">(7.1.15 Additional Comment #5) A revalidation submission cannot be performed on a submission that is in the queue.  It </w:t>
            </w:r>
            <w:r>
              <w:rPr>
                <w:b/>
                <w:bCs/>
                <w:color w:val="FF0000"/>
                <w:lang w:val="en"/>
              </w:rPr>
              <w:t xml:space="preserve">shall</w:t>
            </w:r>
            <w:r>
              <w:rPr>
                <w:color w:val="FF0000"/>
                <w:lang w:val="en"/>
              </w:rPr>
              <w:t xml:space="preserve"> </w:t>
            </w:r>
            <w:r>
              <w:rPr>
                <w:lang w:val="en"/>
              </w:rPr>
              <w:t xml:space="preserve">be on a completed validation (e.g., UPDT on a </w:t>
            </w:r>
            <w:r>
              <w:rPr>
                <w:i/>
                <w:iCs/>
                <w:lang w:val="en"/>
              </w:rPr>
              <w:t xml:space="preserve">validated</w:t>
            </w:r>
            <w:r>
              <w:rPr>
                <w:lang w:val="en"/>
              </w:rPr>
              <w:t xml:space="preserve"> FS).</w:t>
            </w:r>
          </w:p>
        </w:tc>
        <w:tc>
          <w:tcPr>
            <w:tcW w:type="dxa" w:w="4675"/>
          </w:tcPr>
          <w:p w14:paraId="04C03735">
            <w:pPr>
              <w:spacing w:before="120" w:after="120" w:line="240" w:lineRule="auto"/>
            </w:pPr>
          </w:p>
        </w:tc>
      </w:tr>
    </w:tbl>
    <w:p w14:paraId="031D8094">
      <w:pPr>
        <w:spacing w:before="120" w:after="120" w:line="240" w:lineRule="auto"/>
      </w:pPr>
    </w:p>
    <w:p w14:paraId="6D1BF92C">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If a CSTL has been contracted to perform a revalidation for a validated module for which the CSTL did </w:t>
      </w:r>
      <w:r>
        <w:rPr>
          <w:rFonts w:ascii="Times New Roman" w:hAnsi="Times New Roman" w:cs="Times New Roman" w:eastAsia="Times New Roman"/>
          <w:u w:val="single"/>
          <w:sz w:val="20"/>
          <w:szCs w:val="20"/>
        </w:rPr>
        <w:t xml:space="preserve">not</w:t>
      </w:r>
      <w:r>
        <w:rPr>
          <w:rFonts w:ascii="Times New Roman" w:hAnsi="Times New Roman" w:cs="Times New Roman" w:eastAsia="Times New Roman"/>
          <w:sz w:val="20"/>
          <w:szCs w:val="20"/>
        </w:rPr>
        <w:t xml:space="preserve"> perform the original testing on the base module (MM section 7.1.1):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653303AB">
            <w:pPr>
              <w:spacing w:before="120" w:after="120" w:line="240" w:lineRule="auto"/>
              <w:rPr>
                <w:b/>
                <w:bCs/>
              </w:rPr>
            </w:pPr>
            <w:r>
              <w:rPr>
                <w:b/>
                <w:bCs/>
              </w:rPr>
              <w:t xml:space="preserve">Requirement</w:t>
            </w:r>
          </w:p>
        </w:tc>
        <w:tc>
          <w:tcPr>
            <w:tcW w:type="dxa" w:w="4675"/>
            <w:shd w:val="clear" w:color="auto" w:fill="E7E6E6"/>
          </w:tcPr>
          <w:p w14:paraId="7120AC88">
            <w:pPr>
              <w:spacing w:before="120" w:after="120" w:line="240" w:lineRule="auto"/>
              <w:rPr>
                <w:b/>
                <w:bCs/>
              </w:rPr>
            </w:pPr>
            <w:r>
              <w:rPr>
                <w:b/>
                <w:bCs/>
              </w:rPr>
              <w:t xml:space="preserve">CSTL Compliance evidence / justification</w:t>
            </w:r>
          </w:p>
        </w:tc>
      </w:tr>
      <w:tr>
        <w:tc>
          <w:tcPr>
            <w:tcW w:type="dxa" w:w="4675"/>
          </w:tcPr>
          <w:p w14:paraId="2E2E33F0">
            <w:pPr>
              <w:spacing w:before="120" w:after="120" w:line="240" w:lineRule="auto"/>
            </w:pPr>
            <w:r>
              <w:rPr>
                <w:color w:val="000000"/>
              </w:rPr>
              <w:t xml:space="preserve">a. The vendor </w:t>
            </w:r>
            <w:r>
              <w:rPr>
                <w:b/>
                <w:bCs/>
                <w:color w:val="FF0000"/>
              </w:rPr>
              <w:t xml:space="preserve">shall</w:t>
            </w:r>
            <w:r>
              <w:rPr>
                <w:color w:val="000000"/>
              </w:rPr>
              <w:t xml:space="preserve"> provide the CSTL with the design documentation and implementation (including source code, HDL, etc.) of the base validated module and of the module that has been updated. The exception to this requirement is for VUP and VAOE revalidations.</w:t>
            </w:r>
          </w:p>
        </w:tc>
        <w:tc>
          <w:tcPr>
            <w:tcW w:type="dxa" w:w="4675"/>
          </w:tcPr>
          <w:p w14:paraId="3D8B4AC4">
            <w:pPr>
              <w:spacing w:before="120" w:after="120" w:line="240" w:lineRule="auto"/>
            </w:pPr>
          </w:p>
        </w:tc>
      </w:tr>
      <w:tr>
        <w:tc>
          <w:tcPr>
            <w:tcW w:type="dxa" w:w="4675"/>
          </w:tcPr>
          <w:p w14:paraId="19C39EBA">
            <w:pPr>
              <w:spacing w:before="120" w:after="120" w:line="240" w:lineRule="auto"/>
            </w:pPr>
            <w:r>
              <w:t xml:space="preserve">b. The vendor </w:t>
            </w:r>
            <w:r>
              <w:rPr>
                <w:b/>
                <w:bCs/>
                <w:color w:val="FF0000"/>
              </w:rPr>
              <w:t xml:space="preserve">shall</w:t>
            </w:r>
            <w:r>
              <w:rPr>
                <w:color w:val="FF0000"/>
              </w:rPr>
              <w:t xml:space="preserve"> </w:t>
            </w:r>
            <w:r>
              <w:t xml:space="preserve">provide the CSTL with the latest Security Policy as shown on the base module’s most recent certificate (this includes the JSON files and information necessary to generate the Security Policy for SP 800-140Br1-compliant base modules).</w:t>
            </w:r>
          </w:p>
        </w:tc>
        <w:tc>
          <w:tcPr>
            <w:tcW w:type="dxa" w:w="4675"/>
          </w:tcPr>
          <w:p w14:paraId="00ACF7DA">
            <w:pPr>
              <w:spacing w:before="120" w:after="120" w:line="240" w:lineRule="auto"/>
            </w:pPr>
          </w:p>
        </w:tc>
      </w:tr>
      <w:tr>
        <w:tc>
          <w:tcPr>
            <w:tcW w:type="dxa" w:w="4675"/>
          </w:tcPr>
          <w:p w14:paraId="07C9628D">
            <w:pPr>
              <w:spacing w:before="120" w:after="120" w:line="240" w:lineRule="auto"/>
            </w:pPr>
            <w:r>
              <w:t xml:space="preserve">c. The vendor </w:t>
            </w:r>
            <w:r>
              <w:rPr>
                <w:b/>
                <w:bCs/>
                <w:color w:val="FF0000"/>
              </w:rPr>
              <w:t xml:space="preserve">shall</w:t>
            </w:r>
            <w:r>
              <w:rPr>
                <w:color w:val="FF0000"/>
              </w:rPr>
              <w:t xml:space="preserve"> </w:t>
            </w:r>
            <w:r>
              <w:t xml:space="preserve">provide the CSTL with the latest base module validation report (a.k.a. Test Report) for the following revalidation scenarios: INTU, NSRL, ALG, OEUP, PTSC, UPDT, CVE and TRNS. This is to ensure the new CSTL has the original tests to confirm if regression testing is necessary in addition to the minimum required by that revalidation scenario.</w:t>
            </w:r>
          </w:p>
        </w:tc>
        <w:tc>
          <w:tcPr>
            <w:tcW w:type="dxa" w:w="4675"/>
          </w:tcPr>
          <w:p w14:paraId="53D66422">
            <w:pPr>
              <w:spacing w:before="120" w:after="120" w:line="240" w:lineRule="auto"/>
            </w:pPr>
          </w:p>
        </w:tc>
      </w:tr>
      <w:tr>
        <w:tc>
          <w:tcPr>
            <w:tcW w:type="dxa" w:w="4675"/>
          </w:tcPr>
          <w:p w14:paraId="1B0AC95D">
            <w:pPr>
              <w:spacing w:before="120" w:after="120" w:line="240" w:lineRule="auto"/>
            </w:pPr>
            <w:r>
              <w:t xml:space="preserve">d. The vendor </w:t>
            </w:r>
            <w:r>
              <w:rPr>
                <w:b/>
                <w:bCs/>
                <w:color w:val="FF0000"/>
              </w:rPr>
              <w:t xml:space="preserve">shall</w:t>
            </w:r>
            <w:r>
              <w:rPr>
                <w:color w:val="FF0000"/>
              </w:rPr>
              <w:t xml:space="preserve"> </w:t>
            </w:r>
            <w:r>
              <w:t xml:space="preserve">provide the CSTL with the latest base module physical test report (a.k.a. PTR), as applicable, for the following revalidation scenarios: INTU, NSRL, UPDT, CVE, TRNS and PHYS. This is to ensure the new CSTL has the original tests to confirm if physical testing was impacted (e.g., changes to the physical enclosure or changes to firmware that controls the physical response logic).</w:t>
            </w:r>
          </w:p>
        </w:tc>
        <w:tc>
          <w:tcPr>
            <w:tcW w:type="dxa" w:w="4675"/>
          </w:tcPr>
          <w:p w14:paraId="07DBC350">
            <w:pPr>
              <w:spacing w:before="120" w:after="120" w:line="240" w:lineRule="auto"/>
            </w:pPr>
          </w:p>
        </w:tc>
      </w:tr>
      <w:tr>
        <w:tc>
          <w:tcPr>
            <w:tcW w:type="dxa" w:w="4675"/>
          </w:tcPr>
          <w:p w14:paraId="390F550C">
            <w:pPr>
              <w:spacing w:before="120" w:after="120" w:line="240" w:lineRule="auto"/>
            </w:pPr>
            <w:r>
              <w:rPr>
                <w:color w:val="000000"/>
              </w:rPr>
              <w:t xml:space="preserve">e. The CSTL </w:t>
            </w:r>
            <w:r>
              <w:rPr>
                <w:b/>
                <w:bCs/>
                <w:color w:val="FF0000"/>
              </w:rPr>
              <w:t xml:space="preserve">shall</w:t>
            </w:r>
            <w:r>
              <w:rPr>
                <w:color w:val="000000"/>
              </w:rPr>
              <w:t xml:space="preserve"> determine that the provided base documentation and implementation is identical to the base validated module.</w:t>
            </w:r>
          </w:p>
        </w:tc>
        <w:tc>
          <w:tcPr>
            <w:tcW w:type="dxa" w:w="4675"/>
          </w:tcPr>
          <w:p w14:paraId="1C3E8118">
            <w:pPr>
              <w:spacing w:before="120" w:after="120" w:line="240" w:lineRule="auto"/>
            </w:pPr>
          </w:p>
        </w:tc>
      </w:tr>
      <w:tr>
        <w:tc>
          <w:tcPr>
            <w:tcW w:type="dxa" w:w="4675"/>
          </w:tcPr>
          <w:p w14:paraId="6F5E34E4">
            <w:pPr>
              <w:spacing w:before="120" w:after="120" w:line="240" w:lineRule="auto"/>
            </w:pPr>
            <w:r>
              <w:rPr>
                <w:color w:val="000000"/>
              </w:rPr>
              <w:t xml:space="preserve">f. The CSTL </w:t>
            </w:r>
            <w:r>
              <w:rPr>
                <w:b/>
                <w:bCs/>
                <w:color w:val="FF0000"/>
              </w:rPr>
              <w:t xml:space="preserve">shall</w:t>
            </w:r>
            <w:r>
              <w:rPr>
                <w:color w:val="000000"/>
              </w:rPr>
              <w:t xml:space="preserve"> examine each modification and confirm that the change is appropriate for the submission type (e.g., non-security relevant for NSRL).</w:t>
            </w:r>
          </w:p>
        </w:tc>
        <w:tc>
          <w:tcPr>
            <w:tcW w:type="dxa" w:w="4675"/>
          </w:tcPr>
          <w:p w14:paraId="0C1FFA21">
            <w:pPr>
              <w:spacing w:before="120" w:after="120" w:line="240" w:lineRule="auto"/>
            </w:pPr>
          </w:p>
        </w:tc>
      </w:tr>
      <w:tr>
        <w:tc>
          <w:tcPr>
            <w:tcW w:type="dxa" w:w="4675"/>
          </w:tcPr>
          <w:p w14:paraId="3653DAA9">
            <w:pPr>
              <w:spacing w:before="120" w:after="120" w:line="240" w:lineRule="auto"/>
            </w:pPr>
            <w:r>
              <w:rPr>
                <w:color w:val="000000"/>
              </w:rPr>
              <w:t xml:space="preserve">g. The CSTL </w:t>
            </w:r>
            <w:r>
              <w:rPr>
                <w:b/>
                <w:bCs/>
                <w:color w:val="FF0000"/>
              </w:rPr>
              <w:t xml:space="preserve">shall</w:t>
            </w:r>
            <w:r>
              <w:rPr>
                <w:color w:val="000000"/>
              </w:rPr>
              <w:t xml:space="preserve"> determine that no other modifications, including unintentional, have been made to the base module apart from what is permitted by the revalidation scenario. </w:t>
            </w:r>
          </w:p>
        </w:tc>
        <w:tc>
          <w:tcPr>
            <w:tcW w:type="dxa" w:w="4675"/>
          </w:tcPr>
          <w:p w14:paraId="49F85E2F">
            <w:pPr>
              <w:spacing w:before="120" w:after="120" w:line="240" w:lineRule="auto"/>
            </w:pPr>
          </w:p>
        </w:tc>
      </w:tr>
      <w:tr>
        <w:tc>
          <w:tcPr>
            <w:tcW w:type="dxa" w:w="4675"/>
          </w:tcPr>
          <w:p w14:paraId="7A10D483">
            <w:pPr>
              <w:spacing w:before="120" w:after="120" w:line="240" w:lineRule="auto"/>
            </w:pPr>
            <w:r>
              <w:rPr>
                <w:color w:val="000000"/>
              </w:rPr>
              <w:t xml:space="preserve">h.</w:t>
            </w:r>
            <w:r>
              <w:rPr>
                <w:color w:val="000000"/>
                <w:sz w:val="24"/>
                <w:szCs w:val="24"/>
              </w:rPr>
              <w:t xml:space="preserve"> </w:t>
            </w:r>
            <w:r>
              <w:rPr>
                <w:color w:val="000000"/>
              </w:rPr>
              <w:t xml:space="preserve">The CSTL submissions </w:t>
            </w:r>
            <w:r>
              <w:rPr>
                <w:b/>
                <w:bCs/>
                <w:color w:val="FF0000"/>
              </w:rPr>
              <w:t xml:space="preserve">shall</w:t>
            </w:r>
            <w:r>
              <w:rPr>
                <w:color w:val="FF0000"/>
              </w:rPr>
              <w:t xml:space="preserve"> </w:t>
            </w:r>
            <w:r>
              <w:rPr>
                <w:color w:val="000000"/>
              </w:rPr>
              <w:t xml:space="preserve">meet all requirements of the revalidation scenario</w:t>
            </w:r>
            <w:r>
              <w:t xml:space="preserve">.</w:t>
            </w:r>
          </w:p>
        </w:tc>
        <w:tc>
          <w:tcPr>
            <w:tcW w:type="dxa" w:w="4675"/>
          </w:tcPr>
          <w:p w14:paraId="72B594EE">
            <w:pPr>
              <w:spacing w:before="120" w:after="120" w:line="240" w:lineRule="auto"/>
            </w:pPr>
          </w:p>
        </w:tc>
      </w:tr>
      <w:tr>
        <w:tc>
          <w:tcPr>
            <w:tcW w:type="dxa" w:w="4675"/>
          </w:tcPr>
          <w:p w14:paraId="3F7246AE">
            <w:pPr>
              <w:spacing w:before="120" w:after="120" w:line="240" w:lineRule="auto"/>
            </w:pPr>
            <w:r>
              <w:t xml:space="preserve">i. The CSTL submission </w:t>
            </w:r>
            <w:r>
              <w:rPr>
                <w:b/>
                <w:bCs/>
                <w:color w:val="FF0000"/>
              </w:rPr>
              <w:t xml:space="preserve">shall</w:t>
            </w:r>
            <w:r>
              <w:rPr>
                <w:color w:val="FF0000"/>
              </w:rPr>
              <w:t xml:space="preserve"> </w:t>
            </w:r>
            <w:r>
              <w:t xml:space="preserve">indicate which submission scenario is applicable and a summary of associated changes in the Revalidation Change Document.</w:t>
            </w:r>
          </w:p>
        </w:tc>
        <w:tc>
          <w:tcPr>
            <w:tcW w:type="dxa" w:w="4675"/>
          </w:tcPr>
          <w:p w14:paraId="1E0E4699">
            <w:pPr>
              <w:spacing w:before="120" w:after="120" w:line="240" w:lineRule="auto"/>
            </w:pPr>
          </w:p>
        </w:tc>
      </w:tr>
      <w:tr>
        <w:tc>
          <w:tcPr>
            <w:tcW w:type="dxa" w:w="4675"/>
          </w:tcPr>
          <w:p w14:paraId="1EEEB6EF">
            <w:pPr>
              <w:spacing w:before="120" w:after="120" w:line="240" w:lineRule="auto"/>
            </w:pPr>
            <w:r>
              <w:t xml:space="preserve">j. The CSTL </w:t>
            </w:r>
            <w:r>
              <w:rPr>
                <w:b/>
                <w:bCs/>
                <w:color w:val="FF0000"/>
              </w:rPr>
              <w:t xml:space="preserve">shall</w:t>
            </w:r>
            <w:r>
              <w:rPr>
                <w:color w:val="FF0000"/>
              </w:rPr>
              <w:t xml:space="preserve"> </w:t>
            </w:r>
            <w:r>
              <w:t xml:space="preserve">use the Revalidation Change Document format for listing the certificate information as required by each revalidation scenario.</w:t>
            </w:r>
          </w:p>
        </w:tc>
        <w:tc>
          <w:tcPr>
            <w:tcW w:type="dxa" w:w="4675"/>
          </w:tcPr>
          <w:p w14:paraId="46ECA380">
            <w:pPr>
              <w:spacing w:before="120" w:after="120" w:line="240" w:lineRule="auto"/>
            </w:pPr>
          </w:p>
        </w:tc>
      </w:tr>
      <w:tr>
        <w:tc>
          <w:tcPr>
            <w:tcW w:type="dxa" w:w="4675"/>
          </w:tcPr>
          <w:p w14:paraId="364C7295">
            <w:pPr>
              <w:spacing w:before="120" w:after="120" w:line="240" w:lineRule="auto"/>
            </w:pPr>
            <w:r>
              <w:t xml:space="preserve">k. The CSTL </w:t>
            </w:r>
            <w:r>
              <w:rPr>
                <w:b/>
                <w:bCs/>
                <w:color w:val="FF0000"/>
              </w:rPr>
              <w:t xml:space="preserve">shall </w:t>
            </w:r>
            <w:r>
              <w:t xml:space="preserve">submit, at a minimum, what is listed in the below sections as required by the revalidation scenario.</w:t>
            </w:r>
          </w:p>
        </w:tc>
        <w:tc>
          <w:tcPr>
            <w:tcW w:type="dxa" w:w="4675"/>
          </w:tcPr>
          <w:p w14:paraId="2DD4926D">
            <w:pPr>
              <w:spacing w:before="120" w:after="120" w:line="240" w:lineRule="auto"/>
            </w:pPr>
          </w:p>
        </w:tc>
      </w:tr>
      <w:tr>
        <w:tc>
          <w:tcPr>
            <w:tcW w:type="dxa" w:w="4675"/>
          </w:tcPr>
          <w:p w14:paraId="1E6B9359">
            <w:pPr>
              <w:spacing w:before="120" w:after="120" w:line="240" w:lineRule="auto"/>
            </w:pPr>
            <w:r>
              <w:rPr>
                <w:lang w:val="en-CA"/>
              </w:rPr>
              <w:t xml:space="preserve">l. The CSTL </w:t>
            </w:r>
            <w:r>
              <w:rPr>
                <w:b/>
                <w:bCs/>
                <w:color w:val="FF0000"/>
                <w:lang w:val="en-CA"/>
              </w:rPr>
              <w:t xml:space="preserve">shall</w:t>
            </w:r>
            <w:r>
              <w:rPr>
                <w:color w:val="FF0000"/>
                <w:lang w:val="en-CA"/>
              </w:rPr>
              <w:t xml:space="preserve"> </w:t>
            </w:r>
            <w:r>
              <w:rPr>
                <w:lang w:val="en-CA"/>
              </w:rPr>
              <w:t xml:space="preserve">be responsible for all content of the module validation, including module claims made, quality of documentation, and FIPS 140-3 conformance testing performed even if originally done by another lab, </w:t>
            </w:r>
            <w:r>
              <w:t xml:space="preserve">for the following revalidation scenarios: UPDT, INTU</w:t>
            </w:r>
            <w:r>
              <w:rPr>
                <w:lang w:val="en-CA"/>
              </w:rPr>
              <w:t xml:space="preserve">. In these cases, labs may need to re-do parts of the testing or improve areas of the validation outside of the revalidation changes. Labs also have the option to inform the CMVP to place these modules in question on HOLD while improving the submission. For revalidation scenarios other than UPDT and INTU, the new CSTL is responsible only for the module contents and testing that are impacted by the revalidation scenario.</w:t>
            </w:r>
          </w:p>
        </w:tc>
        <w:tc>
          <w:tcPr>
            <w:tcW w:type="dxa" w:w="4675"/>
          </w:tcPr>
          <w:p w14:paraId="20007634">
            <w:pPr>
              <w:spacing w:before="120" w:after="120" w:line="240" w:lineRule="auto"/>
            </w:pPr>
          </w:p>
        </w:tc>
      </w:tr>
    </w:tbl>
    <w:p w14:paraId="1E6330AA">
      <w:pPr>
        <w:spacing w:before="120" w:after="120" w:line="240" w:lineRule="auto"/>
      </w:pPr>
    </w:p>
    <w:p w14:paraId="41226CB5">
      <w:pPr>
        <w:spacing w:after="160" w:line="259" w:lineRule="auto"/>
        <w:rPr>
          <w:rFonts w:ascii="Calibri Light" w:hAnsi="Calibri Light" w:cs="Calibri Light" w:eastAsia="Times New Roman"/>
          <w:color w:val="2F5496"/>
          <w:sz w:val="26"/>
          <w:szCs w:val="26"/>
        </w:rPr>
      </w:pPr>
      <w:r>
        <w:rPr>
          <w:rFonts w:ascii="Calibri Light" w:asciiTheme="majorHAnsi" w:cstheme="majorBidi" w:eastAsia="Times New Roman" w:hAnsi="Calibri Light" w:hAnsiTheme="majorHAnsi"/>
          <w:color w:themeColor="accent1" w:themeShade="BF" w:val="2F5496"/>
          <w:sz w:val="26"/>
          <w:szCs w:val="26"/>
        </w:rPr>
        <w:br w:type="page"/>
      </w:r>
    </w:p>
    <w:p w14:paraId="32DA7D6A">
      <w:pPr>
        <w:pStyle w:val="Heading2"/>
        <w:keepNext/>
        <w:keepLines/>
        <w:numPr>
          <w:ilvl w:val="1"/>
          <w:numId w:val="12"/>
        </w:numPr>
        <w:spacing w:before="120" w:after="120" w:line="240" w:lineRule="auto"/>
        <w:rPr>
          <w:rFonts w:eastAsia="Times New Roman"/>
        </w:rPr>
      </w:pPr>
      <w:bookmarkStart w:id="100003" w:name="_Toc226628109"/>
      <w:bookmarkEnd w:id="100003"/>
      <w:r>
        <w:rPr>
          <w:rFonts w:eastAsia="Times New Roman"/>
        </w:rPr>
        <w:t xml:space="preserve">FS &amp; INTU (MM 7.1.2)</w:t>
      </w:r>
    </w:p>
    <w:p w14:paraId="030A0E33">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This Change Document is N/A for an FS and INTU (unless a new lab in which case the table above applies).</w:t>
      </w:r>
    </w:p>
    <w:p w14:paraId="2A252B84">
      <w:pPr>
        <w:spacing w:after="160" w:line="259" w:lineRule="auto"/>
        <w:rPr>
          <w:rFonts w:ascii="Calibri Light" w:hAnsi="Calibri Light" w:cs="Calibri Light" w:eastAsia="Times New Roman"/>
          <w:color w:val="2F5496"/>
          <w:sz w:val="26"/>
          <w:szCs w:val="26"/>
        </w:rPr>
      </w:pPr>
      <w:r>
        <w:rPr>
          <w:rFonts w:eastAsia="Times New Roman"/>
        </w:rPr>
        <w:br w:type="page"/>
      </w:r>
    </w:p>
    <w:p w14:paraId="71DB7C6B">
      <w:pPr>
        <w:pStyle w:val="Heading2"/>
        <w:keepNext/>
        <w:keepLines/>
        <w:numPr>
          <w:ilvl w:val="1"/>
          <w:numId w:val="12"/>
        </w:numPr>
        <w:spacing w:before="120" w:after="120" w:line="240" w:lineRule="auto"/>
        <w:rPr>
          <w:rFonts w:eastAsia="Times New Roman"/>
        </w:rPr>
      </w:pPr>
      <w:bookmarkStart w:id="100004" w:name="_Toc226628110"/>
      <w:bookmarkEnd w:id="100004"/>
      <w:r>
        <w:rPr>
          <w:rFonts w:eastAsia="Times New Roman"/>
        </w:rPr>
        <w:t xml:space="preserve">VUP (MM 7.1.3)</w:t>
      </w:r>
    </w:p>
    <w:p w14:paraId="0C411BBF">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No unique table requirements for a VUP. The general table requirements for all revalidation scenarios still apply (e.g., Sections 1.1, 2, and 3). </w:t>
      </w:r>
    </w:p>
    <w:p w14:paraId="049C7A12">
      <w:pPr>
        <w:spacing w:before="120" w:after="120" w:line="240" w:lineRule="auto"/>
        <w:rPr>
          <w:rFonts w:ascii="Times New Roman" w:hAnsi="Times New Roman" w:cs="Times New Roman" w:eastAsia="Times New Roman"/>
          <w:sz w:val="20"/>
          <w:szCs w:val="20"/>
        </w:rPr>
      </w:pPr>
    </w:p>
    <w:p w14:paraId="65B7D885">
      <w:pPr>
        <w:spacing w:after="160" w:line="259" w:lineRule="auto"/>
        <w:rPr>
          <w:rFonts w:ascii="Calibri Light" w:hAnsi="Calibri Light" w:cs="Calibri Light" w:eastAsia="Times New Roman"/>
          <w:color w:val="2F5496"/>
          <w:sz w:val="26"/>
          <w:szCs w:val="26"/>
        </w:rPr>
      </w:pPr>
      <w:r>
        <w:rPr>
          <w:rFonts w:eastAsia="Times New Roman"/>
        </w:rPr>
        <w:br w:type="page"/>
      </w:r>
    </w:p>
    <w:p w14:paraId="28447138">
      <w:pPr>
        <w:pStyle w:val="Heading2"/>
        <w:keepNext/>
        <w:keepLines/>
        <w:numPr>
          <w:ilvl w:val="1"/>
          <w:numId w:val="12"/>
        </w:numPr>
        <w:spacing w:before="120" w:after="120" w:line="240" w:lineRule="auto"/>
        <w:rPr>
          <w:rFonts w:eastAsia="Times New Roman"/>
        </w:rPr>
      </w:pPr>
      <w:bookmarkStart w:id="100005" w:name="_Toc226628111"/>
      <w:bookmarkEnd w:id="100005"/>
      <w:r>
        <w:rPr>
          <w:rFonts w:eastAsia="Times New Roman"/>
        </w:rPr>
        <w:t xml:space="preserve">VAOE (MM 7.1.4)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128696FC">
            <w:pPr>
              <w:spacing w:before="120" w:after="120" w:line="240" w:lineRule="auto"/>
              <w:rPr>
                <w:b/>
                <w:bCs/>
              </w:rPr>
            </w:pPr>
            <w:r>
              <w:rPr>
                <w:b/>
                <w:bCs/>
              </w:rPr>
              <w:t xml:space="preserve">Requirement</w:t>
            </w:r>
          </w:p>
        </w:tc>
        <w:tc>
          <w:tcPr>
            <w:tcW w:type="dxa" w:w="4675"/>
            <w:shd w:val="clear" w:color="auto" w:fill="E7E6E6"/>
          </w:tcPr>
          <w:p w14:paraId="505AEF67">
            <w:pPr>
              <w:spacing w:before="120" w:after="120" w:line="240" w:lineRule="auto"/>
              <w:rPr>
                <w:b/>
                <w:bCs/>
              </w:rPr>
            </w:pPr>
            <w:r>
              <w:rPr>
                <w:b/>
                <w:bCs/>
              </w:rPr>
              <w:t xml:space="preserve">CSTL Compliance evidence / justification</w:t>
            </w:r>
          </w:p>
        </w:tc>
      </w:tr>
      <w:tr>
        <w:tc>
          <w:tcPr>
            <w:tcW w:type="dxa" w:w="4675"/>
          </w:tcPr>
          <w:p w14:paraId="32FD56C9">
            <w:pPr>
              <w:spacing w:before="120" w:after="120" w:line="240" w:lineRule="auto"/>
            </w:pPr>
            <w:r>
              <w:t xml:space="preserve">Management Manual 7.9 </w:t>
            </w:r>
            <w:r>
              <w:rPr>
                <w:i/>
                <w:iCs/>
              </w:rPr>
              <w:t xml:space="preserve">Vendor or User Affirmation of Modules for the vendor affirmed OEs</w:t>
            </w:r>
          </w:p>
        </w:tc>
        <w:tc>
          <w:tcPr>
            <w:tcW w:type="dxa" w:w="4675"/>
          </w:tcPr>
          <w:p w14:paraId="3BF73583">
            <w:pPr>
              <w:spacing w:before="120" w:after="120" w:line="240" w:lineRule="auto"/>
            </w:pPr>
          </w:p>
        </w:tc>
      </w:tr>
    </w:tbl>
    <w:p w14:paraId="7CDC5AEF">
      <w:pPr>
        <w:spacing w:before="120" w:after="120" w:line="240" w:lineRule="auto"/>
        <w:rPr>
          <w:rFonts w:ascii="Times New Roman" w:hAnsi="Times New Roman" w:cs="Times New Roman" w:eastAsia="Times New Roman"/>
          <w:sz w:val="20"/>
          <w:szCs w:val="20"/>
        </w:rPr>
      </w:pPr>
    </w:p>
    <w:p w14:paraId="13F4CAC6">
      <w:pPr>
        <w:spacing w:after="160" w:line="259" w:lineRule="auto"/>
        <w:rPr>
          <w:rFonts w:ascii="Calibri Light" w:hAnsi="Calibri Light" w:cs="Calibri Light" w:eastAsia="Times New Roman"/>
          <w:color w:val="2F5496"/>
          <w:sz w:val="26"/>
          <w:szCs w:val="26"/>
        </w:rPr>
      </w:pPr>
      <w:r>
        <w:rPr>
          <w:rFonts w:eastAsia="Times New Roman"/>
        </w:rPr>
        <w:br w:type="page"/>
      </w:r>
    </w:p>
    <w:p w14:paraId="03656E6A">
      <w:pPr>
        <w:pStyle w:val="Heading2"/>
        <w:keepNext/>
        <w:keepLines/>
        <w:numPr>
          <w:ilvl w:val="1"/>
          <w:numId w:val="12"/>
        </w:numPr>
        <w:spacing w:before="120" w:after="120" w:line="240" w:lineRule="auto"/>
        <w:rPr>
          <w:rFonts w:eastAsia="Times New Roman"/>
        </w:rPr>
      </w:pPr>
      <w:bookmarkStart w:id="100006" w:name="_Toc226628112"/>
      <w:bookmarkEnd w:id="100006"/>
      <w:r>
        <w:rPr>
          <w:rFonts w:eastAsia="Times New Roman"/>
        </w:rPr>
        <w:t xml:space="preserve">NSRL (MM 7.1.5)</w:t>
      </w:r>
    </w:p>
    <w:p w14:paraId="52036EDE">
      <w:pPr>
        <w:spacing w:after="160" w:line="259" w:lineRule="auto"/>
        <w:rPr>
          <w:sz w:val="20"/>
          <w:szCs w:val="20"/>
        </w:rPr>
      </w:pPr>
      <w:r>
        <w:rPr>
          <w:rFonts w:ascii="Times New Roman" w:hAnsi="Times New Roman" w:cs="Times New Roman" w:eastAsia="Times New Roman"/>
          <w:sz w:val="20"/>
          <w:szCs w:val="20"/>
          <w:lang w:val="en"/>
        </w:rPr>
        <w:t xml:space="preserve">Modifications are made to hardware, software or firmware components </w:t>
      </w:r>
      <w:r>
        <w:rPr>
          <w:rFonts w:ascii="Times New Roman" w:hAnsi="Times New Roman" w:cs="Times New Roman" w:eastAsia="Times New Roman"/>
          <w:b/>
          <w:bCs/>
          <w:sz w:val="20"/>
          <w:szCs w:val="20"/>
          <w:lang w:val="en"/>
        </w:rPr>
        <w:t xml:space="preserve">that do not affect any FIPS 140-3 security relevant items</w:t>
      </w:r>
      <w:r>
        <w:rPr>
          <w:rFonts w:ascii="Times New Roman" w:hAnsi="Times New Roman" w:cs="Times New Roman" w:eastAsia="Times New Roman"/>
          <w:sz w:val="20"/>
          <w:szCs w:val="20"/>
          <w:lang w:val="en"/>
        </w:rPr>
        <w:t xml:space="preserve">. Per </w:t>
      </w:r>
      <w:hyperlink r:id="rIdLink1">
        <w:r>
          <w:rPr>
            <w:rStyle w:val="Hyperlink"/>
            <w:rFonts w:ascii="Times New Roman" w:hAnsi="Times New Roman" w:cs="Times New Roman" w:eastAsia="Times New Roman"/>
            <w:u w:val="single"/>
            <w:color w:val="0563C1"/>
            <w:sz w:val="20"/>
            <w:szCs w:val="20"/>
            <w:lang w:val="en"/>
          </w:rPr>
          <w:t xml:space="preserve">IG 2.4.A</w:t>
        </w:r>
      </w:hyperlink>
      <w:r>
        <w:rPr>
          <w:rFonts w:ascii="Times New Roman" w:hAnsi="Times New Roman" w:cs="Times New Roman" w:eastAsia="Times New Roman"/>
          <w:sz w:val="20"/>
          <w:szCs w:val="20"/>
          <w:lang w:val="en"/>
        </w:rPr>
        <w:t xml:space="preserve">, “the term </w:t>
      </w:r>
      <w:r>
        <w:rPr>
          <w:rFonts w:ascii="Times New Roman" w:hAnsi="Times New Roman" w:cs="Times New Roman" w:eastAsia="Times New Roman"/>
          <w:i/>
          <w:iCs/>
          <w:sz w:val="20"/>
          <w:szCs w:val="20"/>
          <w:lang w:val="en"/>
        </w:rPr>
        <w:t xml:space="preserve">security</w:t>
      </w:r>
      <w:r>
        <w:rPr>
          <w:rFonts w:ascii="Times New Roman" w:hAnsi="Times New Roman" w:cs="Times New Roman" w:eastAsia="Times New Roman"/>
          <w:sz w:val="20"/>
          <w:szCs w:val="20"/>
          <w:lang w:val="en"/>
        </w:rPr>
        <w:t xml:space="preserve"> is not defined in the Terms and Definitions, but, within the scope of FIPS 140-3, is determined based on the Section 6 Functional Security Objectives, and the specific Section 7 Security Requirements derived from those objectives.  The CSTL is responsible for identifying the documentation that is needed to determine whether a revalidation is sufficient, and the vendor is responsible for submitting the requested documentation to the CSTL.  Documentation may include a previous validation report, design documentation, source code, source code difference evidence, FSM, security policy differences,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7CABCD28">
            <w:pPr>
              <w:spacing w:before="120" w:after="120" w:line="240" w:lineRule="auto"/>
              <w:rPr>
                <w:b/>
                <w:bCs/>
              </w:rPr>
            </w:pPr>
            <w:r>
              <w:rPr>
                <w:b/>
                <w:bCs/>
              </w:rPr>
              <w:t xml:space="preserve">Requirement</w:t>
            </w:r>
          </w:p>
        </w:tc>
        <w:tc>
          <w:tcPr>
            <w:tcW w:type="dxa" w:w="4675"/>
            <w:shd w:val="clear" w:color="auto" w:fill="E7E6E6"/>
          </w:tcPr>
          <w:p w14:paraId="65EA6526">
            <w:pPr>
              <w:spacing w:before="120" w:after="120" w:line="240" w:lineRule="auto"/>
              <w:rPr>
                <w:b/>
                <w:bCs/>
              </w:rPr>
            </w:pPr>
            <w:r>
              <w:rPr>
                <w:b/>
                <w:bCs/>
              </w:rPr>
              <w:t xml:space="preserve">CSTL Compliance evidence / justification</w:t>
            </w:r>
          </w:p>
        </w:tc>
      </w:tr>
      <w:tr>
        <w:tc>
          <w:tcPr>
            <w:tcW w:type="dxa" w:w="4675"/>
          </w:tcPr>
          <w:p w14:paraId="2262A679">
            <w:pPr>
              <w:spacing w:before="120" w:after="120" w:line="240" w:lineRule="auto"/>
            </w:pPr>
            <w:r>
              <w:t xml:space="preserve">a. CSTL </w:t>
            </w:r>
            <w:r>
              <w:rPr>
                <w:b/>
                <w:bCs/>
                <w:color w:val="FF0000"/>
              </w:rPr>
              <w:t xml:space="preserve">shall</w:t>
            </w:r>
            <w:r>
              <w:rPr>
                <w:color w:val="FF0000"/>
              </w:rPr>
              <w:t xml:space="preserve"> </w:t>
            </w:r>
            <w:r>
              <w:t xml:space="preserve">review and independently verify the accuracy of the vendor-supplied documentation and identify any additional documentation necessary to confirm the applicability of this revalidation scenario.</w:t>
            </w:r>
          </w:p>
        </w:tc>
        <w:tc>
          <w:tcPr>
            <w:tcW w:type="dxa" w:w="4675"/>
          </w:tcPr>
          <w:p w14:paraId="3D992A07">
            <w:pPr>
              <w:spacing w:before="120" w:after="120" w:line="240" w:lineRule="auto"/>
            </w:pPr>
          </w:p>
        </w:tc>
      </w:tr>
      <w:tr>
        <w:tc>
          <w:tcPr>
            <w:tcW w:type="dxa" w:w="4675"/>
          </w:tcPr>
          <w:p w14:paraId="453FB868">
            <w:pPr>
              <w:spacing w:before="120" w:after="120" w:line="240" w:lineRule="auto"/>
            </w:pPr>
            <w:r>
              <w:t xml:space="preserve">b. CSTL </w:t>
            </w:r>
            <w:r>
              <w:rPr>
                <w:b/>
                <w:bCs/>
                <w:color w:val="FF0000"/>
              </w:rPr>
              <w:t xml:space="preserve">shall</w:t>
            </w:r>
            <w:r>
              <w:rPr>
                <w:color w:val="FF0000"/>
              </w:rPr>
              <w:t xml:space="preserve"> </w:t>
            </w:r>
            <w:r>
              <w:t xml:space="preserve">determine additional testing as necessary to confirm that FIPS 140-3 security relevant items have not been affected by the modification.</w:t>
            </w:r>
          </w:p>
        </w:tc>
        <w:tc>
          <w:tcPr>
            <w:tcW w:type="dxa" w:w="4675"/>
          </w:tcPr>
          <w:p w14:paraId="3892369D">
            <w:pPr>
              <w:spacing w:before="120" w:after="120" w:line="240" w:lineRule="auto"/>
            </w:pPr>
          </w:p>
        </w:tc>
      </w:tr>
      <w:tr>
        <w:tc>
          <w:tcPr>
            <w:tcW w:type="dxa" w:w="4675"/>
          </w:tcPr>
          <w:p w14:paraId="09153552">
            <w:pPr>
              <w:spacing w:before="120" w:after="120" w:line="240" w:lineRule="auto"/>
              <w:rPr>
                <w:rFonts w:eastAsia="Calibri"/>
                <w:color w:val="000000"/>
              </w:rPr>
            </w:pPr>
            <w:r>
              <w:rPr>
                <w:rFonts w:eastAsia="Calibri"/>
              </w:rPr>
              <w:t xml:space="preserve">c. CSTL </w:t>
            </w:r>
            <w:r>
              <w:rPr>
                <w:b/>
                <w:bCs/>
                <w:color w:val="FF0000"/>
              </w:rPr>
              <w:t xml:space="preserve">shall</w:t>
            </w:r>
            <w:r>
              <w:rPr>
                <w:rFonts w:eastAsia="Calibri"/>
              </w:rPr>
              <w:t xml:space="preserve"> identify the assertions affected </w:t>
            </w:r>
            <w:r>
              <w:t xml:space="preserve">by the modification </w:t>
            </w:r>
            <w:r>
              <w:rPr>
                <w:rFonts w:eastAsia="Calibri"/>
              </w:rPr>
              <w:t xml:space="preserve">and </w:t>
            </w:r>
            <w:r>
              <w:rPr>
                <w:rFonts w:eastAsia="Calibri"/>
                <w:b/>
                <w:bCs/>
                <w:color w:val="FF0000"/>
              </w:rPr>
              <w:t xml:space="preserve">shall</w:t>
            </w:r>
            <w:r>
              <w:rPr>
                <w:rFonts w:eastAsia="Calibri"/>
              </w:rPr>
              <w:t xml:space="preserve"> perform the tests associated with those assertions.  This will require the CSTL to: </w:t>
            </w:r>
          </w:p>
          <w:p w14:paraId="0DAB4AC8">
            <w:pPr>
              <w:numPr>
                <w:ilvl w:val="0"/>
                <w:numId w:val="5"/>
              </w:numPr>
              <w:spacing w:before="120" w:after="120" w:line="240" w:lineRule="auto"/>
              <w:rPr>
                <w:rFonts w:eastAsia="Calibri"/>
              </w:rPr>
            </w:pPr>
            <w:r>
              <w:rPr>
                <w:rFonts w:eastAsia="Calibri"/>
              </w:rPr>
              <w:t xml:space="preserve">Review the COMPLETE list of assertions applicable to the module, </w:t>
            </w:r>
          </w:p>
          <w:p w14:paraId="7F6092C6">
            <w:pPr>
              <w:numPr>
                <w:ilvl w:val="0"/>
                <w:numId w:val="5"/>
              </w:numPr>
              <w:spacing w:before="120" w:after="120" w:line="240" w:lineRule="auto"/>
              <w:rPr>
                <w:rFonts w:eastAsia="Calibri"/>
              </w:rPr>
            </w:pPr>
            <w:r>
              <w:rPr>
                <w:rFonts w:eastAsia="Calibri"/>
              </w:rPr>
              <w:t xml:space="preserve">Identify, from the previous validation report, the assertions that have been affected by the modification, </w:t>
            </w:r>
          </w:p>
          <w:p w14:paraId="36EBB802">
            <w:pPr>
              <w:numPr>
                <w:ilvl w:val="0"/>
                <w:numId w:val="5"/>
              </w:numPr>
              <w:spacing w:before="120" w:after="120" w:line="240" w:lineRule="auto"/>
              <w:rPr>
                <w:rFonts w:eastAsia="Calibri"/>
              </w:rPr>
            </w:pPr>
            <w:r>
              <w:rPr>
                <w:rFonts w:eastAsia="Calibri"/>
              </w:rPr>
              <w:t xml:space="preserve">Identify additional assertions that were NOT previously tested but should now be tested due to the modification, and </w:t>
            </w:r>
          </w:p>
          <w:p w14:paraId="01C0468A">
            <w:pPr>
              <w:numPr>
                <w:ilvl w:val="0"/>
                <w:numId w:val="5"/>
              </w:numPr>
              <w:spacing w:before="120" w:after="120" w:line="240" w:lineRule="auto"/>
              <w:rPr>
                <w:rFonts w:eastAsia="Calibri"/>
              </w:rPr>
            </w:pPr>
            <w:r>
              <w:rPr>
                <w:rFonts w:eastAsia="Calibri"/>
              </w:rPr>
              <w:t xml:space="preserve">Review assertions where specific Implementation Guidance (IG) was provided at the time of the original validation to confirm that the IG is still applicable.</w:t>
            </w:r>
          </w:p>
        </w:tc>
        <w:tc>
          <w:tcPr>
            <w:tcW w:type="dxa" w:w="4675"/>
          </w:tcPr>
          <w:p w14:paraId="485EBBAD">
            <w:pPr>
              <w:spacing w:before="120" w:after="120" w:line="240" w:lineRule="auto"/>
            </w:pPr>
          </w:p>
        </w:tc>
      </w:tr>
      <w:tr>
        <w:tc>
          <w:tcPr>
            <w:tcW w:type="dxa" w:w="4675"/>
          </w:tcPr>
          <w:p w14:paraId="3AC23D05">
            <w:pPr>
              <w:spacing w:before="120" w:after="120" w:line="240" w:lineRule="auto"/>
            </w:pPr>
            <w:r>
              <w:t xml:space="preserve">d. </w:t>
            </w:r>
            <w:r>
              <w:rPr>
                <w:rFonts w:eastAsia="Calibri"/>
              </w:rPr>
              <w:t xml:space="preserve">CSTL </w:t>
            </w:r>
            <w:r>
              <w:rPr>
                <w:b/>
                <w:bCs/>
                <w:color w:val="FF0000"/>
              </w:rPr>
              <w:t xml:space="preserve">shall</w:t>
            </w:r>
            <w:r>
              <w:rPr>
                <w:rFonts w:eastAsia="Calibri"/>
              </w:rPr>
              <w:t xml:space="preserve"> p</w:t>
            </w:r>
            <w:r>
              <w:t xml:space="preserve">erform tests identified in b and c above (expected to at least include AS04.13 to reflect the new version(s) as a result of the code changes) on </w:t>
            </w:r>
            <w:r>
              <w:rPr>
                <w:u w:val="single"/>
              </w:rPr>
              <w:t xml:space="preserve">all</w:t>
            </w:r>
            <w:r>
              <w:t xml:space="preserve"> new version(s) listed on the module’s certificate on at least </w:t>
            </w:r>
            <w:r>
              <w:rPr>
                <w:u w:val="single"/>
              </w:rPr>
              <w:t xml:space="preserve">one configuration </w:t>
            </w:r>
            <w:r>
              <w:t xml:space="preserve">of</w:t>
            </w:r>
            <w:r>
              <w:rPr>
                <w:u w:val="single"/>
              </w:rPr>
              <w:t xml:space="preserve"> one module</w:t>
            </w:r>
            <w:r>
              <w:t xml:space="preserve"> as defined per the module count guidance under “</w:t>
            </w:r>
            <w:hyperlink r:id="rIdLink2">
              <w:r>
                <w:rPr>
                  <w:rStyle w:val="Hyperlink"/>
                  <w:u w:val="single"/>
                  <w:color w:val="0563C1"/>
                </w:rPr>
                <w:t xml:space="preserve">MIS Field Descriptions</w:t>
              </w:r>
            </w:hyperlink>
            <w:r>
              <w:t xml:space="preserve">”.  Additionally for software/firmware/hybrid modules, tests must be done on at least </w:t>
            </w:r>
            <w:r>
              <w:rPr>
                <w:u w:val="single"/>
              </w:rPr>
              <w:t xml:space="preserve">one</w:t>
            </w:r>
            <w:r>
              <w:t xml:space="preserve"> listed OE. This assumes the new versions compile to the same binary across all modules and configurations. If new versions compile to different binaries, then each binary must be tested separately.</w:t>
            </w:r>
          </w:p>
          <w:p w14:paraId="7E6508BC">
            <w:pPr>
              <w:pStyle w:val="ListParagraph"/>
              <w:widowControl w:val="0"/>
              <w:numPr>
                <w:ilvl w:val="0"/>
                <w:numId w:val="14"/>
              </w:numPr>
              <w:spacing w:before="120" w:after="0" w:line="276" w:lineRule="auto"/>
              <w:contextualSpacing/>
              <w:rPr>
                <w:rFonts w:eastAsia="Calibri"/>
              </w:rPr>
            </w:pPr>
            <w:r>
              <w:rPr>
                <w:rFonts w:eastAsia="Calibri"/>
              </w:rPr>
              <w:t xml:space="preserve">E.g., a hardware validation has two ‘base’ modules (i.e., P/N 10 and P/N 20) that map to the following firmware components: P/N 10 uses firmware components 1.0 and 2.0, and P/N 20 uses firmware components 1.1, 2.0, and 3.0 (note, the same firmware component, 2.0, is shared between both ‘base’ modules).  If NSRL changes were made to firmware component 2.0 (now version 2.1) but no changes were made to firmware components 1.0, 1.1 and 3.0, it is sufficient for the CSTL to test either: 1) P/N 10 using 1.1 and 2.1, or 2) P/N 20 using 1.0, 2.1, and 3.0. This assumes firmware component 2.1 compiles to the same binary for P/N 10 as it does for P/N 20. If not, P/N 10 and P/N 20 would each need to be separately tested.</w:t>
            </w:r>
          </w:p>
          <w:p w14:paraId="1BF3B9FC">
            <w:pPr>
              <w:pStyle w:val="ListParagraph"/>
              <w:widowControl w:val="0"/>
              <w:numPr>
                <w:ilvl w:val="0"/>
                <w:numId w:val="14"/>
              </w:numPr>
              <w:spacing w:before="120" w:after="0" w:line="276" w:lineRule="auto"/>
              <w:contextualSpacing/>
              <w:rPr>
                <w:rFonts w:eastAsia="Calibri"/>
              </w:rPr>
            </w:pPr>
            <w:r>
              <w:rPr>
                <w:rFonts w:eastAsia="Calibri"/>
              </w:rPr>
              <w:t xml:space="preserve">If regression testing is not performed on some versions, configurations, and OEs, then those </w:t>
            </w:r>
            <w:r>
              <w:rPr>
                <w:b/>
                <w:bCs/>
                <w:color w:val="FF0000"/>
              </w:rPr>
              <w:t xml:space="preserve">shall</w:t>
            </w:r>
            <w:r>
              <w:rPr>
                <w:rFonts w:eastAsia="Calibri"/>
              </w:rPr>
              <w:t xml:space="preserve"> be removed from the module’s certificate UNLESS the CSTL provides proper justification on why regression testing is not necessary for the untested versions, configurations and OEs. With proper justification, these may remain on the module’s certificate.</w:t>
            </w:r>
          </w:p>
        </w:tc>
        <w:tc>
          <w:tcPr>
            <w:tcW w:type="dxa" w:w="4675"/>
          </w:tcPr>
          <w:p w14:paraId="7032C319">
            <w:pPr>
              <w:spacing w:before="120" w:after="120" w:line="240" w:lineRule="auto"/>
            </w:pPr>
          </w:p>
        </w:tc>
      </w:tr>
      <w:tr>
        <w:tc>
          <w:tcPr>
            <w:tcW w:type="dxa" w:w="4675"/>
          </w:tcPr>
          <w:p w14:paraId="7A2C62EE">
            <w:pPr>
              <w:spacing w:before="120" w:after="120" w:line="240" w:lineRule="auto"/>
            </w:pPr>
            <w:r>
              <w:rPr>
                <w:rFonts w:eastAsia="Calibri"/>
              </w:rPr>
              <w:t xml:space="preserve">NSRL code changes (“limited” or not) would NOT require retesting CAVP certificates (even if otherwise applicable per the CAVP </w:t>
            </w:r>
            <w:hyperlink r:id="rIdLink3">
              <w:r>
                <w:rPr>
                  <w:rStyle w:val="Hyperlink"/>
                  <w:rFonts w:eastAsia="Calibri"/>
                  <w:u w:val="single"/>
                  <w:color w:val="0000FF"/>
                </w:rPr>
                <w:t xml:space="preserve">FAQ</w:t>
              </w:r>
            </w:hyperlink>
            <w:r>
              <w:rPr>
                <w:rFonts w:eastAsia="Calibri"/>
              </w:rPr>
              <w:t xml:space="preserve"> GEN.9), since changes are non-security relevant and verified by the CSTL as having no impact to the algorithm implementations or how it meets CAVP testing. CAVP </w:t>
            </w:r>
            <w:hyperlink r:id="rIdLink3">
              <w:r>
                <w:rPr>
                  <w:rStyle w:val="Hyperlink"/>
                  <w:rFonts w:eastAsia="Calibri"/>
                  <w:u w:val="single"/>
                  <w:color w:val="0000FF"/>
                </w:rPr>
                <w:t xml:space="preserve">FAQ</w:t>
              </w:r>
            </w:hyperlink>
            <w:r>
              <w:rPr>
                <w:rFonts w:eastAsia="Calibri"/>
              </w:rPr>
              <w:t xml:space="preserve"> GEN.11 may be leveraged to update the CAVP versioning information if changes are made outside the algorithm boundary but still impact the versioning on the CAVP certificate (e.g., the CAVP versioning reflects the module boundary rather than the algorithm boundary).</w:t>
            </w:r>
          </w:p>
        </w:tc>
        <w:tc>
          <w:tcPr>
            <w:tcW w:type="dxa" w:w="4675"/>
          </w:tcPr>
          <w:p w14:paraId="13DC4C75">
            <w:pPr>
              <w:spacing w:before="120" w:after="120" w:line="240" w:lineRule="auto"/>
            </w:pPr>
          </w:p>
        </w:tc>
      </w:tr>
      <w:tr>
        <w:tc>
          <w:tcPr>
            <w:tcW w:type="dxa" w:w="4675"/>
          </w:tcPr>
          <w:p w14:paraId="66528268">
            <w:pPr>
              <w:spacing w:before="120" w:after="120" w:line="240" w:lineRule="auto"/>
            </w:pPr>
            <w:r>
              <w:t xml:space="preserve">What changes are being proposed?</w:t>
            </w:r>
          </w:p>
        </w:tc>
        <w:tc>
          <w:tcPr>
            <w:tcW w:type="dxa" w:w="4675"/>
          </w:tcPr>
          <w:p w14:paraId="0661B40A">
            <w:pPr>
              <w:spacing w:before="120" w:after="120" w:line="240" w:lineRule="auto"/>
            </w:pPr>
          </w:p>
        </w:tc>
      </w:tr>
      <w:tr>
        <w:tc>
          <w:tcPr>
            <w:tcW w:type="dxa" w:w="4675"/>
          </w:tcPr>
          <w:p w14:paraId="10C8DE49">
            <w:pPr>
              <w:spacing w:before="120" w:after="120" w:line="240" w:lineRule="auto"/>
              <w:rPr>
                <w:rFonts w:eastAsia="Calibri"/>
              </w:rPr>
            </w:pPr>
            <w:r>
              <w:t xml:space="preserve">What is the justification that each change is considered non-security relevant? E.g., changes are NOT to any items from </w:t>
            </w:r>
            <w:hyperlink w:anchor="_Module_definitions_for">
              <w:r>
                <w:rPr>
                  <w:rStyle w:val="Hyperlink"/>
                  <w:u w:val="single"/>
                  <w:color w:val="0000FF"/>
                </w:rPr>
                <w:t xml:space="preserve">7.8 Module definitions for same certificates</w:t>
              </w:r>
            </w:hyperlink>
            <w:r>
              <w:t xml:space="preserve"> or other areas that affects how the module meets the security objectives and requirements of FIPS 140-3.</w:t>
            </w:r>
          </w:p>
        </w:tc>
        <w:tc>
          <w:tcPr>
            <w:tcW w:type="dxa" w:w="4675"/>
          </w:tcPr>
          <w:p w14:paraId="050457F0">
            <w:pPr>
              <w:spacing w:before="120" w:after="120" w:line="240" w:lineRule="auto"/>
            </w:pPr>
          </w:p>
        </w:tc>
      </w:tr>
      <w:tr>
        <w:tc>
          <w:tcPr>
            <w:tcW w:type="dxa" w:w="4675"/>
          </w:tcPr>
          <w:p w14:paraId="7CB4E3D0">
            <w:pPr>
              <w:spacing w:before="120" w:after="120" w:line="240" w:lineRule="auto"/>
            </w:pPr>
            <w:r>
              <w:t xml:space="preserve">Note, even though NSRLs are generally code changes, documentation-only modifications would still fall under an NSRL as opposed to a VUP if those modifications affect assertions that must be reassessed/retested by the CSTL. For example, if a module name is changed but the module identifier remains unchanged, the CSTL would have to reassess compliance to AS04.13 (and AS02.13) but this wouldn’t necessarily require code changes to the versioning output service. Thus, the NSRL would capture these limited regression tests even though code changes remain unchanged.</w:t>
            </w:r>
          </w:p>
        </w:tc>
        <w:tc>
          <w:tcPr>
            <w:tcW w:type="dxa" w:w="4675"/>
          </w:tcPr>
          <w:p w14:paraId="4294A6BC">
            <w:pPr>
              <w:spacing w:before="120" w:after="120" w:line="240" w:lineRule="auto"/>
            </w:pPr>
          </w:p>
        </w:tc>
      </w:tr>
    </w:tbl>
    <w:p w14:paraId="029AB02D">
      <w:pPr>
        <w:spacing w:before="120" w:after="120" w:line="240" w:lineRule="auto"/>
        <w:rPr>
          <w:rFonts w:ascii="Times New Roman" w:hAnsi="Times New Roman" w:cs="Times New Roman" w:eastAsia="Times New Roman"/>
          <w:sz w:val="20"/>
          <w:szCs w:val="20"/>
        </w:rPr>
      </w:pPr>
    </w:p>
    <w:p w14:paraId="60ACE4E5">
      <w:pPr>
        <w:spacing w:after="160" w:line="259" w:lineRule="auto"/>
        <w:rPr>
          <w:rFonts w:ascii="Calibri Light" w:hAnsi="Calibri Light" w:cs="Calibri Light" w:eastAsia="Times New Roman"/>
          <w:color w:val="2F5496"/>
          <w:sz w:val="26"/>
          <w:szCs w:val="26"/>
        </w:rPr>
      </w:pPr>
      <w:r>
        <w:rPr>
          <w:rFonts w:eastAsia="Times New Roman"/>
        </w:rPr>
        <w:br w:type="page"/>
      </w:r>
    </w:p>
    <w:p w14:paraId="699CB104">
      <w:pPr>
        <w:pStyle w:val="Heading2"/>
        <w:keepNext/>
        <w:keepLines/>
        <w:numPr>
          <w:ilvl w:val="1"/>
          <w:numId w:val="12"/>
        </w:numPr>
        <w:spacing w:before="120" w:after="120" w:line="240" w:lineRule="auto"/>
        <w:rPr>
          <w:rFonts w:eastAsia="Times New Roman"/>
        </w:rPr>
      </w:pPr>
      <w:bookmarkStart w:id="100007" w:name="_Toc226628113"/>
      <w:bookmarkEnd w:id="100007"/>
      <w:r>
        <w:rPr>
          <w:rFonts w:eastAsia="Times New Roman"/>
        </w:rPr>
        <w:t xml:space="preserve">ALG (MM 7.1.6)</w:t>
      </w:r>
    </w:p>
    <w:p w14:paraId="18653808">
      <w:pPr>
        <w:spacing w:after="160" w:line="259" w:lineRule="auto"/>
        <w:rPr>
          <w:rFonts w:ascii="Times New Roman" w:hAnsi="Times New Roman" w:cs="Times New Roman"/>
          <w:sz w:val="20"/>
          <w:szCs w:val="20"/>
        </w:rPr>
      </w:pPr>
      <w:r>
        <w:rPr>
          <w:rFonts w:ascii="Times New Roman" w:hAnsi="Times New Roman" w:cs="Times New Roman"/>
          <w:sz w:val="20"/>
          <w:szCs w:val="20"/>
          <w:lang w:val="en"/>
        </w:rPr>
        <w:t xml:space="preserve">Post validation, approved security relevant functions or services for which CAVP testing was not available (or vendor affirming was still permitted per the CMVP/CAVP transition schedule) at the time of submission to the CMVP for validation are now CAVP-tested and are being submitted for inclusion as an approved function or service. The CSTL is responsible for identifying the documentation that is needed to determine whether a revalidation is sufficient, and the vendor is responsible for submitting the requested documentation to the CSTL. Documentation may include a previous validation report and applicable CMVP rulings, design documentation, source code, security policy differences, etc.  Code or configuration changes are not permitted under this revalidation scenario.  For example, if self-tests are required for approved algorithms, the module must already support these self-tests. In essence, this means that ALG can only be used when a previously vendor affirmed or allowed algorithm </w:t>
      </w:r>
      <w:r>
        <w:rPr>
          <w:rFonts w:ascii="Times New Roman" w:hAnsi="Times New Roman" w:cs="Times New Roman"/>
          <w:sz w:val="20"/>
          <w:szCs w:val="20"/>
        </w:rPr>
        <w:t xml:space="preserve">that was available in the approved mode </w:t>
      </w:r>
      <w:r>
        <w:rPr>
          <w:rFonts w:ascii="Times New Roman" w:hAnsi="Times New Roman" w:cs="Times New Roman"/>
          <w:sz w:val="20"/>
          <w:szCs w:val="20"/>
          <w:lang w:val="en"/>
        </w:rPr>
        <w:t xml:space="preserve">now has CAVP testing available and already meets the algorithm requirements (e.g., self-tests) </w:t>
      </w:r>
      <w:r>
        <w:rPr>
          <w:rFonts w:ascii="Times New Roman" w:hAnsi="Times New Roman" w:cs="Times New Roman"/>
          <w:sz w:val="20"/>
          <w:szCs w:val="20"/>
        </w:rPr>
        <w:t xml:space="preserve">and module requirements (e.g., approved service indicator)</w:t>
      </w:r>
      <w:r>
        <w:rPr>
          <w:rFonts w:ascii="Times New Roman" w:hAnsi="Times New Roman" w:cs="Times New Roman"/>
          <w:sz w:val="20"/>
          <w:szCs w:val="20"/>
          <w:lang w:val="en"/>
        </w:rPr>
        <w:t xml:space="pre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19647C0A">
            <w:pPr>
              <w:spacing w:before="120" w:after="120" w:line="240" w:lineRule="auto"/>
              <w:rPr>
                <w:b/>
                <w:bCs/>
              </w:rPr>
            </w:pPr>
            <w:r>
              <w:rPr>
                <w:b/>
                <w:bCs/>
              </w:rPr>
              <w:t xml:space="preserve">Requirement</w:t>
            </w:r>
          </w:p>
        </w:tc>
        <w:tc>
          <w:tcPr>
            <w:tcW w:type="dxa" w:w="4675"/>
            <w:shd w:val="clear" w:color="auto" w:fill="E7E6E6"/>
          </w:tcPr>
          <w:p w14:paraId="3EF74ACC">
            <w:pPr>
              <w:spacing w:before="120" w:after="120" w:line="240" w:lineRule="auto"/>
              <w:rPr>
                <w:b/>
                <w:bCs/>
              </w:rPr>
            </w:pPr>
            <w:r>
              <w:rPr>
                <w:b/>
                <w:bCs/>
              </w:rPr>
              <w:t xml:space="preserve">CSTL Compliance evidence / justification</w:t>
            </w:r>
          </w:p>
        </w:tc>
      </w:tr>
      <w:tr>
        <w:tc>
          <w:tcPr>
            <w:tcW w:type="dxa" w:w="4675"/>
          </w:tcPr>
          <w:p w14:paraId="24594CCE">
            <w:pPr>
              <w:spacing w:before="120" w:after="120" w:line="240" w:lineRule="auto"/>
            </w:pPr>
            <w:r>
              <w:t xml:space="preserve">a. The CSTL </w:t>
            </w:r>
            <w:r>
              <w:rPr>
                <w:b/>
                <w:bCs/>
                <w:color w:val="FF0000"/>
              </w:rPr>
              <w:t xml:space="preserve">shall</w:t>
            </w:r>
            <w:r>
              <w:t xml:space="preserve"> review and independently verify the accuracy of the vendor-supplied documentation and identify any additional documentation necessary to confirm the applicability of this revalidation scenario.</w:t>
            </w:r>
          </w:p>
        </w:tc>
        <w:tc>
          <w:tcPr>
            <w:tcW w:type="dxa" w:w="4675"/>
          </w:tcPr>
          <w:p w14:paraId="10E436C8">
            <w:pPr>
              <w:spacing w:before="120" w:after="120" w:line="240" w:lineRule="auto"/>
            </w:pPr>
          </w:p>
        </w:tc>
      </w:tr>
      <w:tr>
        <w:tc>
          <w:tcPr>
            <w:tcW w:type="dxa" w:w="4675"/>
          </w:tcPr>
          <w:p w14:paraId="6C020F5E">
            <w:pPr>
              <w:spacing w:before="120" w:after="120" w:line="240" w:lineRule="auto"/>
              <w:rPr>
                <w:rFonts w:eastAsia="Calibri"/>
                <w:color w:val="000000"/>
              </w:rPr>
            </w:pPr>
            <w:r>
              <w:t xml:space="preserve">b. The CSTL </w:t>
            </w:r>
            <w:r>
              <w:rPr>
                <w:b/>
                <w:bCs/>
                <w:color w:val="FF0000"/>
              </w:rPr>
              <w:t xml:space="preserve">shall </w:t>
            </w:r>
            <w:r>
              <w:rPr>
                <w:rFonts w:eastAsia="Calibri"/>
              </w:rPr>
              <w:t xml:space="preserve">identify the assertions affected </w:t>
            </w:r>
            <w:r>
              <w:t xml:space="preserve">by the modification </w:t>
            </w:r>
            <w:r>
              <w:rPr>
                <w:rFonts w:eastAsia="Calibri"/>
              </w:rPr>
              <w:t xml:space="preserve">and </w:t>
            </w:r>
            <w:r>
              <w:rPr>
                <w:rFonts w:eastAsia="Calibri"/>
                <w:b/>
                <w:bCs/>
                <w:color w:val="FF0000"/>
              </w:rPr>
              <w:t xml:space="preserve">shall</w:t>
            </w:r>
            <w:r>
              <w:rPr>
                <w:rFonts w:eastAsia="Calibri"/>
              </w:rPr>
              <w:t xml:space="preserve"> perform the tests associated with those assertions.  This will require the CSTL to: </w:t>
            </w:r>
          </w:p>
          <w:p w14:paraId="26147AE4">
            <w:pPr>
              <w:numPr>
                <w:ilvl w:val="0"/>
                <w:numId w:val="15"/>
              </w:numPr>
              <w:spacing w:before="120" w:after="120" w:line="240" w:lineRule="auto"/>
              <w:rPr>
                <w:rFonts w:eastAsia="Calibri"/>
              </w:rPr>
            </w:pPr>
            <w:r>
              <w:rPr>
                <w:rFonts w:eastAsia="Calibri"/>
              </w:rPr>
              <w:t xml:space="preserve">Review the COMPLETE list of assertions applicable to the module, </w:t>
            </w:r>
          </w:p>
          <w:p w14:paraId="7ABB4C79">
            <w:pPr>
              <w:numPr>
                <w:ilvl w:val="0"/>
                <w:numId w:val="15"/>
              </w:numPr>
              <w:spacing w:before="120" w:after="120" w:line="240" w:lineRule="auto"/>
              <w:rPr>
                <w:rFonts w:eastAsia="Calibri"/>
              </w:rPr>
            </w:pPr>
            <w:r>
              <w:rPr>
                <w:rFonts w:eastAsia="Calibri"/>
              </w:rPr>
              <w:t xml:space="preserve">Identify, from the previous validation report, the assertions that have been affected by the modification, </w:t>
            </w:r>
          </w:p>
          <w:p w14:paraId="4D817713">
            <w:pPr>
              <w:numPr>
                <w:ilvl w:val="0"/>
                <w:numId w:val="15"/>
              </w:numPr>
              <w:spacing w:before="120" w:after="120" w:line="240" w:lineRule="auto"/>
              <w:rPr>
                <w:rFonts w:eastAsia="Calibri"/>
              </w:rPr>
            </w:pPr>
            <w:r>
              <w:rPr>
                <w:rFonts w:eastAsia="Calibri"/>
              </w:rPr>
              <w:t xml:space="preserve">Identify additional assertions that were NOT previously tested but should now be tested due to the modification, and </w:t>
            </w:r>
          </w:p>
          <w:p w14:paraId="59F2B754">
            <w:pPr>
              <w:numPr>
                <w:ilvl w:val="0"/>
                <w:numId w:val="15"/>
              </w:numPr>
              <w:spacing w:before="120" w:after="120" w:line="240" w:lineRule="auto"/>
              <w:rPr>
                <w:rFonts w:eastAsia="Calibri"/>
              </w:rPr>
            </w:pPr>
            <w:r>
              <w:rPr>
                <w:rFonts w:eastAsia="Calibri"/>
              </w:rPr>
              <w:t xml:space="preserve">Review assertions where specific Implementation Guidance (IG) was provided at the time of the original validation to confirm that the module still meets the IG as it existed at the time of the original validation, except for IGs related to the newly tested algorithm where the latest IGs </w:t>
            </w:r>
            <w:r>
              <w:rPr>
                <w:rFonts w:eastAsia="Calibri"/>
                <w:b/>
                <w:bCs/>
                <w:color w:val="FF0000"/>
              </w:rPr>
              <w:t xml:space="preserve">shall</w:t>
            </w:r>
            <w:r>
              <w:rPr>
                <w:rFonts w:eastAsia="Calibri"/>
                <w:color w:val="FF0000"/>
              </w:rPr>
              <w:t xml:space="preserve"> </w:t>
            </w:r>
            <w:r>
              <w:rPr>
                <w:rFonts w:eastAsia="Calibri"/>
              </w:rPr>
              <w:t xml:space="preserve">be met.</w:t>
            </w:r>
          </w:p>
        </w:tc>
        <w:tc>
          <w:tcPr>
            <w:tcW w:type="dxa" w:w="4675"/>
          </w:tcPr>
          <w:p w14:paraId="4F700A13">
            <w:pPr>
              <w:spacing w:before="120" w:after="120" w:line="240" w:lineRule="auto"/>
            </w:pPr>
          </w:p>
        </w:tc>
      </w:tr>
    </w:tbl>
    <w:p w14:paraId="27A09568">
      <w:pPr>
        <w:spacing w:before="120" w:after="120" w:line="240" w:lineRule="auto"/>
        <w:rPr>
          <w:rFonts w:ascii="Times New Roman" w:hAnsi="Times New Roman" w:cs="Times New Roman" w:eastAsia="Times New Roman"/>
          <w:sz w:val="20"/>
          <w:szCs w:val="20"/>
        </w:rPr>
      </w:pPr>
    </w:p>
    <w:p w14:paraId="281DB41C">
      <w:pPr>
        <w:spacing w:after="160" w:line="259" w:lineRule="auto"/>
        <w:rPr>
          <w:rFonts w:ascii="Calibri Light" w:hAnsi="Calibri Light" w:cs="Calibri Light" w:eastAsia="Times New Roman"/>
          <w:color w:val="2F5496"/>
          <w:sz w:val="26"/>
          <w:szCs w:val="26"/>
        </w:rPr>
      </w:pPr>
      <w:r>
        <w:rPr>
          <w:rFonts w:eastAsia="Times New Roman"/>
        </w:rPr>
        <w:br w:type="page"/>
      </w:r>
    </w:p>
    <w:p w14:paraId="14BEB5B2">
      <w:pPr>
        <w:pStyle w:val="Heading2"/>
        <w:keepNext/>
        <w:keepLines/>
        <w:numPr>
          <w:ilvl w:val="1"/>
          <w:numId w:val="12"/>
        </w:numPr>
        <w:spacing w:before="120" w:after="120" w:line="240" w:lineRule="auto"/>
        <w:rPr>
          <w:rFonts w:eastAsia="Times New Roman"/>
        </w:rPr>
      </w:pPr>
      <w:bookmarkStart w:id="100008" w:name="_Toc226628114"/>
      <w:bookmarkEnd w:id="100008"/>
      <w:r>
        <w:rPr>
          <w:rFonts w:eastAsia="Times New Roman"/>
        </w:rPr>
        <w:t xml:space="preserve">OEUP (MM 7.1.7)</w:t>
      </w:r>
    </w:p>
    <w:p w14:paraId="5517C6D3">
      <w:pPr>
        <w:spacing w:after="160" w:line="259" w:lineRule="auto"/>
        <w:rPr>
          <w:rFonts w:ascii="Times New Roman" w:hAnsi="Times New Roman" w:cs="Times New Roman"/>
          <w:sz w:val="20"/>
          <w:szCs w:val="20"/>
        </w:rPr>
      </w:pPr>
      <w:r>
        <w:rPr>
          <w:rFonts w:ascii="Times New Roman" w:hAnsi="Times New Roman" w:cs="Times New Roman"/>
          <w:sz w:val="20"/>
          <w:szCs w:val="20"/>
          <w:lang w:val="en"/>
        </w:rPr>
        <w:t xml:space="preserve">This revalidation scenario allows a vendor to add new or modified tested OEs to the validation.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734FD55F">
            <w:pPr>
              <w:spacing w:before="120" w:after="120" w:line="240" w:lineRule="auto"/>
              <w:rPr>
                <w:b/>
                <w:bCs/>
              </w:rPr>
            </w:pPr>
            <w:r>
              <w:rPr>
                <w:b/>
                <w:bCs/>
              </w:rPr>
              <w:t xml:space="preserve">Requirement</w:t>
            </w:r>
          </w:p>
        </w:tc>
        <w:tc>
          <w:tcPr>
            <w:tcW w:type="dxa" w:w="4675"/>
            <w:shd w:val="clear" w:color="auto" w:fill="E7E6E6"/>
          </w:tcPr>
          <w:p w14:paraId="58B9A3EF">
            <w:pPr>
              <w:spacing w:before="120" w:after="120" w:line="240" w:lineRule="auto"/>
              <w:rPr>
                <w:b/>
                <w:bCs/>
              </w:rPr>
            </w:pPr>
            <w:r>
              <w:rPr>
                <w:b/>
                <w:bCs/>
              </w:rPr>
              <w:t xml:space="preserve">CSTL Compliance evidence / justification</w:t>
            </w:r>
          </w:p>
        </w:tc>
      </w:tr>
      <w:tr>
        <w:tc>
          <w:tcPr>
            <w:tcW w:type="dxa" w:w="4675"/>
          </w:tcPr>
          <w:p w14:paraId="0864913A">
            <w:pPr>
              <w:spacing w:before="120" w:after="120" w:line="240" w:lineRule="auto"/>
            </w:pPr>
            <w:r>
              <w:t xml:space="preserve">No changes to the module with an addition, modification, or deletion of tested operational environments (OEs).  Purely deleting OEs can be done as a NSRL, but deleting can be done within an OEUP if also adding and/or modifying OEs. This </w:t>
            </w:r>
            <w:r>
              <w:rPr>
                <w:b/>
                <w:bCs/>
                <w:color w:val="FF0000"/>
              </w:rPr>
              <w:t xml:space="preserve">shall</w:t>
            </w:r>
            <w:r>
              <w:t xml:space="preserve"> require CAVP-testing the algorithm validations on the new/modified OEs. </w:t>
            </w:r>
          </w:p>
        </w:tc>
        <w:tc>
          <w:tcPr>
            <w:tcW w:type="dxa" w:w="4675"/>
          </w:tcPr>
          <w:p w14:paraId="15241CCA">
            <w:pPr>
              <w:spacing w:before="120" w:after="120" w:line="240" w:lineRule="auto"/>
            </w:pPr>
          </w:p>
        </w:tc>
      </w:tr>
      <w:tr>
        <w:tc>
          <w:tcPr>
            <w:tcW w:type="dxa" w:w="4675"/>
          </w:tcPr>
          <w:p w14:paraId="080ABC3A">
            <w:pPr>
              <w:spacing w:before="120" w:after="120" w:line="240" w:lineRule="auto"/>
              <w:rPr>
                <w:lang w:val="en"/>
              </w:rPr>
            </w:pPr>
            <w:r>
              <w:t xml:space="preserve">If an entropy source assessment is applicable per </w:t>
            </w:r>
            <w:hyperlink r:id="rIdLink1">
              <w:r>
                <w:rPr>
                  <w:rStyle w:val="Hyperlink"/>
                  <w:u w:val="single"/>
                  <w:color w:val="0000FF"/>
                </w:rPr>
                <w:t xml:space="preserve">IG 9.3.A</w:t>
              </w:r>
            </w:hyperlink>
            <w:r>
              <w:t xml:space="preserve">, ESV(s) to cover all new/modified OEs and/or platforms </w:t>
            </w:r>
            <w:r>
              <w:rPr>
                <w:b/>
                <w:bCs/>
                <w:color w:val="FF0000"/>
              </w:rPr>
              <w:t xml:space="preserve">shall</w:t>
            </w:r>
            <w:r>
              <w:rPr>
                <w:color w:val="FF0000"/>
              </w:rPr>
              <w:t xml:space="preserve"> </w:t>
            </w:r>
            <w:r>
              <w:t xml:space="preserve">be submitted and validated separately prior to submission.</w:t>
            </w:r>
          </w:p>
        </w:tc>
        <w:tc>
          <w:tcPr>
            <w:tcW w:type="dxa" w:w="4675"/>
          </w:tcPr>
          <w:p w14:paraId="1EE3BBF0">
            <w:pPr>
              <w:spacing w:before="120" w:after="120" w:line="240" w:lineRule="auto"/>
            </w:pPr>
          </w:p>
        </w:tc>
      </w:tr>
      <w:tr>
        <w:tc>
          <w:tcPr>
            <w:tcW w:type="dxa" w:w="4675"/>
          </w:tcPr>
          <w:p w14:paraId="00D0BB66">
            <w:pPr>
              <w:spacing w:before="120" w:after="120" w:line="240" w:lineRule="auto"/>
              <w:rPr>
                <w:rFonts w:eastAsia="Calibri"/>
              </w:rPr>
            </w:pPr>
            <w:r>
              <w:rPr>
                <w:lang w:val="en"/>
              </w:rPr>
              <w:t xml:space="preserve">The CSTL </w:t>
            </w:r>
            <w:r>
              <w:rPr>
                <w:b/>
                <w:bCs/>
                <w:color w:val="FF0000"/>
                <w:lang w:val="en"/>
              </w:rPr>
              <w:t xml:space="preserve">shall</w:t>
            </w:r>
            <w:r>
              <w:rPr>
                <w:color w:val="FF0000"/>
                <w:lang w:val="en"/>
              </w:rPr>
              <w:t xml:space="preserve"> </w:t>
            </w:r>
            <w:r>
              <w:rPr>
                <w:lang w:val="en"/>
              </w:rPr>
              <w:t xml:space="preserve">perform the full regression test suite shown on the </w:t>
            </w:r>
            <w:hyperlink r:id="rIdLink4">
              <w:r>
                <w:rPr>
                  <w:rStyle w:val="Hyperlink"/>
                  <w:u w:val="single"/>
                  <w:color w:val="0000FF"/>
                  <w:lang w:val="en"/>
                </w:rPr>
                <w:t xml:space="preserve">CMVP website</w:t>
              </w:r>
            </w:hyperlink>
            <w:r>
              <w:rPr>
                <w:lang w:val="en"/>
              </w:rPr>
              <w:t xml:space="preserve">.</w:t>
            </w:r>
          </w:p>
        </w:tc>
        <w:tc>
          <w:tcPr>
            <w:tcW w:type="dxa" w:w="4675"/>
          </w:tcPr>
          <w:p w14:paraId="62B1F1BF">
            <w:pPr>
              <w:spacing w:before="120" w:after="120" w:line="240" w:lineRule="auto"/>
            </w:pPr>
          </w:p>
        </w:tc>
      </w:tr>
      <w:tr>
        <w:tc>
          <w:tcPr>
            <w:tcW w:type="dxa" w:w="4675"/>
          </w:tcPr>
          <w:p w14:paraId="1D2A01BC">
            <w:pPr>
              <w:spacing w:before="120" w:after="120" w:line="240" w:lineRule="auto"/>
              <w:rPr>
                <w:lang w:val="en"/>
              </w:rPr>
            </w:pPr>
            <w:r>
              <w:t xml:space="preserve">The only time code changes are allowed as part of an OEUP is if they are non-security relevant and </w:t>
            </w:r>
            <w:r>
              <w:rPr>
                <w:i/>
                <w:iCs/>
              </w:rPr>
              <w:t xml:space="preserve">necessary</w:t>
            </w:r>
            <w:r>
              <w:t xml:space="preserve"> to correctly run the module on the new/modified OE (e.g., compilation flags or configuration options that need to be updated). No other changes are permitted (even to incorporate other non-security relevant changes such as bug fixes).  In Web Cryptik, this may be captured as a checkbox under the OEUP submission scenario (e.g., the CSTL selects “Limited NSRL”).</w:t>
            </w:r>
          </w:p>
        </w:tc>
        <w:tc>
          <w:tcPr>
            <w:tcW w:type="dxa" w:w="4675"/>
          </w:tcPr>
          <w:p w14:paraId="6F915BA4">
            <w:pPr>
              <w:spacing w:before="120" w:after="120" w:line="240" w:lineRule="auto"/>
            </w:pPr>
          </w:p>
        </w:tc>
      </w:tr>
    </w:tbl>
    <w:p w14:paraId="042447EE">
      <w:pPr>
        <w:spacing w:after="160" w:line="259" w:lineRule="auto"/>
      </w:pPr>
    </w:p>
    <w:p w14:paraId="2CD62775">
      <w:pPr>
        <w:spacing w:after="160" w:line="259" w:lineRule="auto"/>
        <w:rPr>
          <w:rFonts w:ascii="Calibri Light" w:hAnsi="Calibri Light" w:cs="Calibri Light" w:eastAsia="Times New Roman"/>
          <w:color w:val="2F5496"/>
          <w:sz w:val="26"/>
          <w:szCs w:val="26"/>
        </w:rPr>
      </w:pPr>
      <w:r>
        <w:rPr>
          <w:rFonts w:eastAsia="Times New Roman"/>
        </w:rPr>
        <w:br w:type="page"/>
      </w:r>
    </w:p>
    <w:p w14:paraId="5CE380C4">
      <w:pPr>
        <w:pStyle w:val="Heading2"/>
        <w:keepNext/>
        <w:keepLines/>
        <w:numPr>
          <w:ilvl w:val="1"/>
          <w:numId w:val="12"/>
        </w:numPr>
        <w:spacing w:before="120" w:after="120" w:line="240" w:lineRule="auto"/>
        <w:rPr>
          <w:rFonts w:eastAsia="Times New Roman"/>
        </w:rPr>
      </w:pPr>
      <w:bookmarkStart w:id="100009" w:name="_Toc226628115"/>
      <w:bookmarkEnd w:id="100009"/>
      <w:r>
        <w:rPr>
          <w:rFonts w:eastAsia="Times New Roman"/>
        </w:rPr>
        <w:t xml:space="preserve">RBND (MM 7.1.8)</w:t>
      </w:r>
    </w:p>
    <w:p w14:paraId="051013EE">
      <w:pPr>
        <w:spacing w:after="160" w:line="259" w:lineRule="auto"/>
        <w:rPr>
          <w:rFonts w:ascii="Times New Roman" w:hAnsi="Times New Roman" w:cs="Times New Roman"/>
          <w:sz w:val="20"/>
          <w:szCs w:val="20"/>
        </w:rPr>
      </w:pPr>
      <w:r>
        <w:rPr>
          <w:rFonts w:ascii="Times New Roman" w:hAnsi="Times New Roman" w:cs="Times New Roman"/>
          <w:sz w:val="20"/>
          <w:szCs w:val="20"/>
          <w:lang w:val="en"/>
        </w:rPr>
        <w:t xml:space="preserve">This scenario applies if there are no modifications to a module and the new module is a re-branding of an already validated Original Equipment Manufacturer (OEM)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1ECFC52F">
            <w:pPr>
              <w:spacing w:before="120" w:after="120" w:line="240" w:lineRule="auto"/>
              <w:rPr>
                <w:b/>
                <w:bCs/>
              </w:rPr>
            </w:pPr>
            <w:r>
              <w:rPr>
                <w:b/>
                <w:bCs/>
              </w:rPr>
              <w:t xml:space="preserve">Requirement</w:t>
            </w:r>
          </w:p>
        </w:tc>
        <w:tc>
          <w:tcPr>
            <w:tcW w:type="dxa" w:w="4675"/>
            <w:shd w:val="clear" w:color="auto" w:fill="E7E6E6"/>
          </w:tcPr>
          <w:p w14:paraId="23CC57B8">
            <w:pPr>
              <w:spacing w:before="120" w:after="120" w:line="240" w:lineRule="auto"/>
              <w:rPr>
                <w:b/>
                <w:bCs/>
              </w:rPr>
            </w:pPr>
            <w:r>
              <w:rPr>
                <w:b/>
                <w:bCs/>
              </w:rPr>
              <w:t xml:space="preserve">CSTL Compliance evidence / justification</w:t>
            </w:r>
          </w:p>
        </w:tc>
      </w:tr>
      <w:tr>
        <w:tc>
          <w:tcPr>
            <w:tcW w:type="dxa" w:w="4675"/>
          </w:tcPr>
          <w:p w14:paraId="572831A9">
            <w:pPr>
              <w:spacing w:before="120" w:after="120" w:line="240" w:lineRule="auto"/>
            </w:pPr>
            <w:r>
              <w:t xml:space="preserve">1. The CSTL </w:t>
            </w:r>
            <w:r>
              <w:rPr>
                <w:b/>
                <w:bCs/>
                <w:color w:val="FF0000"/>
              </w:rPr>
              <w:t xml:space="preserve">shall</w:t>
            </w:r>
            <w:r>
              <w:rPr>
                <w:color w:val="FF0000"/>
              </w:rPr>
              <w:t xml:space="preserve"> </w:t>
            </w:r>
            <w:r>
              <w:t xml:space="preserve">determine that the re-branded module is identical to the OEM module (n.b. this requirement applies equally to open source and non-open-source modules).</w:t>
            </w:r>
          </w:p>
        </w:tc>
        <w:tc>
          <w:tcPr>
            <w:tcW w:type="dxa" w:w="4675"/>
          </w:tcPr>
          <w:p w14:paraId="5396F423">
            <w:pPr>
              <w:spacing w:before="120" w:after="120" w:line="240" w:lineRule="auto"/>
              <w:rPr>
                <w:i/>
                <w:iCs/>
              </w:rPr>
            </w:pPr>
            <w:r>
              <w:rPr>
                <w:i/>
                <w:iCs/>
              </w:rPr>
              <w:t xml:space="preserve">How did the CSTL determine that the re-branded module is identical to the OEM module (e.g., source code / manifest / hash comparison)? </w:t>
            </w:r>
          </w:p>
          <w:p w14:paraId="3C06179B">
            <w:pPr>
              <w:spacing w:before="120" w:after="120" w:line="240" w:lineRule="auto"/>
            </w:pPr>
          </w:p>
        </w:tc>
      </w:tr>
      <w:tr>
        <w:tc>
          <w:tcPr>
            <w:tcW w:type="dxa" w:w="4675"/>
          </w:tcPr>
          <w:p w14:paraId="1ADF06DB">
            <w:pPr>
              <w:spacing w:before="120" w:after="120" w:line="240" w:lineRule="auto"/>
            </w:pPr>
            <w:r>
              <w:t xml:space="preserve">2. The CSTL </w:t>
            </w:r>
            <w:r>
              <w:rPr>
                <w:b/>
                <w:bCs/>
                <w:color w:val="FF0000"/>
              </w:rPr>
              <w:t xml:space="preserve">shall </w:t>
            </w:r>
            <w:r>
              <w:t xml:space="preserve">include the OEM’s written approval for re-branding in the submission package which </w:t>
            </w:r>
            <w:r>
              <w:rPr>
                <w:b/>
                <w:bCs/>
                <w:color w:val="FF0000"/>
              </w:rPr>
              <w:t xml:space="preserve">shall</w:t>
            </w:r>
            <w:r>
              <w:rPr>
                <w:color w:val="FF0000"/>
              </w:rPr>
              <w:t xml:space="preserve"> </w:t>
            </w:r>
            <w:r>
              <w:t xml:space="preserve">note the terms of permission (e.g., subsequent addition of OEs, possible re-use of CAVP certificates, entropy, non-security relevant changes, remediation of CVE, whether a rebrand of a rebrand is acceptable, etc.) including who owns/controls the codebase and is responsible for updates to it post validation.  E.g., if these terms do not explicitly allow a vendor to further rebrand the OEM module, then a rebrand of that rebranded module is not permitted unless written permission is granted by the OEM.</w:t>
            </w:r>
          </w:p>
        </w:tc>
        <w:tc>
          <w:tcPr>
            <w:tcW w:type="dxa" w:w="4675"/>
          </w:tcPr>
          <w:p w14:paraId="7916B79A">
            <w:pPr>
              <w:spacing w:before="120" w:after="120" w:line="240" w:lineRule="auto"/>
              <w:rPr>
                <w:i/>
                <w:iCs/>
              </w:rPr>
            </w:pPr>
          </w:p>
        </w:tc>
      </w:tr>
      <w:tr>
        <w:tc>
          <w:tcPr>
            <w:tcW w:type="dxa" w:w="4675"/>
          </w:tcPr>
          <w:p w14:paraId="2CAB74A7">
            <w:pPr>
              <w:spacing w:before="120" w:after="120" w:line="240" w:lineRule="auto"/>
              <w:rPr>
                <w:rFonts w:eastAsia="Calibri"/>
              </w:rPr>
            </w:pPr>
            <w:r>
              <w:t xml:space="preserve">3. (for modules containing any open-source licensed code) The CSTL </w:t>
            </w:r>
            <w:r>
              <w:rPr>
                <w:b/>
                <w:bCs/>
                <w:color w:val="FF0000"/>
              </w:rPr>
              <w:t xml:space="preserve">shall</w:t>
            </w:r>
            <w:r>
              <w:t xml:space="preserve"> ensure the open-source licensing requirements are met (e.g., any required notices are contained in the Security Policy).</w:t>
            </w:r>
          </w:p>
        </w:tc>
        <w:tc>
          <w:tcPr>
            <w:tcW w:type="dxa" w:w="4675"/>
          </w:tcPr>
          <w:p w14:paraId="48A7022F">
            <w:pPr>
              <w:spacing w:before="120" w:after="120" w:line="240" w:lineRule="auto"/>
            </w:pPr>
          </w:p>
        </w:tc>
      </w:tr>
      <w:tr>
        <w:tc>
          <w:tcPr>
            <w:tcW w:type="dxa" w:w="4675"/>
          </w:tcPr>
          <w:p w14:paraId="04B72139">
            <w:pPr>
              <w:spacing w:before="120" w:after="120" w:line="240" w:lineRule="auto"/>
            </w:pPr>
            <w:r>
              <w:t xml:space="preserve">A RBND </w:t>
            </w:r>
            <w:r>
              <w:rPr>
                <w:b/>
                <w:bCs/>
                <w:color w:val="FF0000"/>
              </w:rPr>
              <w:t xml:space="preserve">shall</w:t>
            </w:r>
            <w:r>
              <w:rPr>
                <w:color w:val="FF0000"/>
              </w:rPr>
              <w:t xml:space="preserve"> </w:t>
            </w:r>
            <w:r>
              <w:t xml:space="preserve">include at least one OE from the original validation and cannot add new OEs. With proper OEM permissions, a RBND followed by a separate OEUP submission can accomplish rebranding a module on different OEs.</w:t>
            </w:r>
          </w:p>
        </w:tc>
        <w:tc>
          <w:tcPr>
            <w:tcW w:type="dxa" w:w="4675"/>
          </w:tcPr>
          <w:p w14:paraId="00823711">
            <w:pPr>
              <w:spacing w:before="120" w:after="120" w:line="240" w:lineRule="auto"/>
            </w:pPr>
          </w:p>
        </w:tc>
      </w:tr>
      <w:tr>
        <w:tc>
          <w:tcPr>
            <w:tcW w:type="dxa" w:w="4675"/>
          </w:tcPr>
          <w:p w14:paraId="62704150">
            <w:pPr>
              <w:spacing w:before="120" w:after="120" w:line="240" w:lineRule="auto"/>
              <w:rPr>
                <w:lang w:val="en"/>
              </w:rPr>
            </w:pPr>
            <w:r>
              <w:rPr>
                <w:lang w:val="en"/>
              </w:rPr>
              <w:t xml:space="preserve">CAVP testing </w:t>
            </w:r>
            <w:r>
              <w:rPr>
                <w:b/>
                <w:bCs/>
                <w:color w:val="FF0000"/>
                <w:lang w:val="en"/>
              </w:rPr>
              <w:t xml:space="preserve">shall</w:t>
            </w:r>
            <w:r>
              <w:rPr>
                <w:color w:val="FF0000"/>
                <w:lang w:val="en"/>
              </w:rPr>
              <w:t xml:space="preserve"> </w:t>
            </w:r>
            <w:r>
              <w:rPr>
                <w:lang w:val="en"/>
              </w:rPr>
              <w:t xml:space="preserve">cover all of the list OEs.</w:t>
            </w:r>
          </w:p>
        </w:tc>
        <w:tc>
          <w:tcPr>
            <w:tcW w:type="dxa" w:w="4675"/>
          </w:tcPr>
          <w:p w14:paraId="07868151">
            <w:pPr>
              <w:spacing w:before="120" w:after="120" w:line="240" w:lineRule="auto"/>
            </w:pPr>
          </w:p>
        </w:tc>
      </w:tr>
      <w:tr>
        <w:tc>
          <w:tcPr>
            <w:tcW w:type="dxa" w:w="4675"/>
          </w:tcPr>
          <w:p w14:paraId="0B6BDF63">
            <w:pPr>
              <w:widowControl w:val="0"/>
              <w:spacing w:before="120" w:after="120" w:line="240" w:lineRule="auto"/>
              <w:rPr>
                <w:lang w:val="en"/>
              </w:rPr>
            </w:pPr>
            <w:r>
              <w:rPr>
                <w:lang w:val="en"/>
              </w:rPr>
              <w:t xml:space="preserve">The only time it is allowed to combine a RBND with other scenarios is as follows:</w:t>
            </w:r>
          </w:p>
          <w:p w14:paraId="446585EC">
            <w:pPr>
              <w:widowControl w:val="0"/>
              <w:numPr>
                <w:ilvl w:val="0"/>
                <w:numId w:val="13"/>
              </w:numPr>
              <w:spacing w:before="120" w:after="120" w:line="240" w:lineRule="auto"/>
              <w:contextualSpacing/>
              <w:rPr>
                <w:lang w:val="en"/>
              </w:rPr>
            </w:pPr>
            <w:r>
              <w:t xml:space="preserve">A RBND may be combined with a PHYS only if physical changes are necessary to correctly rebrand the module.  For example, if the paint or coating on the hardware of the rebranded module is changed to reflect the new company's color schemes, and/or to change the vendor and product names on the enclosure. In Web Cryptik, this may be captured as a checkbox under the RBND submission scenario (e.g., the CSTL selects “PHYS”).</w:t>
            </w:r>
          </w:p>
          <w:p w14:paraId="05CF87FA">
            <w:pPr>
              <w:widowControl w:val="0"/>
              <w:spacing w:before="120" w:after="120" w:line="240" w:lineRule="auto"/>
              <w:ind w:left="720"/>
              <w:contextualSpacing/>
              <w:rPr>
                <w:lang w:val="en"/>
              </w:rPr>
            </w:pPr>
          </w:p>
          <w:p w14:paraId="05A0421D">
            <w:pPr>
              <w:widowControl w:val="0"/>
              <w:numPr>
                <w:ilvl w:val="0"/>
                <w:numId w:val="13"/>
              </w:numPr>
              <w:spacing w:before="120" w:after="120" w:line="240" w:lineRule="auto"/>
              <w:contextualSpacing/>
              <w:rPr>
                <w:lang w:val="en"/>
              </w:rPr>
            </w:pPr>
            <w:r>
              <w:t xml:space="preserve">The only time code changes are allowed as part of a RBND is if they are necessary to correctly rebrand the module (e.g., to display the new module name/version/logo, or to use the new vendor's color schemes/visual aesthetics). No other changes are permitted (even to incorporate other non-security relevant changes such as bug fixes).  In Web Cryptik, this may be captured as a checkbox under the RBND submission scenario (e.g., the CSTL selects “Limited NSRL”).</w:t>
            </w:r>
          </w:p>
          <w:p w14:paraId="7015002A">
            <w:pPr>
              <w:widowControl w:val="0"/>
              <w:spacing w:before="120" w:after="120" w:line="240" w:lineRule="auto"/>
              <w:ind w:left="720"/>
              <w:contextualSpacing/>
              <w:rPr>
                <w:lang w:val="en"/>
              </w:rPr>
            </w:pPr>
          </w:p>
          <w:p w14:paraId="70B43CD9">
            <w:pPr>
              <w:widowControl w:val="0"/>
              <w:numPr>
                <w:ilvl w:val="0"/>
                <w:numId w:val="13"/>
              </w:numPr>
              <w:spacing w:before="120" w:after="120" w:line="240" w:lineRule="auto"/>
              <w:contextualSpacing/>
              <w:rPr>
                <w:lang w:val="en"/>
              </w:rPr>
            </w:pPr>
            <w:r>
              <w:t xml:space="preserve">A RBND is essentially guaranteed to be combined with a VUP to address the vendor changes so this will not be separately selectable in Web Cryptik.</w:t>
            </w:r>
          </w:p>
          <w:p w14:paraId="4D8F38C2">
            <w:pPr>
              <w:widowControl w:val="0"/>
              <w:spacing w:before="120" w:after="120" w:line="240" w:lineRule="auto"/>
              <w:ind w:left="720"/>
              <w:contextualSpacing/>
              <w:rPr>
                <w:lang w:val="en"/>
              </w:rPr>
            </w:pPr>
          </w:p>
          <w:p w14:paraId="0A8141EC">
            <w:pPr>
              <w:widowControl w:val="0"/>
              <w:numPr>
                <w:ilvl w:val="0"/>
                <w:numId w:val="13"/>
              </w:numPr>
              <w:spacing w:before="120" w:after="120" w:line="240" w:lineRule="auto"/>
              <w:contextualSpacing/>
              <w:rPr>
                <w:lang w:val="en"/>
              </w:rPr>
            </w:pPr>
            <w:r>
              <w:t xml:space="preserve">A vendor is expected to have permission to reuse the OEM’s CAVP certificates.  Therefore, changes to CAVP certificate information are NOT permitted as part of a RBND (but if permission is granted by the OEM, may be part of a post-RBND revalidation such as a UPDT).</w:t>
            </w:r>
          </w:p>
          <w:p w14:paraId="498C534E">
            <w:pPr>
              <w:spacing w:before="120" w:after="120" w:line="240" w:lineRule="auto"/>
              <w:rPr>
                <w:lang w:val="en"/>
              </w:rPr>
            </w:pPr>
          </w:p>
        </w:tc>
        <w:tc>
          <w:tcPr>
            <w:tcW w:type="dxa" w:w="4675"/>
          </w:tcPr>
          <w:p w14:paraId="2764AF3B">
            <w:pPr>
              <w:spacing w:before="120" w:after="120" w:line="240" w:lineRule="auto"/>
            </w:pPr>
          </w:p>
        </w:tc>
      </w:tr>
      <w:tr>
        <w:tc>
          <w:tcPr>
            <w:tcW w:type="dxa" w:w="4675"/>
          </w:tcPr>
          <w:p w14:paraId="271F7AB7">
            <w:pPr>
              <w:spacing w:before="120" w:after="120" w:line="240" w:lineRule="auto"/>
              <w:rPr>
                <w:lang w:val="en"/>
              </w:rPr>
            </w:pPr>
            <w:r>
              <w:rPr>
                <w:lang w:val="en"/>
              </w:rPr>
              <w:t xml:space="preserve">The CSTL </w:t>
            </w:r>
            <w:r>
              <w:rPr>
                <w:b/>
                <w:bCs/>
                <w:color w:val="FF0000"/>
                <w:lang w:val="en"/>
              </w:rPr>
              <w:t xml:space="preserve">shall</w:t>
            </w:r>
            <w:r>
              <w:rPr>
                <w:color w:val="C00000"/>
                <w:lang w:val="en"/>
              </w:rPr>
              <w:t xml:space="preserve"> </w:t>
            </w:r>
            <w:r>
              <w:rPr>
                <w:lang w:val="en"/>
              </w:rPr>
              <w:t xml:space="preserve">provide an updated security policy which is technically identical to the originally validated security policy and describes the re-branded module.</w:t>
            </w:r>
          </w:p>
        </w:tc>
        <w:tc>
          <w:tcPr>
            <w:tcW w:type="dxa" w:w="4675"/>
          </w:tcPr>
          <w:p w14:paraId="7DB3795F">
            <w:pPr>
              <w:spacing w:before="120" w:after="120" w:line="240" w:lineRule="auto"/>
            </w:pPr>
          </w:p>
        </w:tc>
      </w:tr>
    </w:tbl>
    <w:p w14:paraId="741175DC">
      <w:pPr>
        <w:spacing w:before="120" w:after="120" w:line="240" w:lineRule="auto"/>
        <w:rPr>
          <w:rFonts w:ascii="Times New Roman" w:hAnsi="Times New Roman" w:cs="Times New Roman" w:eastAsia="Times New Roman"/>
          <w:sz w:val="20"/>
          <w:szCs w:val="20"/>
        </w:rPr>
      </w:pPr>
    </w:p>
    <w:p w14:paraId="602EF42C">
      <w:pPr>
        <w:spacing w:after="160" w:line="259" w:lineRule="auto"/>
        <w:rPr>
          <w:rFonts w:ascii="Calibri Light" w:hAnsi="Calibri Light" w:cs="Calibri Light" w:eastAsia="Times New Roman"/>
          <w:color w:val="2F5496"/>
          <w:sz w:val="26"/>
          <w:szCs w:val="26"/>
        </w:rPr>
      </w:pPr>
      <w:r>
        <w:rPr>
          <w:rFonts w:eastAsia="Times New Roman"/>
        </w:rPr>
        <w:br w:type="page"/>
      </w:r>
    </w:p>
    <w:p w14:paraId="701FD7FF">
      <w:pPr>
        <w:pStyle w:val="Heading2"/>
        <w:keepNext/>
        <w:keepLines/>
        <w:numPr>
          <w:ilvl w:val="1"/>
          <w:numId w:val="12"/>
        </w:numPr>
        <w:spacing w:before="120" w:after="120" w:line="240" w:lineRule="auto"/>
        <w:rPr>
          <w:rFonts w:eastAsia="Times New Roman"/>
        </w:rPr>
      </w:pPr>
      <w:bookmarkStart w:id="100010" w:name="_Toc226628116"/>
      <w:bookmarkEnd w:id="100010"/>
      <w:r>
        <w:rPr>
          <w:rFonts w:eastAsia="Times New Roman"/>
        </w:rPr>
        <w:t xml:space="preserve">PTSC (MM 7.1.9)</w:t>
      </w:r>
    </w:p>
    <w:p w14:paraId="0EA5EF8E">
      <w:pPr>
        <w:spacing w:after="160" w:line="259" w:lineRule="auto"/>
        <w:rPr>
          <w:sz w:val="20"/>
          <w:szCs w:val="20"/>
        </w:rPr>
      </w:pPr>
      <w:r>
        <w:rPr>
          <w:rFonts w:ascii="Times New Roman" w:hAnsi="Times New Roman" w:cs="Times New Roman" w:eastAsia="Times New Roman"/>
          <w:color w:val="000000"/>
          <w:sz w:val="20"/>
          <w:szCs w:val="20"/>
        </w:rPr>
        <w:t xml:space="preserve">A sub-chip cryptographic subsystem that was previously validated in a single-chip (see </w:t>
      </w:r>
      <w:hyperlink r:id="rIdLink1">
        <w:r>
          <w:rPr>
            <w:rStyle w:val="Hyperlink"/>
            <w:rFonts w:ascii="Times New Roman" w:hAnsi="Times New Roman" w:cs="Times New Roman" w:eastAsia="Times New Roman"/>
            <w:u w:val="single"/>
            <w:color w:val="0000FF"/>
            <w:sz w:val="20"/>
            <w:szCs w:val="20"/>
          </w:rPr>
          <w:t xml:space="preserve">IG 2.3.B</w:t>
        </w:r>
      </w:hyperlink>
      <w:r>
        <w:rPr>
          <w:rFonts w:ascii="Times New Roman" w:hAnsi="Times New Roman" w:cs="Times New Roman" w:eastAsia="Times New Roman"/>
          <w:color w:val="000000"/>
          <w:sz w:val="20"/>
          <w:szCs w:val="20"/>
        </w:rPr>
        <w:t xml:space="preserve">) can be ported to other single-chip constructs as a PTSC submission to the CMVP.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10AE3512">
            <w:pPr>
              <w:spacing w:before="120" w:after="120" w:line="240" w:lineRule="auto"/>
              <w:rPr>
                <w:b/>
                <w:bCs/>
              </w:rPr>
            </w:pPr>
            <w:r>
              <w:rPr>
                <w:b/>
                <w:bCs/>
              </w:rPr>
              <w:t xml:space="preserve">Requirement</w:t>
            </w:r>
          </w:p>
        </w:tc>
        <w:tc>
          <w:tcPr>
            <w:tcW w:type="dxa" w:w="4675"/>
            <w:shd w:val="clear" w:color="auto" w:fill="E7E6E6"/>
          </w:tcPr>
          <w:p w14:paraId="0636A884">
            <w:pPr>
              <w:spacing w:before="120" w:after="120" w:line="240" w:lineRule="auto"/>
              <w:rPr>
                <w:b/>
                <w:bCs/>
              </w:rPr>
            </w:pPr>
            <w:r>
              <w:rPr>
                <w:b/>
                <w:bCs/>
              </w:rPr>
              <w:t xml:space="preserve">CSTL Compliance evidence / justification</w:t>
            </w:r>
          </w:p>
        </w:tc>
      </w:tr>
      <w:tr>
        <w:tc>
          <w:tcPr>
            <w:tcW w:type="dxa" w:w="4675"/>
          </w:tcPr>
          <w:p w14:paraId="5D87E8D4">
            <w:pPr>
              <w:spacing w:before="120" w:after="120" w:line="240" w:lineRule="auto"/>
            </w:pPr>
            <w:r>
              <w:rPr>
                <w:color w:val="000000"/>
              </w:rPr>
              <w:t xml:space="preserve">The CSTL </w:t>
            </w:r>
            <w:r>
              <w:rPr>
                <w:b/>
                <w:bCs/>
                <w:color w:val="FF0000"/>
              </w:rPr>
              <w:t xml:space="preserve">shall </w:t>
            </w:r>
            <w:r>
              <w:rPr>
                <w:color w:val="000000"/>
              </w:rPr>
              <w:t xml:space="preserve">verify that there are no security relevant changes in the sub-chip cryptographic subsystem;</w:t>
            </w:r>
          </w:p>
        </w:tc>
        <w:tc>
          <w:tcPr>
            <w:tcW w:type="dxa" w:w="4675"/>
          </w:tcPr>
          <w:p w14:paraId="41FBE2CF">
            <w:pPr>
              <w:spacing w:before="120" w:after="120" w:line="240" w:lineRule="auto"/>
            </w:pPr>
          </w:p>
        </w:tc>
      </w:tr>
      <w:tr>
        <w:tc>
          <w:tcPr>
            <w:tcW w:type="dxa" w:w="4675"/>
          </w:tcPr>
          <w:p w14:paraId="05104B00">
            <w:pPr>
              <w:spacing w:before="120" w:after="120" w:line="240" w:lineRule="auto"/>
              <w:rPr>
                <w:color w:val="000000"/>
              </w:rPr>
            </w:pPr>
            <w:r>
              <w:rPr>
                <w:color w:val="000000"/>
              </w:rPr>
              <w:t xml:space="preserve">If an entropy source is contained within the sub-chip cryptographic subsystem, </w:t>
            </w:r>
            <w:r>
              <w:t xml:space="preserve">ESV(s) to cover all new single-chip environments </w:t>
            </w:r>
            <w:r>
              <w:rPr>
                <w:b/>
                <w:bCs/>
                <w:color w:val="FF0000"/>
              </w:rPr>
              <w:t xml:space="preserve">shall</w:t>
            </w:r>
            <w:r>
              <w:rPr>
                <w:color w:val="FF0000"/>
              </w:rPr>
              <w:t xml:space="preserve"> </w:t>
            </w:r>
            <w:r>
              <w:t xml:space="preserve">be submitted and validated separately prior to submission</w:t>
            </w:r>
            <w:r>
              <w:rPr>
                <w:color w:val="000000"/>
              </w:rPr>
              <w:t xml:space="preserve">;</w:t>
            </w:r>
          </w:p>
          <w:p w14:paraId="0916A7E6">
            <w:pPr>
              <w:spacing w:before="120" w:after="120" w:line="240" w:lineRule="auto"/>
            </w:pPr>
            <w:r>
              <w:rPr>
                <w:b/>
                <w:bCs/>
              </w:rPr>
              <w:t xml:space="preserve">Note 1</w:t>
            </w:r>
            <w:r>
              <w:t xml:space="preserve">: An ESV may not be required, if the entropy is collected outside the sub-chip cryptographic subsystem, depending on changes to the entropy source or the subsystem housing it. Please refer to IG 9.3.A and IG D.J for details on applicable caveats and entropy estimates. </w:t>
            </w:r>
          </w:p>
          <w:p w14:paraId="0B7E845D">
            <w:pPr>
              <w:spacing w:before="120" w:after="120" w:line="240" w:lineRule="auto"/>
            </w:pPr>
            <w:r>
              <w:rPr>
                <w:b/>
                <w:bCs/>
              </w:rPr>
              <w:t xml:space="preserve">Note 2</w:t>
            </w:r>
            <w:r>
              <w:t xml:space="preserve">: Single chip embodiments may implement an ESV or a DRBG linked to a dedicated entropy source inside the physical boundary. Such cases may be implemented (a) inside the sub-chip cryptographic subsystem or (b) in two or more sub-chip cryptographic subsystems. The case (b) represents multiple disjoint sub-chip cryptographic subsystems (see Resolution 3 of IG 2.3.B).</w:t>
            </w:r>
          </w:p>
        </w:tc>
        <w:tc>
          <w:tcPr>
            <w:tcW w:type="dxa" w:w="4675"/>
          </w:tcPr>
          <w:p w14:paraId="0FA8A700">
            <w:pPr>
              <w:spacing w:before="120" w:after="120" w:line="240" w:lineRule="auto"/>
            </w:pPr>
          </w:p>
        </w:tc>
      </w:tr>
      <w:tr>
        <w:tc>
          <w:tcPr>
            <w:tcW w:type="dxa" w:w="4675"/>
          </w:tcPr>
          <w:p w14:paraId="6A3E473A">
            <w:pPr>
              <w:spacing w:before="120" w:after="120" w:line="240" w:lineRule="auto"/>
              <w:rPr>
                <w:color w:val="000000"/>
              </w:rPr>
            </w:pPr>
            <w:r>
              <w:rPr>
                <w:color w:val="000000"/>
              </w:rPr>
              <w:t xml:space="preserve">Approved security functions </w:t>
            </w:r>
            <w:r>
              <w:rPr>
                <w:b/>
                <w:bCs/>
                <w:color w:val="FF0000"/>
              </w:rPr>
              <w:t xml:space="preserve">shall</w:t>
            </w:r>
            <w:r>
              <w:rPr>
                <w:color w:val="000000"/>
              </w:rPr>
              <w:t xml:space="preserve"> be retested and validated by the CAVP if implemented in a soft circuitry core recompiled in a different part configuration. </w:t>
            </w:r>
          </w:p>
          <w:p w14:paraId="18BC7E9B">
            <w:pPr>
              <w:spacing w:before="120" w:after="120" w:line="240" w:lineRule="auto"/>
            </w:pPr>
            <w:r>
              <w:rPr>
                <w:b/>
                <w:bCs/>
                <w:color w:val="000000"/>
              </w:rPr>
              <w:t xml:space="preserve">Note 3</w:t>
            </w:r>
            <w:r>
              <w:rPr>
                <w:color w:val="000000"/>
              </w:rPr>
              <w:t xml:space="preserve">: If the original algorithm testing was performed as stated in the </w:t>
            </w:r>
            <w:hyperlink r:id="rIdLink5">
              <w:r>
                <w:rPr>
                  <w:rStyle w:val="Hyperlink"/>
                  <w:u w:val="single"/>
                  <w:color w:val="0000FF"/>
                </w:rPr>
                <w:t xml:space="preserve">Management Manual</w:t>
              </w:r>
            </w:hyperlink>
            <w:r>
              <w:t xml:space="preserve"> Section 7.3 – </w:t>
            </w:r>
            <w:r>
              <w:rPr>
                <w:i/>
                <w:iCs/>
              </w:rPr>
              <w:t xml:space="preserve">Testing using Emulators and Simulators</w:t>
            </w:r>
            <w:r>
              <w:rPr>
                <w:color w:val="000000"/>
              </w:rPr>
              <w:t xml:space="preserve"> in a module simulator, and there is no change to the soft-core, no additional algorithm testing is required.</w:t>
            </w:r>
          </w:p>
        </w:tc>
        <w:tc>
          <w:tcPr>
            <w:tcW w:type="dxa" w:w="4675"/>
          </w:tcPr>
          <w:p w14:paraId="1251CD7D">
            <w:pPr>
              <w:spacing w:before="120" w:after="120" w:line="240" w:lineRule="auto"/>
            </w:pPr>
          </w:p>
        </w:tc>
      </w:tr>
      <w:tr>
        <w:tc>
          <w:tcPr>
            <w:tcW w:type="dxa" w:w="4675"/>
          </w:tcPr>
          <w:p w14:paraId="1F8B6CCD">
            <w:pPr>
              <w:spacing w:before="120" w:after="120" w:line="240" w:lineRule="auto"/>
            </w:pPr>
            <w:r>
              <w:rPr>
                <w:color w:val="000000"/>
              </w:rPr>
              <w:t xml:space="preserve">Full regression testing (see FIPS 140-3 </w:t>
            </w:r>
            <w:hyperlink r:id="rIdLink4">
              <w:r>
                <w:rPr>
                  <w:rStyle w:val="Hyperlink"/>
                  <w:u w:val="single"/>
                  <w:color w:val="0000FF"/>
                </w:rPr>
                <w:t xml:space="preserve">Resources page</w:t>
              </w:r>
            </w:hyperlink>
            <w:r>
              <w:rPr>
                <w:color w:val="000000"/>
              </w:rPr>
              <w:t xml:space="preserve">) </w:t>
            </w:r>
            <w:r>
              <w:rPr>
                <w:b/>
                <w:bCs/>
                <w:color w:val="FF0000"/>
              </w:rPr>
              <w:t xml:space="preserve">shall</w:t>
            </w:r>
            <w:r>
              <w:rPr>
                <w:color w:val="000000"/>
              </w:rPr>
              <w:t xml:space="preserve"> be performed on the new sub-chip cryptographic subsystem after fabrication (transformation of the HDL to a gate or physical circuitry representation);</w:t>
            </w:r>
          </w:p>
        </w:tc>
        <w:tc>
          <w:tcPr>
            <w:tcW w:type="dxa" w:w="4675"/>
          </w:tcPr>
          <w:p w14:paraId="42D9ADF1">
            <w:pPr>
              <w:spacing w:before="120" w:after="120" w:line="240" w:lineRule="auto"/>
            </w:pPr>
          </w:p>
        </w:tc>
      </w:tr>
      <w:tr>
        <w:tc>
          <w:tcPr>
            <w:tcW w:type="dxa" w:w="4675"/>
          </w:tcPr>
          <w:p w14:paraId="66C4AB10">
            <w:pPr>
              <w:spacing w:before="120" w:after="120" w:line="240" w:lineRule="auto"/>
            </w:pPr>
            <w:r>
              <w:rPr>
                <w:rFonts w:eastAsia="Calibri"/>
                <w:b/>
                <w:bCs/>
              </w:rPr>
              <w:t xml:space="preserve">ISO/IEC 19790:2012</w:t>
            </w:r>
            <w:r>
              <w:rPr>
                <w:rFonts w:eastAsia="Calibri"/>
              </w:rPr>
              <w:t xml:space="preserve"> Section 7.3 </w:t>
            </w:r>
            <w:r>
              <w:rPr>
                <w:b/>
                <w:bCs/>
                <w:color w:val="FF0000"/>
              </w:rPr>
              <w:t xml:space="preserve">shall </w:t>
            </w:r>
            <w:r>
              <w:rPr>
                <w:color w:val="000000"/>
              </w:rPr>
              <w:t xml:space="preserve">be addressed for the new single-chip module for all Security Levels within this Section.</w:t>
            </w:r>
          </w:p>
        </w:tc>
        <w:tc>
          <w:tcPr>
            <w:tcW w:type="dxa" w:w="4675"/>
          </w:tcPr>
          <w:p w14:paraId="21E361A7">
            <w:pPr>
              <w:spacing w:before="120" w:after="120" w:line="240" w:lineRule="auto"/>
            </w:pPr>
          </w:p>
        </w:tc>
      </w:tr>
      <w:tr>
        <w:tc>
          <w:tcPr>
            <w:tcW w:type="dxa" w:w="4675"/>
          </w:tcPr>
          <w:p w14:paraId="5E92C370">
            <w:pPr>
              <w:spacing w:before="120" w:after="120" w:line="240" w:lineRule="auto"/>
            </w:pPr>
            <w:r>
              <w:rPr>
                <w:rFonts w:eastAsia="Calibri"/>
                <w:b/>
                <w:bCs/>
              </w:rPr>
              <w:t xml:space="preserve">ISO/IEC 19790:2012</w:t>
            </w:r>
            <w:r>
              <w:rPr>
                <w:rFonts w:eastAsia="Calibri"/>
              </w:rPr>
              <w:t xml:space="preserve"> Section 7.7</w:t>
            </w:r>
            <w:r>
              <w:rPr>
                <w:rFonts w:eastAsia="Calibri"/>
                <w:color w:val="0000FF"/>
              </w:rPr>
              <w:t xml:space="preserve"> </w:t>
            </w:r>
            <w:r>
              <w:rPr>
                <w:b/>
                <w:bCs/>
                <w:color w:val="FF0000"/>
              </w:rPr>
              <w:t xml:space="preserve">shall </w:t>
            </w:r>
            <w:r>
              <w:rPr>
                <w:color w:val="000000"/>
              </w:rPr>
              <w:t xml:space="preserve">be addressed for the new single-chip module at Security Level 1. </w:t>
            </w:r>
          </w:p>
        </w:tc>
        <w:tc>
          <w:tcPr>
            <w:tcW w:type="dxa" w:w="4675"/>
          </w:tcPr>
          <w:p w14:paraId="3F608285">
            <w:pPr>
              <w:spacing w:before="120" w:after="120" w:line="240" w:lineRule="auto"/>
            </w:pPr>
          </w:p>
        </w:tc>
      </w:tr>
      <w:tr>
        <w:tc>
          <w:tcPr>
            <w:tcW w:type="dxa" w:w="4675"/>
          </w:tcPr>
          <w:p w14:paraId="19FC4260">
            <w:pPr>
              <w:spacing w:before="120" w:after="120" w:line="240" w:lineRule="auto"/>
            </w:pPr>
            <w:r>
              <w:rPr>
                <w:b/>
                <w:bCs/>
              </w:rPr>
              <w:t xml:space="preserve">ISO/IEC 19790:2012</w:t>
            </w:r>
            <w:r>
              <w:t xml:space="preserve"> </w:t>
            </w:r>
            <w:r>
              <w:rPr>
                <w:rFonts w:eastAsia="Calibri"/>
              </w:rPr>
              <w:t xml:space="preserve">Sections </w:t>
            </w:r>
            <w:r>
              <w:t xml:space="preserve">7.11.2 and 7.11.9 </w:t>
            </w:r>
            <w:r>
              <w:rPr>
                <w:b/>
                <w:bCs/>
                <w:color w:val="FF0000"/>
              </w:rPr>
              <w:t xml:space="preserve">shall </w:t>
            </w:r>
            <w:r>
              <w:rPr>
                <w:color w:val="000000"/>
              </w:rPr>
              <w:t xml:space="preserve">be addressed for the new single-chip module for all Security Levels within this Section.</w:t>
            </w:r>
          </w:p>
        </w:tc>
        <w:tc>
          <w:tcPr>
            <w:tcW w:type="dxa" w:w="4675"/>
          </w:tcPr>
          <w:p w14:paraId="7D8B2C72">
            <w:pPr>
              <w:spacing w:before="120" w:after="120" w:line="240" w:lineRule="auto"/>
            </w:pPr>
          </w:p>
        </w:tc>
      </w:tr>
      <w:tr>
        <w:tc>
          <w:tcPr>
            <w:tcW w:type="dxa" w:w="4675"/>
          </w:tcPr>
          <w:p w14:paraId="3343DC14">
            <w:pPr>
              <w:spacing w:before="120" w:after="120" w:line="240" w:lineRule="auto"/>
            </w:pPr>
            <w:r>
              <w:rPr>
                <w:color w:val="000000"/>
              </w:rPr>
              <w:t xml:space="preserve">A new Security Policy </w:t>
            </w:r>
            <w:r>
              <w:rPr>
                <w:b/>
                <w:bCs/>
                <w:color w:val="FF0000"/>
              </w:rPr>
              <w:t xml:space="preserve">shall</w:t>
            </w:r>
            <w:r>
              <w:rPr>
                <w:color w:val="000000"/>
              </w:rPr>
              <w:t xml:space="preserve"> be provided for the new single-chip module. </w:t>
            </w:r>
          </w:p>
        </w:tc>
        <w:tc>
          <w:tcPr>
            <w:tcW w:type="dxa" w:w="4675"/>
          </w:tcPr>
          <w:p w14:paraId="4D5EB0B9">
            <w:pPr>
              <w:spacing w:before="120" w:after="120" w:line="240" w:lineRule="auto"/>
            </w:pPr>
          </w:p>
        </w:tc>
      </w:tr>
      <w:tr>
        <w:tc>
          <w:tcPr>
            <w:tcW w:type="dxa" w:w="4675"/>
          </w:tcPr>
          <w:p w14:paraId="0368219E">
            <w:pPr>
              <w:spacing w:before="120" w:after="120" w:line="240" w:lineRule="auto"/>
              <w:rPr>
                <w:color w:val="000000"/>
              </w:rPr>
            </w:pPr>
            <w:r>
              <w:rPr>
                <w:color w:val="000000"/>
              </w:rPr>
              <w:t xml:space="preserve">Versioning information on the new certificate </w:t>
            </w:r>
            <w:r>
              <w:rPr>
                <w:b/>
                <w:bCs/>
                <w:color w:val="FF0000"/>
              </w:rPr>
              <w:t xml:space="preserve">shall</w:t>
            </w:r>
            <w:r>
              <w:rPr>
                <w:color w:val="FF0000"/>
              </w:rPr>
              <w:t xml:space="preserve"> </w:t>
            </w:r>
            <w:r>
              <w:rPr>
                <w:color w:val="000000"/>
              </w:rPr>
              <w:t xml:space="preserve">be provided for:</w:t>
            </w:r>
          </w:p>
          <w:p w14:paraId="4A7D9322">
            <w:pPr>
              <w:pStyle w:val="ListParagraph"/>
              <w:numPr>
                <w:ilvl w:val="0"/>
                <w:numId w:val="15"/>
              </w:numPr>
              <w:spacing w:before="120" w:after="120" w:line="240" w:lineRule="auto"/>
            </w:pPr>
            <w:r>
              <w:t xml:space="preserve">the new physical single-chip,</w:t>
            </w:r>
          </w:p>
          <w:p w14:paraId="4E826601">
            <w:pPr>
              <w:pStyle w:val="ListParagraph"/>
              <w:numPr>
                <w:ilvl w:val="0"/>
                <w:numId w:val="15"/>
              </w:numPr>
              <w:spacing w:before="120" w:after="120" w:line="240" w:lineRule="auto"/>
            </w:pPr>
            <w:r>
              <w:t xml:space="preserve">non-security relevant single-chip functional subsystem firmware if applicable, </w:t>
            </w:r>
          </w:p>
          <w:p w14:paraId="7B90085B">
            <w:pPr>
              <w:pStyle w:val="ListParagraph"/>
              <w:numPr>
                <w:ilvl w:val="0"/>
                <w:numId w:val="15"/>
              </w:numPr>
              <w:spacing w:before="120" w:after="120" w:line="240" w:lineRule="auto"/>
            </w:pPr>
            <w:r>
              <w:t xml:space="preserve">the sub-chip cryptographic subsystem soft and hard circuitry cores (which are unchanged from the original validation), and</w:t>
            </w:r>
          </w:p>
          <w:p w14:paraId="7837F05A">
            <w:pPr>
              <w:pStyle w:val="ListParagraph"/>
              <w:numPr>
                <w:ilvl w:val="0"/>
                <w:numId w:val="11"/>
              </w:numPr>
              <w:spacing w:before="120" w:after="120" w:line="240" w:lineRule="auto"/>
            </w:pPr>
            <w:r>
              <w:t xml:space="preserve">the associated firmware.</w:t>
            </w:r>
          </w:p>
        </w:tc>
        <w:tc>
          <w:tcPr>
            <w:tcW w:type="dxa" w:w="4675"/>
          </w:tcPr>
          <w:p w14:paraId="150CB046">
            <w:pPr>
              <w:spacing w:before="120" w:after="120" w:line="240" w:lineRule="auto"/>
            </w:pPr>
          </w:p>
        </w:tc>
      </w:tr>
      <w:tr>
        <w:tc>
          <w:tcPr>
            <w:tcW w:type="dxa" w:w="4675"/>
          </w:tcPr>
          <w:p w14:paraId="2EB4965D">
            <w:pPr>
              <w:spacing w:before="120" w:after="120" w:line="240" w:lineRule="auto"/>
              <w:rPr>
                <w:color w:val="000000"/>
              </w:rPr>
            </w:pPr>
            <w:r>
              <w:rPr>
                <w:color w:val="000000"/>
              </w:rPr>
              <w:t xml:space="preserve">The only time code changes are allowed as part of an PTSC is if they are non-security relevant and necessary to correctly run the module on the new/modified single chip environment (e.g., compilation flags or configuration options that need to be updated). No other changes are permitted (even to incorporate other non-security relevant changes such as bug fixes).  </w:t>
            </w:r>
          </w:p>
        </w:tc>
        <w:tc>
          <w:tcPr>
            <w:tcW w:type="dxa" w:w="4675"/>
          </w:tcPr>
          <w:p w14:paraId="60F929E0">
            <w:pPr>
              <w:spacing w:before="120" w:after="120" w:line="240" w:lineRule="auto"/>
            </w:pPr>
          </w:p>
        </w:tc>
      </w:tr>
    </w:tbl>
    <w:p w14:paraId="713DEFA7">
      <w:pPr>
        <w:spacing w:before="120" w:after="120" w:line="240" w:lineRule="auto"/>
        <w:rPr>
          <w:rFonts w:ascii="Times New Roman" w:hAnsi="Times New Roman" w:cs="Times New Roman" w:eastAsia="Times New Roman"/>
          <w:sz w:val="20"/>
          <w:szCs w:val="20"/>
        </w:rPr>
      </w:pPr>
    </w:p>
    <w:p w14:paraId="12906876">
      <w:pPr>
        <w:spacing w:after="160" w:line="259" w:lineRule="auto"/>
        <w:rPr>
          <w:rFonts w:ascii="Calibri Light" w:hAnsi="Calibri Light" w:cs="Calibri Light" w:eastAsia="Times New Roman"/>
          <w:color w:val="2F5496"/>
          <w:sz w:val="26"/>
          <w:szCs w:val="26"/>
        </w:rPr>
      </w:pPr>
      <w:r>
        <w:rPr>
          <w:rFonts w:eastAsia="Times New Roman"/>
        </w:rPr>
        <w:br w:type="page"/>
      </w:r>
    </w:p>
    <w:p w14:paraId="3F86483D">
      <w:pPr>
        <w:pStyle w:val="Heading2"/>
        <w:keepNext/>
        <w:keepLines/>
        <w:numPr>
          <w:ilvl w:val="1"/>
          <w:numId w:val="12"/>
        </w:numPr>
        <w:spacing w:before="120" w:after="120" w:line="240" w:lineRule="auto"/>
        <w:rPr>
          <w:rFonts w:eastAsia="Times New Roman"/>
        </w:rPr>
      </w:pPr>
      <w:bookmarkStart w:id="100011" w:name="_Toc226628117"/>
      <w:bookmarkEnd w:id="100011"/>
      <w:r>
        <w:rPr>
          <w:rFonts w:eastAsia="Times New Roman"/>
        </w:rPr>
        <w:t xml:space="preserve">UPDT (MM 7.1.10)</w:t>
      </w:r>
    </w:p>
    <w:p w14:paraId="39A11679">
      <w:pPr>
        <w:spacing w:after="160" w:line="259" w:lineRule="auto"/>
        <w:rPr>
          <w:rFonts w:ascii="Times New Roman" w:hAnsi="Times New Roman" w:cs="Times New Roman" w:eastAsia="Times New Roman"/>
          <w:sz w:val="20"/>
          <w:szCs w:val="20"/>
        </w:rPr>
      </w:pPr>
      <w:r>
        <w:rPr>
          <w:rFonts w:ascii="Times New Roman" w:hAnsi="Times New Roman" w:cs="Times New Roman" w:eastAsia="Times New Roman"/>
          <w:sz w:val="20"/>
          <w:szCs w:val="20"/>
          <w:lang w:val="en"/>
        </w:rPr>
        <w:t xml:space="preserve">Modifications are made to hardware, software or firmware components </w:t>
      </w:r>
      <w:r>
        <w:rPr>
          <w:rFonts w:ascii="Times New Roman" w:hAnsi="Times New Roman" w:cs="Times New Roman" w:eastAsia="Times New Roman"/>
          <w:b/>
          <w:bCs/>
          <w:sz w:val="20"/>
          <w:szCs w:val="20"/>
          <w:lang w:val="en"/>
        </w:rPr>
        <w:t xml:space="preserve">that affect some of the FIPS 140-3 </w:t>
      </w:r>
      <w:r>
        <w:rPr>
          <w:rFonts w:ascii="Times New Roman" w:hAnsi="Times New Roman" w:cs="Times New Roman" w:eastAsia="Times New Roman"/>
          <w:b/>
          <w:bCs/>
          <w:sz w:val="20"/>
          <w:szCs w:val="20"/>
        </w:rPr>
        <w:t xml:space="preserve">security relevant items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lang w:val="en"/>
        </w:rPr>
        <w:t xml:space="preserve">Per </w:t>
      </w:r>
      <w:hyperlink r:id="rIdLink1">
        <w:r>
          <w:rPr>
            <w:rStyle w:val="Hyperlink"/>
            <w:rFonts w:ascii="Times New Roman" w:hAnsi="Times New Roman" w:cs="Times New Roman" w:eastAsia="Times New Roman"/>
            <w:u w:val="single"/>
            <w:color w:val="0000FF"/>
            <w:sz w:val="20"/>
            <w:szCs w:val="20"/>
            <w:lang w:val="en"/>
          </w:rPr>
          <w:t xml:space="preserve">IG 2.4.A</w:t>
        </w:r>
      </w:hyperlink>
      <w:r>
        <w:rPr>
          <w:rFonts w:ascii="Times New Roman" w:hAnsi="Times New Roman" w:cs="Times New Roman" w:eastAsia="Times New Roman"/>
          <w:sz w:val="20"/>
          <w:szCs w:val="20"/>
          <w:lang w:val="en"/>
        </w:rPr>
        <w:t xml:space="preserve">, “the term </w:t>
      </w:r>
      <w:r>
        <w:rPr>
          <w:rFonts w:ascii="Times New Roman" w:hAnsi="Times New Roman" w:cs="Times New Roman" w:eastAsia="Times New Roman"/>
          <w:i/>
          <w:iCs/>
          <w:sz w:val="20"/>
          <w:szCs w:val="20"/>
          <w:lang w:val="en"/>
        </w:rPr>
        <w:t xml:space="preserve">security</w:t>
      </w:r>
      <w:r>
        <w:rPr>
          <w:rFonts w:ascii="Times New Roman" w:hAnsi="Times New Roman" w:cs="Times New Roman" w:eastAsia="Times New Roman"/>
          <w:sz w:val="20"/>
          <w:szCs w:val="20"/>
          <w:lang w:val="en"/>
        </w:rPr>
        <w:t xml:space="preserve"> is not defined in the Terms and Definitions, but, within the scope of FIPS 140-3, is determined based on the Section 6 Functional Security Objectives, and the specific Section 7 Security Requirements derived from those objectives. </w:t>
      </w:r>
      <w:r>
        <w:rPr>
          <w:rFonts w:ascii="Times New Roman" w:hAnsi="Times New Roman" w:cs="Times New Roman" w:eastAsia="Times New Roman"/>
          <w:sz w:val="20"/>
          <w:szCs w:val="20"/>
        </w:rPr>
        <w:t xml:space="preserve">An updated cryptographic module can be considered in this scenario if less than a 30% of security changes were made to the module. </w:t>
      </w:r>
    </w:p>
    <w:p w14:paraId="6D431D56">
      <w:pPr>
        <w:spacing w:after="160" w:line="259" w:lineRule="auto"/>
        <w:rPr>
          <w:rFonts w:ascii="Times New Roman" w:hAnsi="Times New Roman" w:cs="Times New Roman"/>
          <w:sz w:val="20"/>
          <w:szCs w:val="20"/>
        </w:rPr>
      </w:pPr>
      <w:r>
        <w:rPr>
          <w:rFonts w:ascii="Times New Roman" w:hAnsi="Times New Roman" w:cs="Times New Roman"/>
          <w:sz w:val="20"/>
          <w:szCs w:val="20"/>
        </w:rPr>
        <w:t xml:space="preserve">The CSTL is responsible for identifying the documentation that is needed to determine whether a revalidation is sufficient, and the vendor is responsible for submitting the requested documentation to the CSTL. Documentation may include a previous validation report and applicable CMVP rulings, design documentation, source code, source code difference evidence, FSM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1D8E17B1">
            <w:pPr>
              <w:spacing w:before="120" w:after="120" w:line="240" w:lineRule="auto"/>
              <w:rPr>
                <w:b/>
                <w:bCs/>
              </w:rPr>
            </w:pPr>
            <w:r>
              <w:rPr>
                <w:b/>
                <w:bCs/>
              </w:rPr>
              <w:t xml:space="preserve">Requirement</w:t>
            </w:r>
          </w:p>
        </w:tc>
        <w:tc>
          <w:tcPr>
            <w:tcW w:type="dxa" w:w="4675"/>
            <w:shd w:val="clear" w:color="auto" w:fill="E7E6E6"/>
          </w:tcPr>
          <w:p w14:paraId="6F2F985F">
            <w:pPr>
              <w:spacing w:before="120" w:after="120" w:line="240" w:lineRule="auto"/>
              <w:rPr>
                <w:b/>
                <w:bCs/>
              </w:rPr>
            </w:pPr>
            <w:r>
              <w:rPr>
                <w:b/>
                <w:bCs/>
              </w:rPr>
              <w:t xml:space="preserve">CSTL Compliance evidence / justification</w:t>
            </w:r>
          </w:p>
        </w:tc>
      </w:tr>
      <w:tr>
        <w:tc>
          <w:tcPr>
            <w:tcW w:type="dxa" w:w="4675"/>
          </w:tcPr>
          <w:p w14:paraId="2AE2A88A">
            <w:pPr>
              <w:spacing w:before="120" w:after="120" w:line="240" w:lineRule="auto"/>
            </w:pPr>
            <w:r>
              <w:t xml:space="preserve">The CSTL </w:t>
            </w:r>
            <w:r>
              <w:rPr>
                <w:b/>
                <w:bCs/>
                <w:color w:val="FF0000"/>
              </w:rPr>
              <w:t xml:space="preserve">shall</w:t>
            </w:r>
            <w:r>
              <w:rPr>
                <w:color w:val="FF0000"/>
              </w:rPr>
              <w:t xml:space="preserve"> </w:t>
            </w:r>
            <w:r>
              <w:t xml:space="preserve">provide a summary of the changes and rationale of why this meets the &lt;30% guideline.  The CMVP upon review, may determine that the changes are &gt;30% and </w:t>
            </w:r>
            <w:r>
              <w:rPr>
                <w:b/>
                <w:bCs/>
                <w:color w:val="FF0000"/>
              </w:rPr>
              <w:t xml:space="preserve">shall</w:t>
            </w:r>
            <w:r>
              <w:t xml:space="preserve"> be submitted as an FS.</w:t>
            </w:r>
          </w:p>
          <w:p w14:paraId="53B42305">
            <w:pPr>
              <w:spacing w:before="120" w:after="120" w:line="240" w:lineRule="auto"/>
            </w:pPr>
            <w:r>
              <w:t xml:space="preserve">Security changes include impacts to: approved / allowed security functions/algorithms, SSPs, approved security services, self-tests, and security states within the FSM.  None of these, assessed individually, can exceed 30% of changes.  The individual ratios for each of these </w:t>
            </w:r>
            <w:r>
              <w:rPr>
                <w:b/>
                <w:bCs/>
                <w:color w:val="FF0000"/>
              </w:rPr>
              <w:t xml:space="preserve">shall</w:t>
            </w:r>
            <w:r>
              <w:rPr>
                <w:color w:val="FF0000"/>
              </w:rPr>
              <w:t xml:space="preserve"> </w:t>
            </w:r>
            <w:r>
              <w:t xml:space="preserve">be provided to the CMVP within the Change Document (e.g., 2 changes to approved security services out of 10 total results in 20% change). </w:t>
            </w:r>
          </w:p>
        </w:tc>
        <w:tc>
          <w:tcPr>
            <w:tcW w:type="dxa" w:w="4675"/>
          </w:tcPr>
          <w:p w14:paraId="40B064F6">
            <w:pPr>
              <w:spacing w:before="120" w:after="120" w:line="240" w:lineRule="auto"/>
            </w:pPr>
          </w:p>
        </w:tc>
      </w:tr>
      <w:tr>
        <w:tc>
          <w:tcPr>
            <w:tcW w:type="dxa" w:w="4675"/>
          </w:tcPr>
          <w:p w14:paraId="7DB20125">
            <w:pPr>
              <w:spacing w:before="120" w:after="120" w:line="240" w:lineRule="auto"/>
            </w:pPr>
            <w:r>
              <w:t xml:space="preserve">Review and independently verify the accuracy of the vendor-supplied documentation and identify any additional documentation necessary to confirm the applicability of this revalidation scenario.</w:t>
            </w:r>
          </w:p>
        </w:tc>
        <w:tc>
          <w:tcPr>
            <w:tcW w:type="dxa" w:w="4675"/>
          </w:tcPr>
          <w:p w14:paraId="30E2F5D5">
            <w:pPr>
              <w:spacing w:before="120" w:after="120" w:line="240" w:lineRule="auto"/>
            </w:pPr>
          </w:p>
        </w:tc>
      </w:tr>
      <w:tr>
        <w:tc>
          <w:tcPr>
            <w:tcW w:type="dxa" w:w="4675"/>
          </w:tcPr>
          <w:p w14:paraId="772AB586">
            <w:pPr>
              <w:spacing w:before="120" w:after="120" w:line="240" w:lineRule="auto"/>
              <w:rPr>
                <w:rFonts w:eastAsia="Calibri"/>
                <w:color w:val="000000"/>
              </w:rPr>
            </w:pPr>
            <w:r>
              <w:rPr>
                <w:rFonts w:eastAsia="Calibri"/>
              </w:rPr>
              <w:t xml:space="preserve">Identify the assertions affected </w:t>
            </w:r>
            <w:r>
              <w:t xml:space="preserve">by the modification </w:t>
            </w:r>
            <w:r>
              <w:rPr>
                <w:rFonts w:eastAsia="Calibri"/>
              </w:rPr>
              <w:t xml:space="preserve">and </w:t>
            </w:r>
            <w:r>
              <w:rPr>
                <w:rFonts w:eastAsia="Calibri"/>
                <w:b/>
                <w:bCs/>
                <w:color w:val="FF0000"/>
              </w:rPr>
              <w:t xml:space="preserve">shall</w:t>
            </w:r>
            <w:r>
              <w:rPr>
                <w:rFonts w:eastAsia="Calibri"/>
              </w:rPr>
              <w:t xml:space="preserve"> perform the tests associated with those assertions.  This will require the CSTL to: </w:t>
            </w:r>
          </w:p>
          <w:p w14:paraId="3C82C732">
            <w:pPr>
              <w:numPr>
                <w:ilvl w:val="0"/>
                <w:numId w:val="16"/>
              </w:numPr>
              <w:spacing w:before="120" w:after="120" w:line="240" w:lineRule="auto"/>
              <w:rPr>
                <w:rFonts w:eastAsia="Calibri"/>
              </w:rPr>
            </w:pPr>
            <w:r>
              <w:rPr>
                <w:rFonts w:eastAsia="Calibri"/>
              </w:rPr>
              <w:t xml:space="preserve">Review the COMPLETE list of assertions applicable to the module, </w:t>
            </w:r>
          </w:p>
          <w:p w14:paraId="0020AA33">
            <w:pPr>
              <w:numPr>
                <w:ilvl w:val="0"/>
                <w:numId w:val="16"/>
              </w:numPr>
              <w:spacing w:before="120" w:after="120" w:line="240" w:lineRule="auto"/>
              <w:rPr>
                <w:rFonts w:eastAsia="Calibri"/>
              </w:rPr>
            </w:pPr>
            <w:r>
              <w:rPr>
                <w:rFonts w:eastAsia="Calibri"/>
              </w:rPr>
              <w:t xml:space="preserve">Identify, from the previous validation report, the assertions that have been affected by the modification, </w:t>
            </w:r>
          </w:p>
          <w:p w14:paraId="002E22A0">
            <w:pPr>
              <w:numPr>
                <w:ilvl w:val="0"/>
                <w:numId w:val="16"/>
              </w:numPr>
              <w:spacing w:before="120" w:after="120" w:line="240" w:lineRule="auto"/>
              <w:rPr>
                <w:rFonts w:eastAsia="Calibri"/>
              </w:rPr>
            </w:pPr>
            <w:r>
              <w:rPr>
                <w:rFonts w:eastAsia="Calibri"/>
              </w:rPr>
              <w:t xml:space="preserve">Identify additional assertions that were NOT previously tested but should now be tested due to the modification, and </w:t>
            </w:r>
          </w:p>
          <w:p w14:paraId="04F2FB2B">
            <w:pPr>
              <w:numPr>
                <w:ilvl w:val="0"/>
                <w:numId w:val="16"/>
              </w:numPr>
              <w:spacing w:before="120" w:after="120" w:line="240" w:lineRule="auto"/>
              <w:rPr>
                <w:rFonts w:eastAsia="Calibri"/>
              </w:rPr>
            </w:pPr>
            <w:r>
              <w:rPr>
                <w:rFonts w:eastAsia="Calibri"/>
              </w:rPr>
              <w:t xml:space="preserve">Review assertions where specific Implementation Guidance (IG) was provided to confirm that the module meets all current applicable IGs.</w:t>
            </w:r>
          </w:p>
          <w:p w14:paraId="3E5C5EB6">
            <w:pPr>
              <w:spacing w:before="120" w:after="120" w:line="240" w:lineRule="auto"/>
              <w:rPr>
                <w:rFonts w:eastAsia="Calibri"/>
              </w:rPr>
            </w:pPr>
          </w:p>
        </w:tc>
        <w:tc>
          <w:tcPr>
            <w:tcW w:type="dxa" w:w="4675"/>
          </w:tcPr>
          <w:p w14:paraId="78AA5311">
            <w:pPr>
              <w:spacing w:before="120" w:after="120" w:line="240" w:lineRule="auto"/>
            </w:pPr>
          </w:p>
        </w:tc>
      </w:tr>
      <w:tr>
        <w:tc>
          <w:tcPr>
            <w:tcW w:type="dxa" w:w="4675"/>
          </w:tcPr>
          <w:p w14:paraId="61EDC925">
            <w:pPr>
              <w:spacing w:before="120" w:after="120" w:line="240" w:lineRule="auto"/>
            </w:pPr>
            <w:r>
              <w:rPr>
                <w:color w:val="000000"/>
              </w:rPr>
              <w:t xml:space="preserve">In addition to the tests performed against the affected assertions, the </w:t>
            </w:r>
            <w:r>
              <w:rPr>
                <w:lang w:val="en"/>
              </w:rPr>
              <w:t xml:space="preserve">CSTL </w:t>
            </w:r>
            <w:r>
              <w:rPr>
                <w:b/>
                <w:bCs/>
                <w:color w:val="FF0000"/>
                <w:lang w:val="en"/>
              </w:rPr>
              <w:t xml:space="preserve">shall</w:t>
            </w:r>
            <w:r>
              <w:rPr>
                <w:color w:val="FF0000"/>
                <w:lang w:val="en"/>
              </w:rPr>
              <w:t xml:space="preserve"> </w:t>
            </w:r>
            <w:r>
              <w:rPr>
                <w:lang w:val="en"/>
              </w:rPr>
              <w:t xml:space="preserve">perform the regression test suite shown on the </w:t>
            </w:r>
            <w:hyperlink r:id="rIdLink4">
              <w:r>
                <w:rPr>
                  <w:rStyle w:val="Hyperlink"/>
                  <w:u w:val="single"/>
                  <w:color w:val="0000FF"/>
                  <w:lang w:val="en"/>
                </w:rPr>
                <w:t xml:space="preserve">CMVP website</w:t>
              </w:r>
            </w:hyperlink>
            <w:r>
              <w:rPr>
                <w:lang w:val="en"/>
              </w:rPr>
              <w:t xml:space="preserve">.</w:t>
            </w:r>
          </w:p>
        </w:tc>
        <w:tc>
          <w:tcPr>
            <w:tcW w:type="dxa" w:w="4675"/>
          </w:tcPr>
          <w:p w14:paraId="7A4A84A7">
            <w:pPr>
              <w:spacing w:before="120" w:after="120" w:line="240" w:lineRule="auto"/>
            </w:pPr>
          </w:p>
        </w:tc>
      </w:tr>
      <w:tr>
        <w:tc>
          <w:tcPr>
            <w:tcW w:type="dxa" w:w="4675"/>
          </w:tcPr>
          <w:p w14:paraId="29AACE64">
            <w:pPr>
              <w:spacing w:before="120" w:after="120" w:line="240" w:lineRule="auto"/>
              <w:rPr>
                <w:rFonts w:eastAsia="Calibri"/>
              </w:rPr>
            </w:pPr>
            <w:r>
              <w:t xml:space="preserve">The UPDT can also be used to for resetting the module’s sunset date when a module has </w:t>
            </w:r>
            <w:r>
              <w:rPr>
                <w:u w:val="single"/>
              </w:rPr>
              <w:t xml:space="preserve">not</w:t>
            </w:r>
            <w:r>
              <w:t xml:space="preserve"> changed, provided the above requirements are met.</w:t>
            </w:r>
          </w:p>
        </w:tc>
        <w:tc>
          <w:tcPr>
            <w:tcW w:type="dxa" w:w="4675"/>
          </w:tcPr>
          <w:p w14:paraId="18BCA0C8">
            <w:pPr>
              <w:spacing w:before="120" w:after="120" w:line="240" w:lineRule="auto"/>
            </w:pPr>
          </w:p>
        </w:tc>
      </w:tr>
      <w:tr>
        <w:tc>
          <w:tcPr>
            <w:tcW w:type="dxa" w:w="4675"/>
          </w:tcPr>
          <w:p w14:paraId="4C4ED751">
            <w:pPr>
              <w:spacing w:before="120" w:after="120" w:line="240" w:lineRule="auto"/>
            </w:pPr>
            <w:r>
              <w:t xml:space="preserve">UPDT can be combined with any submission scenario(s).</w:t>
            </w:r>
          </w:p>
        </w:tc>
        <w:tc>
          <w:tcPr>
            <w:tcW w:type="dxa" w:w="4675"/>
          </w:tcPr>
          <w:p w14:paraId="07A72ED2">
            <w:pPr>
              <w:spacing w:before="120" w:after="120" w:line="240" w:lineRule="auto"/>
            </w:pPr>
          </w:p>
        </w:tc>
      </w:tr>
    </w:tbl>
    <w:p w14:paraId="0F5C49F3">
      <w:pPr>
        <w:widowControl w:val="0"/>
        <w:spacing w:before="120" w:after="120" w:line="240" w:lineRule="auto"/>
        <w:rPr>
          <w:rFonts w:ascii="Times New Roman" w:hAnsi="Times New Roman" w:cs="Times New Roman" w:eastAsia="Times New Roman"/>
          <w:sz w:val="20"/>
          <w:szCs w:val="20"/>
        </w:rPr>
      </w:pPr>
    </w:p>
    <w:p w14:paraId="15CE509C">
      <w:pPr>
        <w:widowControl w:val="0"/>
        <w:spacing w:before="120" w:after="120" w:line="240" w:lineRule="auto"/>
        <w:rPr>
          <w:rFonts w:ascii="Times New Roman" w:hAnsi="Times New Roman" w:cs="Times New Roman"/>
          <w:sz w:val="20"/>
          <w:szCs w:val="20"/>
        </w:rPr>
      </w:pPr>
      <w:r>
        <w:rPr>
          <w:rFonts w:ascii="Times New Roman" w:hAnsi="Times New Roman" w:cs="Times New Roman"/>
          <w:sz w:val="20"/>
          <w:szCs w:val="20"/>
        </w:rPr>
        <w:t xml:space="preserve">Original submission date of the revalidation certificate: </w:t>
      </w:r>
      <w:r>
        <w:rPr>
          <w:rFonts w:ascii="Times New Roman" w:hAnsi="Times New Roman" w:cs="Times New Roman"/>
          <w:sz w:val="20"/>
          <w:szCs w:val="20"/>
          <w:highlight w:val="yellow"/>
        </w:rPr>
        <w:t xml:space="preserve">[DATE]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975"/>
        <w:gridCol w:w="1170"/>
        <w:gridCol w:w="6210"/>
      </w:tblGrid>
      <w:tr>
        <w:tc>
          <w:tcPr>
            <w:tcW w:type="dxa" w:w="1975"/>
            <w:shd w:val="clear" w:color="auto" w:fill="E7E6E6"/>
          </w:tcPr>
          <w:p w14:paraId="27107885">
            <w:pPr>
              <w:spacing w:before="120" w:after="120" w:line="240" w:lineRule="auto"/>
              <w:rPr>
                <w:b/>
                <w:bCs/>
              </w:rPr>
            </w:pPr>
            <w:r>
              <w:rPr>
                <w:b/>
                <w:bCs/>
              </w:rPr>
              <w:t xml:space="preserve">Date/name of NEW IG </w:t>
            </w:r>
          </w:p>
        </w:tc>
        <w:tc>
          <w:tcPr>
            <w:tcW w:type="dxa" w:w="1170"/>
            <w:shd w:val="clear" w:color="auto" w:fill="E7E6E6"/>
          </w:tcPr>
          <w:p w14:paraId="3DEC44CF">
            <w:pPr>
              <w:spacing w:before="120" w:after="120" w:line="240" w:lineRule="auto"/>
              <w:rPr>
                <w:b/>
                <w:bCs/>
              </w:rPr>
            </w:pPr>
            <w:r>
              <w:rPr>
                <w:b/>
                <w:bCs/>
              </w:rPr>
              <w:t xml:space="preserve">Applicable to module?</w:t>
            </w:r>
          </w:p>
        </w:tc>
        <w:tc>
          <w:tcPr>
            <w:tcW w:type="dxa" w:w="6210"/>
            <w:shd w:val="clear" w:color="auto" w:fill="E7E6E6"/>
          </w:tcPr>
          <w:p w14:paraId="2C187F69">
            <w:pPr>
              <w:spacing w:before="120" w:after="120" w:line="240" w:lineRule="auto"/>
              <w:rPr>
                <w:b/>
                <w:bCs/>
              </w:rPr>
            </w:pPr>
            <w:r>
              <w:rPr>
                <w:b/>
                <w:bCs/>
              </w:rPr>
              <w:t xml:space="preserve">How the module meets the requirements found to be applicable</w:t>
            </w:r>
          </w:p>
        </w:tc>
      </w:tr>
      <w:tr>
        <w:tc>
          <w:tcPr>
            <w:tcW w:type="dxa" w:w="9355"/>
            <w:gridSpan w:val="3"/>
            <w:shd w:val="clear" w:color="auto" w:fill="E7E6E6"/>
          </w:tcPr>
          <w:p w14:paraId="6365FC3A">
            <w:pPr>
              <w:spacing w:before="120" w:after="120" w:line="240" w:lineRule="auto"/>
              <w:jc w:val="center"/>
              <w:rPr>
                <w:b/>
                <w:bCs/>
              </w:rPr>
            </w:pPr>
            <w:r>
              <w:rPr>
                <w:b/>
                <w:bCs/>
                <w:sz w:val="24"/>
                <w:szCs w:val="24"/>
              </w:rPr>
              <w:t xml:space="preserve">See </w:t>
            </w:r>
            <w:hyperlink r:id="rIdLink6">
              <w:r>
                <w:rPr>
                  <w:rStyle w:val="Hyperlink"/>
                  <w:b/>
                  <w:bCs/>
                  <w:u w:val="single"/>
                  <w:color w:val="0563C1"/>
                  <w:sz w:val="24"/>
                  <w:szCs w:val="24"/>
                </w:rPr>
                <w:t xml:space="preserve">IG Change Summary &amp; Archived Versions</w:t>
              </w:r>
            </w:hyperlink>
          </w:p>
        </w:tc>
      </w:tr>
      <w:tr>
        <w:tc>
          <w:tcPr>
            <w:tcW w:type="dxa" w:w="1975"/>
          </w:tcPr>
          <w:p w14:paraId="07A4508A">
            <w:pPr>
              <w:spacing w:before="120" w:after="120" w:line="240" w:lineRule="auto"/>
            </w:pPr>
            <w:r>
              <w:t xml:space="preserve">…</w:t>
            </w:r>
          </w:p>
        </w:tc>
        <w:tc>
          <w:tcPr>
            <w:tcW w:type="dxa" w:w="1170"/>
          </w:tcPr>
          <w:p w14:paraId="69784272">
            <w:pPr>
              <w:spacing w:before="120" w:after="120" w:line="240" w:lineRule="auto"/>
            </w:pPr>
            <w:r>
              <w:t xml:space="preserve">…</w:t>
            </w:r>
          </w:p>
        </w:tc>
        <w:tc>
          <w:tcPr>
            <w:tcW w:type="dxa" w:w="6210"/>
          </w:tcPr>
          <w:p w14:paraId="4599FEFB">
            <w:pPr>
              <w:spacing w:before="120" w:after="120" w:line="240" w:lineRule="auto"/>
            </w:pPr>
            <w:r>
              <w:rPr>
                <w:b/>
                <w:bCs/>
              </w:rPr>
              <w:t xml:space="preserve">Please add any new IGs that were published after this Change Document date</w:t>
            </w:r>
            <w:r>
              <w:t xml:space="preserve">)</w:t>
            </w:r>
          </w:p>
        </w:tc>
      </w:tr>
      <w:tr>
        <w:tc>
          <w:tcPr>
            <w:tcW w:type="dxa" w:w="1975"/>
          </w:tcPr>
          <w:p w14:paraId="7F344A4B">
            <w:pPr>
              <w:spacing w:before="120" w:after="120" w:line="240" w:lineRule="auto"/>
            </w:pPr>
          </w:p>
        </w:tc>
        <w:tc>
          <w:tcPr>
            <w:tcW w:type="dxa" w:w="1170"/>
          </w:tcPr>
          <w:p w14:paraId="14131676">
            <w:pPr>
              <w:spacing w:before="120" w:after="120" w:line="240" w:lineRule="auto"/>
            </w:pPr>
          </w:p>
        </w:tc>
        <w:tc>
          <w:tcPr>
            <w:tcW w:type="dxa" w:w="6210"/>
          </w:tcPr>
          <w:p w14:paraId="3B51600B">
            <w:pPr>
              <w:spacing w:before="120" w:after="120" w:line="240" w:lineRule="auto"/>
              <w:rPr>
                <w:b/>
                <w:bCs/>
              </w:rPr>
            </w:pPr>
          </w:p>
        </w:tc>
      </w:tr>
      <w:tr>
        <w:tc>
          <w:tcPr>
            <w:tcW w:type="dxa" w:w="1975"/>
          </w:tcPr>
          <w:p w14:paraId="4CF3B14C">
            <w:pPr>
              <w:spacing w:before="120" w:after="120" w:line="240" w:lineRule="auto"/>
            </w:pPr>
          </w:p>
        </w:tc>
        <w:tc>
          <w:tcPr>
            <w:tcW w:type="dxa" w:w="1170"/>
          </w:tcPr>
          <w:p w14:paraId="3BE590AB">
            <w:pPr>
              <w:spacing w:before="120" w:after="120" w:line="240" w:lineRule="auto"/>
            </w:pPr>
          </w:p>
        </w:tc>
        <w:tc>
          <w:tcPr>
            <w:tcW w:type="dxa" w:w="6210"/>
          </w:tcPr>
          <w:p w14:paraId="70EBC4B6">
            <w:pPr>
              <w:spacing w:before="120" w:after="120" w:line="240" w:lineRule="auto"/>
              <w:rPr>
                <w:b/>
                <w:bCs/>
              </w:rPr>
            </w:pPr>
          </w:p>
        </w:tc>
      </w:tr>
      <w:tr>
        <w:tc>
          <w:tcPr>
            <w:tcW w:type="dxa" w:w="1975"/>
          </w:tcPr>
          <w:p w14:paraId="761A1EFA">
            <w:pPr>
              <w:spacing w:before="120" w:after="120" w:line="240" w:lineRule="auto"/>
            </w:pPr>
            <w:r>
              <w:t xml:space="preserve">09/10/24: </w:t>
            </w:r>
            <w:hyperlink w:anchor="_C.O_Requirements_for">
              <w:r>
                <w:rPr>
                  <w:rStyle w:val="Hyperlink"/>
                  <w:u w:val="none"/>
                </w:rPr>
                <w:t xml:space="preserve">C.O Requirements for SP 800-208 HSS Vendor Affirmation</w:t>
              </w:r>
            </w:hyperlink>
            <w:r>
              <w:t xml:space="preserve"> </w:t>
            </w:r>
          </w:p>
        </w:tc>
        <w:tc>
          <w:tcPr>
            <w:tcW w:type="dxa" w:w="1170"/>
          </w:tcPr>
          <w:p w14:paraId="5B16EA91">
            <w:pPr>
              <w:spacing w:before="120" w:after="120" w:line="240" w:lineRule="auto"/>
            </w:pPr>
            <w:r>
              <w:t xml:space="preserve">Yes/no</w:t>
            </w:r>
          </w:p>
        </w:tc>
        <w:tc>
          <w:tcPr>
            <w:tcW w:type="dxa" w:w="6210"/>
          </w:tcPr>
          <w:p w14:paraId="1931B3AA">
            <w:pPr>
              <w:spacing w:before="120" w:after="120" w:line="240" w:lineRule="auto"/>
            </w:pPr>
            <w:r>
              <w:t xml:space="preserve">[CSTL justification]</w:t>
            </w:r>
          </w:p>
        </w:tc>
      </w:tr>
      <w:tr>
        <w:tc>
          <w:tcPr>
            <w:tcW w:type="dxa" w:w="1975"/>
          </w:tcPr>
          <w:p w14:paraId="6E6A24E8">
            <w:pPr>
              <w:spacing w:before="120" w:after="120" w:line="240" w:lineRule="auto"/>
            </w:pPr>
            <w:r>
              <w:t xml:space="preserve">07/26/24: </w:t>
            </w:r>
            <w:hyperlink w:anchor="_1.A_Binding_and">
              <w:r>
                <w:rPr>
                  <w:rStyle w:val="Hyperlink"/>
                  <w:u w:val="none"/>
                </w:rPr>
                <w:t xml:space="preserve">1.A Binding and Embedding Cryptographic Modules</w:t>
              </w:r>
            </w:hyperlink>
          </w:p>
        </w:tc>
        <w:tc>
          <w:tcPr>
            <w:tcW w:type="dxa" w:w="1170"/>
          </w:tcPr>
          <w:p w14:paraId="790F264F">
            <w:pPr>
              <w:spacing w:before="120" w:after="120" w:line="240" w:lineRule="auto"/>
            </w:pPr>
            <w:r>
              <w:t xml:space="preserve">Yes/no</w:t>
            </w:r>
          </w:p>
        </w:tc>
        <w:tc>
          <w:tcPr>
            <w:tcW w:type="dxa" w:w="6210"/>
          </w:tcPr>
          <w:p w14:paraId="553DA965">
            <w:pPr>
              <w:spacing w:before="120" w:after="120" w:line="240" w:lineRule="auto"/>
            </w:pPr>
            <w:r>
              <w:t xml:space="preserve">[CSTL justification]</w:t>
            </w:r>
          </w:p>
        </w:tc>
      </w:tr>
      <w:tr>
        <w:tc>
          <w:tcPr>
            <w:tcW w:type="dxa" w:w="1975"/>
          </w:tcPr>
          <w:p w14:paraId="5903E77C">
            <w:pPr>
              <w:spacing w:before="120" w:after="120" w:line="240" w:lineRule="auto"/>
            </w:pPr>
            <w:r>
              <w:t xml:space="preserve">07/26/24: </w:t>
            </w:r>
            <w:hyperlink w:anchor="_C.M_Legacy_Algorithms">
              <w:r>
                <w:rPr>
                  <w:rStyle w:val="Hyperlink"/>
                  <w:u w:val="none"/>
                </w:rPr>
                <w:t xml:space="preserve">C.M Legacy Algorithms</w:t>
              </w:r>
            </w:hyperlink>
          </w:p>
        </w:tc>
        <w:tc>
          <w:tcPr>
            <w:tcW w:type="dxa" w:w="1170"/>
          </w:tcPr>
          <w:p w14:paraId="3EF0A67B">
            <w:pPr>
              <w:spacing w:before="120" w:after="120" w:line="240" w:lineRule="auto"/>
            </w:pPr>
            <w:r>
              <w:t xml:space="preserve">Yes/no</w:t>
            </w:r>
          </w:p>
        </w:tc>
        <w:tc>
          <w:tcPr>
            <w:tcW w:type="dxa" w:w="6210"/>
          </w:tcPr>
          <w:p w14:paraId="312F9B2B">
            <w:pPr>
              <w:spacing w:before="120" w:after="120" w:line="240" w:lineRule="auto"/>
            </w:pPr>
            <w:r>
              <w:t xml:space="preserve">[CSTL justification]</w:t>
            </w:r>
          </w:p>
        </w:tc>
      </w:tr>
      <w:tr>
        <w:tc>
          <w:tcPr>
            <w:tcW w:type="dxa" w:w="1975"/>
          </w:tcPr>
          <w:p w14:paraId="798E8243">
            <w:pPr>
              <w:spacing w:before="120" w:after="120" w:line="240" w:lineRule="auto"/>
            </w:pPr>
            <w:r>
              <w:rPr>
                <w:i/>
                <w:iCs/>
              </w:rPr>
              <w:t xml:space="preserve">07/26/24</w:t>
            </w:r>
            <w:r>
              <w:t xml:space="preserve">: </w:t>
            </w:r>
            <w:hyperlink w:anchor="_C.N_Requirements_for">
              <w:r>
                <w:rPr>
                  <w:rStyle w:val="Hyperlink"/>
                  <w:u w:val="none"/>
                </w:rPr>
                <w:t xml:space="preserve">C.N Requirements for SP 800-208 schemes</w:t>
              </w:r>
            </w:hyperlink>
          </w:p>
        </w:tc>
        <w:tc>
          <w:tcPr>
            <w:tcW w:type="dxa" w:w="1170"/>
          </w:tcPr>
          <w:p w14:paraId="01C94675">
            <w:pPr>
              <w:spacing w:before="120" w:after="120" w:line="240" w:lineRule="auto"/>
            </w:pPr>
            <w:r>
              <w:t xml:space="preserve">Yes/no</w:t>
            </w:r>
          </w:p>
        </w:tc>
        <w:tc>
          <w:tcPr>
            <w:tcW w:type="dxa" w:w="6210"/>
          </w:tcPr>
          <w:p w14:paraId="21A0B17A">
            <w:pPr>
              <w:spacing w:before="120" w:after="120" w:line="240" w:lineRule="auto"/>
            </w:pPr>
            <w:r>
              <w:t xml:space="preserve">[CSTL justification]</w:t>
            </w:r>
          </w:p>
        </w:tc>
      </w:tr>
      <w:tr>
        <w:tc>
          <w:tcPr>
            <w:tcW w:type="dxa" w:w="1975"/>
          </w:tcPr>
          <w:p w14:paraId="5DA4522A">
            <w:pPr>
              <w:spacing w:before="120" w:after="120" w:line="240" w:lineRule="auto"/>
            </w:pPr>
            <w:r>
              <w:t xml:space="preserve">07/25/23: </w:t>
            </w:r>
            <w:hyperlink w:anchor="_10.3.F_Complete_Image">
              <w:r>
                <w:rPr>
                  <w:rStyle w:val="Hyperlink"/>
                  <w:u w:val="none"/>
                </w:rPr>
                <w:t xml:space="preserve">10.3.F Complete Image Replacement Versus Software/Firmware Loading</w:t>
              </w:r>
            </w:hyperlink>
          </w:p>
        </w:tc>
        <w:tc>
          <w:tcPr>
            <w:tcW w:type="dxa" w:w="1170"/>
          </w:tcPr>
          <w:p w14:paraId="4F8F870B">
            <w:pPr>
              <w:spacing w:before="120" w:after="120" w:line="240" w:lineRule="auto"/>
            </w:pPr>
            <w:r>
              <w:t xml:space="preserve">Yes/no</w:t>
            </w:r>
          </w:p>
        </w:tc>
        <w:tc>
          <w:tcPr>
            <w:tcW w:type="dxa" w:w="6210"/>
          </w:tcPr>
          <w:p w14:paraId="503C903B">
            <w:pPr>
              <w:spacing w:before="120" w:after="120" w:line="240" w:lineRule="auto"/>
            </w:pPr>
            <w:r>
              <w:t xml:space="preserve">[CSTL justification]</w:t>
            </w:r>
          </w:p>
        </w:tc>
      </w:tr>
      <w:tr>
        <w:tc>
          <w:tcPr>
            <w:tcW w:type="dxa" w:w="1975"/>
          </w:tcPr>
          <w:p w14:paraId="3565E3E4">
            <w:pPr>
              <w:spacing w:before="120" w:after="120" w:line="240" w:lineRule="auto"/>
            </w:pPr>
            <w:r>
              <w:t xml:space="preserve">07/25/23: </w:t>
            </w:r>
            <w:hyperlink w:anchor="_C.K_Transition_from">
              <w:r>
                <w:rPr>
                  <w:rStyle w:val="Hyperlink"/>
                  <w:u w:val="none"/>
                </w:rPr>
                <w:t xml:space="preserve">C.K Transition from FIPS 186-4 to FIPS 186-5 and SP 800-186</w:t>
              </w:r>
            </w:hyperlink>
          </w:p>
        </w:tc>
        <w:tc>
          <w:tcPr>
            <w:tcW w:type="dxa" w:w="1170"/>
          </w:tcPr>
          <w:p w14:paraId="7749ADB9">
            <w:pPr>
              <w:spacing w:before="120" w:after="120" w:line="240" w:lineRule="auto"/>
            </w:pPr>
            <w:r>
              <w:t xml:space="preserve">Yes/no</w:t>
            </w:r>
          </w:p>
        </w:tc>
        <w:tc>
          <w:tcPr>
            <w:tcW w:type="dxa" w:w="6210"/>
          </w:tcPr>
          <w:p w14:paraId="609A8811">
            <w:pPr>
              <w:spacing w:before="120" w:after="120" w:line="240" w:lineRule="auto"/>
            </w:pPr>
            <w:r>
              <w:t xml:space="preserve">[CSTL justification]</w:t>
            </w:r>
          </w:p>
        </w:tc>
      </w:tr>
      <w:tr>
        <w:tc>
          <w:tcPr>
            <w:tcW w:type="dxa" w:w="1975"/>
          </w:tcPr>
          <w:p w14:paraId="6CA174B8">
            <w:pPr>
              <w:spacing w:before="120" w:after="120" w:line="240" w:lineRule="auto"/>
            </w:pPr>
            <w:r>
              <w:t xml:space="preserve">07/25/23: </w:t>
            </w:r>
            <w:hyperlink w:anchor="_C.L_SP_800-107">
              <w:r>
                <w:rPr>
                  <w:rStyle w:val="Hyperlink"/>
                  <w:u w:val="none"/>
                </w:rPr>
                <w:t xml:space="preserve">C.L SP 800-107 Requirements</w:t>
              </w:r>
            </w:hyperlink>
          </w:p>
        </w:tc>
        <w:tc>
          <w:tcPr>
            <w:tcW w:type="dxa" w:w="1170"/>
          </w:tcPr>
          <w:p w14:paraId="044EA3D8">
            <w:pPr>
              <w:spacing w:before="120" w:after="120" w:line="240" w:lineRule="auto"/>
            </w:pPr>
            <w:r>
              <w:t xml:space="preserve">Yes/no</w:t>
            </w:r>
          </w:p>
        </w:tc>
        <w:tc>
          <w:tcPr>
            <w:tcW w:type="dxa" w:w="6210"/>
          </w:tcPr>
          <w:p w14:paraId="57F0377C">
            <w:pPr>
              <w:spacing w:before="120" w:after="120" w:line="240" w:lineRule="auto"/>
            </w:pPr>
            <w:r>
              <w:t xml:space="preserve">[CSTL justification]</w:t>
            </w:r>
          </w:p>
        </w:tc>
      </w:tr>
      <w:tr>
        <w:tc>
          <w:tcPr>
            <w:tcW w:type="dxa" w:w="1975"/>
          </w:tcPr>
          <w:p w14:paraId="28BB891C">
            <w:pPr>
              <w:spacing w:before="120" w:after="120" w:line="240" w:lineRule="auto"/>
            </w:pPr>
            <w:r>
              <w:t xml:space="preserve">03/17/23: </w:t>
            </w:r>
            <w:hyperlink w:anchor="_10.2.A_Pre-operational_Integrity">
              <w:r>
                <w:rPr>
                  <w:rStyle w:val="Hyperlink"/>
                  <w:u w:val="none"/>
                </w:rPr>
                <w:t xml:space="preserve">10.2.A Pre-operational Integrity Technique Self-test</w:t>
              </w:r>
            </w:hyperlink>
          </w:p>
        </w:tc>
        <w:tc>
          <w:tcPr>
            <w:tcW w:type="dxa" w:w="1170"/>
          </w:tcPr>
          <w:p w14:paraId="19AA4878">
            <w:pPr>
              <w:spacing w:before="120" w:after="120" w:line="240" w:lineRule="auto"/>
            </w:pPr>
            <w:r>
              <w:t xml:space="preserve">Yes/no</w:t>
            </w:r>
          </w:p>
        </w:tc>
        <w:tc>
          <w:tcPr>
            <w:tcW w:type="dxa" w:w="6210"/>
          </w:tcPr>
          <w:p w14:paraId="53BC1CD2">
            <w:pPr>
              <w:spacing w:before="120" w:after="120" w:line="240" w:lineRule="auto"/>
              <w:rPr>
                <w:color w:val="FF0000"/>
              </w:rPr>
            </w:pPr>
            <w:r>
              <w:rPr>
                <w:color w:val="FF0000"/>
              </w:rPr>
              <w:t xml:space="preserve">[example]</w:t>
            </w:r>
          </w:p>
          <w:p w14:paraId="34AAE77B">
            <w:pPr>
              <w:spacing w:before="120" w:after="120" w:line="240" w:lineRule="auto"/>
            </w:pPr>
            <w:r>
              <w:t xml:space="preserve">Module already runs a pre-operational CAST (KAT) on the HMAC (SHA2-256) before the integrity test. Thus, AS10.20 is met.</w:t>
            </w:r>
          </w:p>
        </w:tc>
      </w:tr>
      <w:tr>
        <w:tc>
          <w:tcPr>
            <w:tcW w:type="dxa" w:w="1975"/>
          </w:tcPr>
          <w:p w14:paraId="03772CDB">
            <w:pPr>
              <w:spacing w:before="120" w:after="120" w:line="240" w:lineRule="auto"/>
            </w:pPr>
            <w:r>
              <w:t xml:space="preserve">03/17/23: </w:t>
            </w:r>
            <w:hyperlink w:anchor="_2.3.D_Excluded_Components">
              <w:r>
                <w:rPr>
                  <w:rStyle w:val="Hyperlink"/>
                  <w:u w:val="none"/>
                </w:rPr>
                <w:t xml:space="preserve">2.3.D Excluded Components</w:t>
              </w:r>
            </w:hyperlink>
          </w:p>
        </w:tc>
        <w:tc>
          <w:tcPr>
            <w:tcW w:type="dxa" w:w="1170"/>
          </w:tcPr>
          <w:p w14:paraId="4446493C">
            <w:pPr>
              <w:spacing w:before="120" w:after="120" w:line="240" w:lineRule="auto"/>
            </w:pPr>
            <w:r>
              <w:t xml:space="preserve">Yes/no</w:t>
            </w:r>
          </w:p>
        </w:tc>
        <w:tc>
          <w:tcPr>
            <w:tcW w:type="dxa" w:w="6210"/>
          </w:tcPr>
          <w:p w14:paraId="57745F08">
            <w:pPr>
              <w:spacing w:before="120" w:after="120" w:line="240" w:lineRule="auto"/>
            </w:pPr>
            <w:r>
              <w:t xml:space="preserve">[CSTL justification]</w:t>
            </w:r>
          </w:p>
        </w:tc>
      </w:tr>
      <w:tr>
        <w:tc>
          <w:tcPr>
            <w:tcW w:type="dxa" w:w="1975"/>
          </w:tcPr>
          <w:p w14:paraId="5FCF24A3">
            <w:pPr>
              <w:spacing w:before="120" w:after="120" w:line="240" w:lineRule="auto"/>
            </w:pPr>
            <w:r>
              <w:t xml:space="preserve">05/16/22: </w:t>
            </w:r>
            <w:hyperlink w:anchor="_D.Q_Transition_of">
              <w:r>
                <w:rPr>
                  <w:rStyle w:val="Hyperlink"/>
                  <w:u w:val="none"/>
                </w:rPr>
                <w:t xml:space="preserve">D.Q Transition of the TLS 1.2 KDF to Support the Extended Master Secret</w:t>
              </w:r>
            </w:hyperlink>
          </w:p>
        </w:tc>
        <w:tc>
          <w:tcPr>
            <w:tcW w:type="dxa" w:w="1170"/>
          </w:tcPr>
          <w:p w14:paraId="03FBF285">
            <w:pPr>
              <w:spacing w:before="120" w:after="120" w:line="240" w:lineRule="auto"/>
            </w:pPr>
            <w:r>
              <w:t xml:space="preserve">Yes/no</w:t>
            </w:r>
          </w:p>
        </w:tc>
        <w:tc>
          <w:tcPr>
            <w:tcW w:type="dxa" w:w="6210"/>
          </w:tcPr>
          <w:p w14:paraId="73938ABE">
            <w:pPr>
              <w:spacing w:before="120" w:after="120" w:line="240" w:lineRule="auto"/>
            </w:pPr>
            <w:r>
              <w:t xml:space="preserve">[CSTL justification]</w:t>
            </w:r>
          </w:p>
        </w:tc>
      </w:tr>
      <w:tr>
        <w:tc>
          <w:tcPr>
            <w:tcW w:type="dxa" w:w="1975"/>
          </w:tcPr>
          <w:p w14:paraId="36163639">
            <w:pPr>
              <w:spacing w:before="120" w:after="120" w:line="240" w:lineRule="auto"/>
            </w:pPr>
            <w:r>
              <w:t xml:space="preserve">05/16/22: </w:t>
            </w:r>
            <w:hyperlink w:anchor="_D.R_Hash_Functions">
              <w:r>
                <w:rPr>
                  <w:rStyle w:val="Hyperlink"/>
                  <w:u w:val="none"/>
                </w:rPr>
                <w:t xml:space="preserve">D.R Hash Functions Acceptable for Use in the SP 800-90A DRBGs</w:t>
              </w:r>
            </w:hyperlink>
            <w:r>
              <w:t xml:space="preserve"> </w:t>
            </w:r>
          </w:p>
        </w:tc>
        <w:tc>
          <w:tcPr>
            <w:tcW w:type="dxa" w:w="1170"/>
          </w:tcPr>
          <w:p w14:paraId="42D1ABC7">
            <w:pPr>
              <w:spacing w:before="120" w:after="120" w:line="240" w:lineRule="auto"/>
            </w:pPr>
            <w:r>
              <w:t xml:space="preserve">Yes/no</w:t>
            </w:r>
          </w:p>
        </w:tc>
        <w:tc>
          <w:tcPr>
            <w:tcW w:type="dxa" w:w="6210"/>
          </w:tcPr>
          <w:p w14:paraId="00B7C84A">
            <w:pPr>
              <w:spacing w:before="120" w:after="120" w:line="240" w:lineRule="auto"/>
            </w:pPr>
            <w:r>
              <w:t xml:space="preserve">[CSTL justification]</w:t>
            </w:r>
          </w:p>
        </w:tc>
      </w:tr>
      <w:tr>
        <w:tc>
          <w:tcPr>
            <w:tcW w:type="dxa" w:w="1975"/>
          </w:tcPr>
          <w:p w14:paraId="62A2D263">
            <w:pPr>
              <w:spacing w:before="120" w:after="120" w:line="240" w:lineRule="auto"/>
            </w:pPr>
            <w:r>
              <w:t xml:space="preserve">11/05/21: </w:t>
            </w:r>
            <w:hyperlink w:anchor="_D.P_SP_800-56Crev2">
              <w:r>
                <w:rPr>
                  <w:rStyle w:val="Hyperlink"/>
                  <w:u w:val="none"/>
                </w:rPr>
                <w:t xml:space="preserve">D.P SP 800-56Crev2 One-Step Key Derivation Function Without a Counter</w:t>
              </w:r>
            </w:hyperlink>
            <w:r>
              <w:t xml:space="preserve"> </w:t>
            </w:r>
          </w:p>
        </w:tc>
        <w:tc>
          <w:tcPr>
            <w:tcW w:type="dxa" w:w="1170"/>
          </w:tcPr>
          <w:p w14:paraId="65E6FC11">
            <w:pPr>
              <w:spacing w:before="120" w:after="120" w:line="240" w:lineRule="auto"/>
            </w:pPr>
            <w:r>
              <w:t xml:space="preserve">Yes/no</w:t>
            </w:r>
          </w:p>
        </w:tc>
        <w:tc>
          <w:tcPr>
            <w:tcW w:type="dxa" w:w="6210"/>
          </w:tcPr>
          <w:p w14:paraId="6960F7A2">
            <w:pPr>
              <w:spacing w:before="120" w:after="120" w:line="240" w:lineRule="auto"/>
            </w:pPr>
            <w:r>
              <w:t xml:space="preserve">[CSTL justification]</w:t>
            </w:r>
          </w:p>
        </w:tc>
      </w:tr>
      <w:tr>
        <w:tc>
          <w:tcPr>
            <w:tcW w:type="dxa" w:w="1975"/>
          </w:tcPr>
          <w:p w14:paraId="1E2C6D93">
            <w:pPr>
              <w:spacing w:before="120" w:after="120" w:line="240" w:lineRule="auto"/>
            </w:pPr>
            <w:r>
              <w:t xml:space="preserve">08/27/21: </w:t>
            </w:r>
            <w:hyperlink w:anchor="_10.3.D_Error_Logging">
              <w:r>
                <w:rPr>
                  <w:rStyle w:val="Hyperlink"/>
                  <w:u w:val="none"/>
                </w:rPr>
                <w:t xml:space="preserve">10.3.D Error Logging</w:t>
              </w:r>
            </w:hyperlink>
          </w:p>
        </w:tc>
        <w:tc>
          <w:tcPr>
            <w:tcW w:type="dxa" w:w="1170"/>
          </w:tcPr>
          <w:p w14:paraId="739C788A">
            <w:pPr>
              <w:spacing w:before="120" w:after="120" w:line="240" w:lineRule="auto"/>
            </w:pPr>
            <w:r>
              <w:t xml:space="preserve">Yes/no</w:t>
            </w:r>
          </w:p>
        </w:tc>
        <w:tc>
          <w:tcPr>
            <w:tcW w:type="dxa" w:w="6210"/>
          </w:tcPr>
          <w:p w14:paraId="54C9364D">
            <w:pPr>
              <w:spacing w:before="120" w:after="120" w:line="240" w:lineRule="auto"/>
            </w:pPr>
            <w:r>
              <w:t xml:space="preserve">[CSTL justification]</w:t>
            </w:r>
          </w:p>
        </w:tc>
      </w:tr>
      <w:tr>
        <w:tc>
          <w:tcPr>
            <w:tcW w:type="dxa" w:w="1975"/>
          </w:tcPr>
          <w:p w14:paraId="29BB6C9B">
            <w:pPr>
              <w:spacing w:before="120" w:after="120" w:line="240" w:lineRule="auto"/>
            </w:pPr>
            <w:r>
              <w:t xml:space="preserve">08/27/21: </w:t>
            </w:r>
            <w:hyperlink w:anchor="_10.3.E_Periodic_Self-Testing">
              <w:r>
                <w:rPr>
                  <w:rStyle w:val="Hyperlink"/>
                  <w:u w:val="none"/>
                </w:rPr>
                <w:t xml:space="preserve">10.3.E Periodic Self-Testing</w:t>
              </w:r>
            </w:hyperlink>
          </w:p>
        </w:tc>
        <w:tc>
          <w:tcPr>
            <w:tcW w:type="dxa" w:w="1170"/>
          </w:tcPr>
          <w:p w14:paraId="07C4C218">
            <w:pPr>
              <w:spacing w:before="120" w:after="120" w:line="240" w:lineRule="auto"/>
            </w:pPr>
            <w:r>
              <w:t xml:space="preserve">Yes/no</w:t>
            </w:r>
          </w:p>
        </w:tc>
        <w:tc>
          <w:tcPr>
            <w:tcW w:type="dxa" w:w="6210"/>
          </w:tcPr>
          <w:p w14:paraId="2256CB11">
            <w:pPr>
              <w:spacing w:before="120" w:after="120" w:line="240" w:lineRule="auto"/>
            </w:pPr>
            <w:r>
              <w:t xml:space="preserve">[CSTL justification]</w:t>
            </w:r>
          </w:p>
        </w:tc>
      </w:tr>
      <w:tr>
        <w:tc>
          <w:tcPr>
            <w:tcW w:type="dxa" w:w="1975"/>
          </w:tcPr>
          <w:p w14:paraId="647CF7EC">
            <w:pPr>
              <w:spacing w:before="120" w:after="120" w:line="240" w:lineRule="auto"/>
            </w:pPr>
            <w:r>
              <w:t xml:space="preserve">08/27/21: </w:t>
            </w:r>
            <w:hyperlink w:anchor="_E.A_Applicability_of">
              <w:r>
                <w:rPr>
                  <w:rStyle w:val="Hyperlink"/>
                  <w:u w:val="none"/>
                </w:rPr>
                <w:t xml:space="preserve">E.A Applicability of Requirements from SP 800-63B</w:t>
              </w:r>
            </w:hyperlink>
          </w:p>
        </w:tc>
        <w:tc>
          <w:tcPr>
            <w:tcW w:type="dxa" w:w="1170"/>
          </w:tcPr>
          <w:p w14:paraId="18AAFC26">
            <w:pPr>
              <w:spacing w:before="120" w:after="120" w:line="240" w:lineRule="auto"/>
            </w:pPr>
            <w:r>
              <w:t xml:space="preserve">Yes/no</w:t>
            </w:r>
          </w:p>
        </w:tc>
        <w:tc>
          <w:tcPr>
            <w:tcW w:type="dxa" w:w="6210"/>
          </w:tcPr>
          <w:p w14:paraId="72980A61">
            <w:pPr>
              <w:spacing w:before="120" w:after="120" w:line="240" w:lineRule="auto"/>
            </w:pPr>
            <w:r>
              <w:t xml:space="preserve">[CSTL justification]</w:t>
            </w:r>
          </w:p>
        </w:tc>
      </w:tr>
      <w:tr>
        <w:tc>
          <w:tcPr>
            <w:tcW w:type="dxa" w:w="1975"/>
          </w:tcPr>
          <w:p w14:paraId="321A6911">
            <w:pPr>
              <w:spacing w:before="120" w:after="120" w:line="240" w:lineRule="auto"/>
            </w:pPr>
            <w:r>
              <w:t xml:space="preserve">05/04/21: </w:t>
            </w:r>
            <w:hyperlink w:anchor="_2.4.C_Approved_Security">
              <w:r>
                <w:rPr>
                  <w:rStyle w:val="Hyperlink"/>
                  <w:u w:val="none"/>
                </w:rPr>
                <w:t xml:space="preserve">2.4.C Approved Security Service Indicator</w:t>
              </w:r>
            </w:hyperlink>
          </w:p>
        </w:tc>
        <w:tc>
          <w:tcPr>
            <w:tcW w:type="dxa" w:w="1170"/>
          </w:tcPr>
          <w:p w14:paraId="6697C3C9">
            <w:pPr>
              <w:spacing w:before="120" w:after="120" w:line="240" w:lineRule="auto"/>
            </w:pPr>
            <w:r>
              <w:t xml:space="preserve">Yes/no</w:t>
            </w:r>
          </w:p>
        </w:tc>
        <w:tc>
          <w:tcPr>
            <w:tcW w:type="dxa" w:w="6210"/>
          </w:tcPr>
          <w:p w14:paraId="673EEBA8">
            <w:pPr>
              <w:spacing w:before="120" w:after="120" w:line="240" w:lineRule="auto"/>
            </w:pPr>
            <w:r>
              <w:t xml:space="preserve">[CSTL justification]</w:t>
            </w:r>
          </w:p>
        </w:tc>
      </w:tr>
      <w:tr>
        <w:tc>
          <w:tcPr>
            <w:tcW w:type="dxa" w:w="1975"/>
          </w:tcPr>
          <w:p w14:paraId="613087F7">
            <w:pPr>
              <w:spacing w:before="120" w:after="120" w:line="240" w:lineRule="auto"/>
            </w:pPr>
            <w:r>
              <w:t xml:space="preserve">05/04/21: </w:t>
            </w:r>
            <w:hyperlink w:anchor="_9.7.B_Indicator_of_1">
              <w:r>
                <w:rPr>
                  <w:rStyle w:val="Hyperlink"/>
                  <w:u w:val="none"/>
                </w:rPr>
                <w:t xml:space="preserve">9.7.B Indicator of Zeroisation</w:t>
              </w:r>
            </w:hyperlink>
          </w:p>
        </w:tc>
        <w:tc>
          <w:tcPr>
            <w:tcW w:type="dxa" w:w="1170"/>
          </w:tcPr>
          <w:p w14:paraId="40C72435">
            <w:pPr>
              <w:spacing w:before="120" w:after="120" w:line="240" w:lineRule="auto"/>
            </w:pPr>
            <w:r>
              <w:t xml:space="preserve">Yes/no</w:t>
            </w:r>
          </w:p>
        </w:tc>
        <w:tc>
          <w:tcPr>
            <w:tcW w:type="dxa" w:w="6210"/>
          </w:tcPr>
          <w:p w14:paraId="32C4EA7C">
            <w:pPr>
              <w:spacing w:before="120" w:after="120" w:line="240" w:lineRule="auto"/>
            </w:pPr>
            <w:r>
              <w:t xml:space="preserve">[CSTL justification]</w:t>
            </w:r>
          </w:p>
        </w:tc>
      </w:tr>
      <w:tr>
        <w:tc>
          <w:tcPr>
            <w:tcW w:type="dxa" w:w="1975"/>
          </w:tcPr>
          <w:p w14:paraId="6D3908D4">
            <w:pPr>
              <w:spacing w:before="120" w:after="120" w:line="240" w:lineRule="auto"/>
            </w:pPr>
            <w:r>
              <w:t xml:space="preserve">05/04/21: </w:t>
            </w:r>
            <w:hyperlink w:anchor="_10.3.C_Conditional_Manual">
              <w:r>
                <w:rPr>
                  <w:rStyle w:val="Hyperlink"/>
                  <w:u w:val="none"/>
                </w:rPr>
                <w:t xml:space="preserve">10.3.C Conditional Manual Entry Self-Test Requirements</w:t>
              </w:r>
            </w:hyperlink>
          </w:p>
        </w:tc>
        <w:tc>
          <w:tcPr>
            <w:tcW w:type="dxa" w:w="1170"/>
          </w:tcPr>
          <w:p w14:paraId="71A28D68">
            <w:pPr>
              <w:spacing w:before="120" w:after="120" w:line="240" w:lineRule="auto"/>
            </w:pPr>
            <w:r>
              <w:t xml:space="preserve">Yes/no</w:t>
            </w:r>
          </w:p>
        </w:tc>
        <w:tc>
          <w:tcPr>
            <w:tcW w:type="dxa" w:w="6210"/>
          </w:tcPr>
          <w:p w14:paraId="0417B18A">
            <w:pPr>
              <w:spacing w:before="120" w:after="120" w:line="240" w:lineRule="auto"/>
            </w:pPr>
            <w:r>
              <w:t xml:space="preserve">[CSTL justification]</w:t>
            </w:r>
          </w:p>
        </w:tc>
      </w:tr>
      <w:tr>
        <w:tc>
          <w:tcPr>
            <w:tcW w:type="dxa" w:w="1975"/>
          </w:tcPr>
          <w:p w14:paraId="292654D6">
            <w:pPr>
              <w:spacing w:before="120" w:after="120" w:line="240" w:lineRule="auto"/>
            </w:pPr>
            <w:r>
              <w:t xml:space="preserve">05/04/21: </w:t>
            </w:r>
            <w:hyperlink w:anchor="_11.A_CVE_Management">
              <w:r>
                <w:rPr>
                  <w:rStyle w:val="Hyperlink"/>
                  <w:u w:val="none"/>
                </w:rPr>
                <w:t xml:space="preserve">11.A CVE Management</w:t>
              </w:r>
            </w:hyperlink>
          </w:p>
        </w:tc>
        <w:tc>
          <w:tcPr>
            <w:tcW w:type="dxa" w:w="1170"/>
          </w:tcPr>
          <w:p w14:paraId="67CC6E57">
            <w:pPr>
              <w:spacing w:before="120" w:after="120" w:line="240" w:lineRule="auto"/>
            </w:pPr>
            <w:r>
              <w:t xml:space="preserve">Yes/no</w:t>
            </w:r>
          </w:p>
        </w:tc>
        <w:tc>
          <w:tcPr>
            <w:tcW w:type="dxa" w:w="6210"/>
          </w:tcPr>
          <w:p w14:paraId="28B1EB21">
            <w:pPr>
              <w:spacing w:before="120" w:after="120" w:line="240" w:lineRule="auto"/>
            </w:pPr>
            <w:r>
              <w:t xml:space="preserve">[CSTL justification]</w:t>
            </w:r>
          </w:p>
        </w:tc>
      </w:tr>
      <w:tr>
        <w:tc>
          <w:tcPr>
            <w:tcW w:type="dxa" w:w="1975"/>
          </w:tcPr>
          <w:p w14:paraId="4502F6FE">
            <w:pPr>
              <w:spacing w:before="120" w:after="120" w:line="240" w:lineRule="auto"/>
            </w:pPr>
            <w:r>
              <w:t xml:space="preserve">05/04/21: </w:t>
            </w:r>
            <w:hyperlink w:anchor="_12.A_Mitigation_of">
              <w:r>
                <w:rPr>
                  <w:rStyle w:val="Hyperlink"/>
                  <w:u w:val="none"/>
                </w:rPr>
                <w:t xml:space="preserve">12.A Mitigation of Other Attacks</w:t>
              </w:r>
            </w:hyperlink>
          </w:p>
        </w:tc>
        <w:tc>
          <w:tcPr>
            <w:tcW w:type="dxa" w:w="1170"/>
          </w:tcPr>
          <w:p w14:paraId="73689BC6">
            <w:pPr>
              <w:spacing w:before="120" w:after="120" w:line="240" w:lineRule="auto"/>
            </w:pPr>
            <w:r>
              <w:t xml:space="preserve">Yes/no</w:t>
            </w:r>
          </w:p>
        </w:tc>
        <w:tc>
          <w:tcPr>
            <w:tcW w:type="dxa" w:w="6210"/>
          </w:tcPr>
          <w:p w14:paraId="0F2CF8BD">
            <w:pPr>
              <w:spacing w:before="120" w:after="120" w:line="240" w:lineRule="auto"/>
            </w:pPr>
            <w:r>
              <w:t xml:space="preserve">[CSTL justification]</w:t>
            </w:r>
          </w:p>
        </w:tc>
      </w:tr>
      <w:tr>
        <w:tc>
          <w:tcPr>
            <w:tcW w:type="dxa" w:w="1975"/>
          </w:tcPr>
          <w:p w14:paraId="7174CD8C">
            <w:pPr>
              <w:spacing w:before="120" w:after="120" w:line="240" w:lineRule="auto"/>
            </w:pPr>
            <w:r>
              <w:t xml:space="preserve">05/04/21: </w:t>
            </w:r>
            <w:hyperlink w:anchor="_D.O_Combining_Entropy">
              <w:r>
                <w:rPr>
                  <w:rStyle w:val="Hyperlink"/>
                  <w:u w:val="none"/>
                </w:rPr>
                <w:t xml:space="preserve">D.O Combining Entropy from Multiple Sources</w:t>
              </w:r>
            </w:hyperlink>
          </w:p>
        </w:tc>
        <w:tc>
          <w:tcPr>
            <w:tcW w:type="dxa" w:w="1170"/>
          </w:tcPr>
          <w:p w14:paraId="4469BEFA">
            <w:pPr>
              <w:spacing w:before="120" w:after="120" w:line="240" w:lineRule="auto"/>
            </w:pPr>
            <w:r>
              <w:t xml:space="preserve">Yes/no</w:t>
            </w:r>
          </w:p>
        </w:tc>
        <w:tc>
          <w:tcPr>
            <w:tcW w:type="dxa" w:w="6210"/>
          </w:tcPr>
          <w:p w14:paraId="27D05264">
            <w:pPr>
              <w:spacing w:before="120" w:after="120" w:line="240" w:lineRule="auto"/>
            </w:pPr>
            <w:r>
              <w:t xml:space="preserve">[CSTL justification]</w:t>
            </w:r>
          </w:p>
        </w:tc>
      </w:tr>
    </w:tbl>
    <w:p w14:paraId="13B79B75">
      <w:pPr>
        <w:spacing w:after="160" w:line="259" w:lineRule="auto"/>
        <w:rPr>
          <w:rFonts w:eastAsia="Times New Roman"/>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3865"/>
        <w:gridCol w:w="1170"/>
        <w:gridCol w:w="4320"/>
      </w:tblGrid>
      <w:tr>
        <w:tc>
          <w:tcPr>
            <w:tcW w:type="dxa" w:w="3865"/>
            <w:shd w:val="clear" w:color="auto" w:fill="E7E6E6"/>
          </w:tcPr>
          <w:p w14:paraId="7DAC3AF5">
            <w:pPr>
              <w:spacing w:before="120" w:after="120" w:line="240" w:lineRule="auto"/>
              <w:rPr>
                <w:b/>
                <w:bCs/>
              </w:rPr>
            </w:pPr>
            <w:r>
              <w:rPr>
                <w:b/>
                <w:bCs/>
              </w:rPr>
              <w:t xml:space="preserve">Date/name of MODIFIED IG and Summary of Changes</w:t>
            </w:r>
          </w:p>
        </w:tc>
        <w:tc>
          <w:tcPr>
            <w:tcW w:type="dxa" w:w="1170"/>
            <w:shd w:val="clear" w:color="auto" w:fill="E7E6E6"/>
          </w:tcPr>
          <w:p w14:paraId="77457D65">
            <w:pPr>
              <w:spacing w:before="120" w:after="120" w:line="240" w:lineRule="auto"/>
              <w:rPr>
                <w:b/>
                <w:bCs/>
              </w:rPr>
            </w:pPr>
            <w:r>
              <w:rPr>
                <w:b/>
                <w:bCs/>
              </w:rPr>
              <w:t xml:space="preserve">Applicable to module?</w:t>
            </w:r>
          </w:p>
        </w:tc>
        <w:tc>
          <w:tcPr>
            <w:tcW w:type="dxa" w:w="4320"/>
            <w:shd w:val="clear" w:color="auto" w:fill="E7E6E6"/>
          </w:tcPr>
          <w:p w14:paraId="3FE87364">
            <w:pPr>
              <w:spacing w:before="120" w:after="120" w:line="240" w:lineRule="auto"/>
              <w:rPr>
                <w:b/>
                <w:bCs/>
              </w:rPr>
            </w:pPr>
            <w:r>
              <w:rPr>
                <w:b/>
                <w:bCs/>
              </w:rPr>
              <w:t xml:space="preserve">How the module meets the requirements found to be applicable</w:t>
            </w:r>
          </w:p>
        </w:tc>
      </w:tr>
      <w:tr>
        <w:tc>
          <w:tcPr>
            <w:tcW w:type="dxa" w:w="9355"/>
            <w:gridSpan w:val="3"/>
            <w:shd w:val="clear" w:color="auto" w:fill="E7E6E6"/>
          </w:tcPr>
          <w:p w14:paraId="2991D8B1">
            <w:pPr>
              <w:spacing w:before="120" w:after="120" w:line="240" w:lineRule="auto"/>
              <w:jc w:val="center"/>
              <w:rPr>
                <w:b/>
                <w:bCs/>
              </w:rPr>
            </w:pPr>
            <w:r>
              <w:rPr>
                <w:b/>
                <w:bCs/>
                <w:sz w:val="24"/>
                <w:szCs w:val="24"/>
              </w:rPr>
              <w:t xml:space="preserve"> See </w:t>
            </w:r>
            <w:hyperlink r:id="rIdLink6">
              <w:r>
                <w:rPr>
                  <w:rStyle w:val="Hyperlink"/>
                  <w:b/>
                  <w:bCs/>
                  <w:u w:val="single"/>
                  <w:color w:val="0563C1"/>
                  <w:sz w:val="24"/>
                  <w:szCs w:val="24"/>
                </w:rPr>
                <w:t xml:space="preserve">IG Change Summary &amp; Archived Versions</w:t>
              </w:r>
            </w:hyperlink>
            <w:r>
              <w:rPr>
                <w:b/>
                <w:bCs/>
              </w:rPr>
              <w:t xml:space="preserve"> </w:t>
            </w:r>
          </w:p>
        </w:tc>
      </w:tr>
      <w:tr>
        <w:tc>
          <w:tcPr>
            <w:tcW w:type="dxa" w:w="3865"/>
          </w:tcPr>
          <w:p w14:paraId="1862CB6F">
            <w:pPr>
              <w:spacing w:before="120" w:after="120" w:line="240" w:lineRule="auto"/>
            </w:pPr>
            <w:r>
              <w:t xml:space="preserve">…</w:t>
            </w:r>
            <w:r>
              <w:rPr>
                <w:b/>
                <w:bCs/>
              </w:rPr>
              <w:t xml:space="preserve"> Please add any relevant modified IGs that were either published after this Change Document date, or not listed below but still relevant to the UPDT</w:t>
            </w:r>
          </w:p>
        </w:tc>
        <w:tc>
          <w:tcPr>
            <w:tcW w:type="dxa" w:w="1170"/>
          </w:tcPr>
          <w:p w14:paraId="2123104E">
            <w:pPr>
              <w:spacing w:before="120" w:after="120" w:line="240" w:lineRule="auto"/>
            </w:pPr>
            <w:r>
              <w:t xml:space="preserve">…</w:t>
            </w:r>
          </w:p>
        </w:tc>
        <w:tc>
          <w:tcPr>
            <w:tcW w:type="dxa" w:w="4320"/>
          </w:tcPr>
          <w:p w14:paraId="593555E7">
            <w:pPr>
              <w:spacing w:before="120" w:after="120" w:line="240" w:lineRule="auto"/>
            </w:pPr>
          </w:p>
        </w:tc>
      </w:tr>
      <w:tr>
        <w:tc>
          <w:tcPr>
            <w:tcW w:type="dxa" w:w="3865"/>
          </w:tcPr>
          <w:p w14:paraId="055D1108">
            <w:pPr>
              <w:spacing w:before="120" w:after="120" w:line="240" w:lineRule="auto"/>
            </w:pPr>
          </w:p>
        </w:tc>
        <w:tc>
          <w:tcPr>
            <w:tcW w:type="dxa" w:w="1170"/>
          </w:tcPr>
          <w:p w14:paraId="5E63134E">
            <w:pPr>
              <w:spacing w:before="120" w:after="120" w:line="240" w:lineRule="auto"/>
            </w:pPr>
          </w:p>
        </w:tc>
        <w:tc>
          <w:tcPr>
            <w:tcW w:type="dxa" w:w="4320"/>
          </w:tcPr>
          <w:p w14:paraId="19E88868">
            <w:pPr>
              <w:spacing w:before="120" w:after="120" w:line="240" w:lineRule="auto"/>
              <w:rPr>
                <w:b/>
                <w:bCs/>
              </w:rPr>
            </w:pPr>
          </w:p>
        </w:tc>
      </w:tr>
      <w:tr>
        <w:tc>
          <w:tcPr>
            <w:tcW w:type="dxa" w:w="3865"/>
          </w:tcPr>
          <w:p w14:paraId="120EFC77">
            <w:pPr>
              <w:spacing w:before="120" w:after="120" w:line="240" w:lineRule="auto"/>
            </w:pPr>
            <w:r>
              <w:rPr>
                <w:i/>
                <w:iCs/>
              </w:rPr>
              <w:t xml:space="preserve">04/09/26: 2.4.B Tracking the Component Validation List</w:t>
            </w:r>
            <w:r>
              <w:t xml:space="preserve"> – Added SPDM KDF CVL (Resolution 9).</w:t>
            </w:r>
          </w:p>
        </w:tc>
        <w:tc>
          <w:tcPr>
            <w:tcW w:type="dxa" w:w="1170"/>
          </w:tcPr>
          <w:p w14:paraId="63F81DFF">
            <w:pPr>
              <w:spacing w:before="120" w:after="120" w:line="240" w:lineRule="auto"/>
            </w:pPr>
            <w:r>
              <w:t xml:space="preserve">Yes/no</w:t>
            </w:r>
          </w:p>
        </w:tc>
        <w:tc>
          <w:tcPr>
            <w:tcW w:type="dxa" w:w="4320"/>
          </w:tcPr>
          <w:p w14:paraId="40A3A564">
            <w:pPr>
              <w:spacing w:before="120" w:after="120" w:line="240" w:lineRule="auto"/>
              <w:rPr>
                <w:b/>
                <w:bCs/>
              </w:rPr>
            </w:pPr>
          </w:p>
        </w:tc>
      </w:tr>
      <w:tr>
        <w:tc>
          <w:tcPr>
            <w:tcW w:type="dxa" w:w="3865"/>
          </w:tcPr>
          <w:p w14:paraId="53CA0959">
            <w:pPr>
              <w:spacing w:before="120" w:after="120" w:line="240" w:lineRule="auto"/>
            </w:pPr>
            <w:r>
              <w:rPr>
                <w:i/>
                <w:iCs/>
              </w:rPr>
              <w:t xml:space="preserve">04/09/26: 5.A Definition of Non-Reconfigurable Memory</w:t>
            </w:r>
            <w:r>
              <w:t xml:space="preserve"> – </w:t>
            </w:r>
            <w:r>
              <w:rPr>
                <w:u w:val="single"/>
              </w:rPr>
              <w:t xml:space="preserve">Several changes</w:t>
            </w:r>
            <w:r>
              <w:t xml:space="preserve">; see IG Modified Guidance.</w:t>
            </w:r>
          </w:p>
        </w:tc>
        <w:tc>
          <w:tcPr>
            <w:tcW w:type="dxa" w:w="1170"/>
          </w:tcPr>
          <w:p w14:paraId="08D56EBB">
            <w:pPr>
              <w:spacing w:before="120" w:after="120" w:line="240" w:lineRule="auto"/>
            </w:pPr>
            <w:r>
              <w:t xml:space="preserve">Yes/no</w:t>
            </w:r>
          </w:p>
        </w:tc>
        <w:tc>
          <w:tcPr>
            <w:tcW w:type="dxa" w:w="4320"/>
          </w:tcPr>
          <w:p w14:paraId="7F05B5C6">
            <w:pPr>
              <w:spacing w:before="120" w:after="120" w:line="240" w:lineRule="auto"/>
              <w:rPr>
                <w:b/>
                <w:bCs/>
              </w:rPr>
            </w:pPr>
          </w:p>
        </w:tc>
      </w:tr>
      <w:tr>
        <w:tc>
          <w:tcPr>
            <w:tcW w:type="dxa" w:w="3865"/>
          </w:tcPr>
          <w:p w14:paraId="6C844481">
            <w:pPr>
              <w:spacing w:before="120" w:after="120" w:line="240" w:lineRule="auto"/>
            </w:pPr>
            <w:r>
              <w:rPr>
                <w:i/>
                <w:iCs/>
              </w:rPr>
              <w:t xml:space="preserve">04/09/26: C.H Key/IV Pair Uniqueness Requirements from SP 800-38D</w:t>
            </w:r>
            <w:r>
              <w:t xml:space="preserve"> – Added SPDM into Scenario 1. Added optional “CSP” designation to Additional Comment 10 and added new reference to SP 800-38D. Added where in the Security Policy and Test Report information must be included in the sentences that begin with “A statement to that effect shall be included…”.</w:t>
            </w:r>
          </w:p>
        </w:tc>
        <w:tc>
          <w:tcPr>
            <w:tcW w:type="dxa" w:w="1170"/>
          </w:tcPr>
          <w:p w14:paraId="2944EFBE">
            <w:pPr>
              <w:spacing w:before="120" w:after="120" w:line="240" w:lineRule="auto"/>
            </w:pPr>
            <w:r>
              <w:t xml:space="preserve">Yes/no</w:t>
            </w:r>
          </w:p>
        </w:tc>
        <w:tc>
          <w:tcPr>
            <w:tcW w:type="dxa" w:w="4320"/>
          </w:tcPr>
          <w:p w14:paraId="54AE0EA2">
            <w:pPr>
              <w:spacing w:before="120" w:after="120" w:line="240" w:lineRule="auto"/>
              <w:rPr>
                <w:b/>
                <w:bCs/>
              </w:rPr>
            </w:pPr>
          </w:p>
        </w:tc>
      </w:tr>
      <w:tr>
        <w:tc>
          <w:tcPr>
            <w:tcW w:type="dxa" w:w="3865"/>
          </w:tcPr>
          <w:p w14:paraId="42B98B46">
            <w:pPr>
              <w:spacing w:before="120" w:after="120" w:line="240" w:lineRule="auto"/>
            </w:pPr>
            <w:r>
              <w:rPr>
                <w:i/>
                <w:iCs/>
              </w:rPr>
              <w:t xml:space="preserve">04/09/26: D.G Key Transport Methods</w:t>
            </w:r>
            <w:r>
              <w:t xml:space="preserve"> – Admin update to the Approved Methods section to 1) remove Triple-DES references, and 2) update the sentence “The entire wrapped message shall be authenticated” to make more explicit that authentication is applied not just to the wrapped key, but also to other associated SSPs.</w:t>
            </w:r>
          </w:p>
        </w:tc>
        <w:tc>
          <w:tcPr>
            <w:tcW w:type="dxa" w:w="1170"/>
          </w:tcPr>
          <w:p w14:paraId="6320CE2D">
            <w:pPr>
              <w:spacing w:before="120" w:after="120" w:line="240" w:lineRule="auto"/>
            </w:pPr>
            <w:r>
              <w:t xml:space="preserve">Yes/no</w:t>
            </w:r>
          </w:p>
        </w:tc>
        <w:tc>
          <w:tcPr>
            <w:tcW w:type="dxa" w:w="4320"/>
          </w:tcPr>
          <w:p w14:paraId="7C9274B4">
            <w:pPr>
              <w:spacing w:before="120" w:after="120" w:line="240" w:lineRule="auto"/>
              <w:rPr>
                <w:b/>
                <w:bCs/>
              </w:rPr>
            </w:pPr>
          </w:p>
        </w:tc>
      </w:tr>
      <w:tr>
        <w:tc>
          <w:tcPr>
            <w:tcW w:type="dxa" w:w="3865"/>
          </w:tcPr>
          <w:p w14:paraId="44558915">
            <w:pPr>
              <w:spacing w:before="120" w:after="120" w:line="240" w:lineRule="auto"/>
            </w:pPr>
            <w:r>
              <w:rPr>
                <w:i/>
                <w:iCs/>
              </w:rPr>
              <w:t xml:space="preserve">04/09/26: D.K Interpretation of SP 800-90B Requirement</w:t>
            </w:r>
            <w:r>
              <w:t xml:space="preserve"> – </w:t>
            </w:r>
            <w:r>
              <w:rPr>
                <w:u w:val="single"/>
              </w:rPr>
              <w:t xml:space="preserve">Several changes</w:t>
            </w:r>
            <w:r>
              <w:t xml:space="preserve">; see IG Modified Guidance.</w:t>
            </w:r>
          </w:p>
        </w:tc>
        <w:tc>
          <w:tcPr>
            <w:tcW w:type="dxa" w:w="1170"/>
          </w:tcPr>
          <w:p w14:paraId="2078CDD6">
            <w:pPr>
              <w:spacing w:before="120" w:after="120" w:line="240" w:lineRule="auto"/>
            </w:pPr>
            <w:r>
              <w:t xml:space="preserve">Yes/no</w:t>
            </w:r>
          </w:p>
        </w:tc>
        <w:tc>
          <w:tcPr>
            <w:tcW w:type="dxa" w:w="4320"/>
          </w:tcPr>
          <w:p w14:paraId="557D5119">
            <w:pPr>
              <w:spacing w:before="120" w:after="120" w:line="240" w:lineRule="auto"/>
              <w:rPr>
                <w:b/>
                <w:bCs/>
              </w:rPr>
            </w:pPr>
          </w:p>
        </w:tc>
      </w:tr>
      <w:tr>
        <w:tc>
          <w:tcPr>
            <w:tcW w:type="dxa" w:w="3865"/>
          </w:tcPr>
          <w:p w14:paraId="5DD4131C">
            <w:pPr>
              <w:spacing w:before="120" w:after="120" w:line="240" w:lineRule="auto"/>
            </w:pPr>
            <w:r>
              <w:rPr>
                <w:i/>
                <w:iCs/>
              </w:rPr>
              <w:t xml:space="preserve">04/09/26: D.S Key Encapsulation Mechanisms</w:t>
            </w:r>
            <w:r>
              <w:t xml:space="preserve"> – Added intro paragraph in the Resolution. Added guidance in relation to the recently published SP 800-227, including a new Scenario 2 for hybrid KEMs and new Additional Comments (6, 7 and 8). Added “CAVP Testing (Scenario 1 and Scenario 2)” to clarify CAVP testing. Published this IG in tandem with associated guidance documents: Use of KEM with SP800-140Br1, Use of KEM Hybrid with SP800-140Br1.</w:t>
            </w:r>
          </w:p>
        </w:tc>
        <w:tc>
          <w:tcPr>
            <w:tcW w:type="dxa" w:w="1170"/>
          </w:tcPr>
          <w:p w14:paraId="2BEDFD6D">
            <w:pPr>
              <w:spacing w:before="120" w:after="120" w:line="240" w:lineRule="auto"/>
            </w:pPr>
            <w:r>
              <w:t xml:space="preserve">Yes/no</w:t>
            </w:r>
          </w:p>
        </w:tc>
        <w:tc>
          <w:tcPr>
            <w:tcW w:type="dxa" w:w="4320"/>
          </w:tcPr>
          <w:p w14:paraId="642019C9">
            <w:pPr>
              <w:spacing w:before="120" w:after="120" w:line="240" w:lineRule="auto"/>
              <w:rPr>
                <w:b/>
                <w:bCs/>
              </w:rPr>
            </w:pPr>
          </w:p>
        </w:tc>
      </w:tr>
      <w:tr>
        <w:tc>
          <w:tcPr>
            <w:tcW w:type="dxa" w:w="3865"/>
          </w:tcPr>
          <w:p w14:paraId="4A9332C7">
            <w:pPr>
              <w:spacing w:before="120" w:after="120" w:line="240" w:lineRule="auto"/>
            </w:pPr>
            <w:r>
              <w:rPr>
                <w:i/>
                <w:iCs/>
              </w:rPr>
              <w:t xml:space="preserve">02/27/26: C.I XTS-AES (SP 800-38E) Requirements on the Key</w:t>
            </w:r>
            <w:r>
              <w:t xml:space="preserve"> – Admin update to the Resolution to clarify the documentation requirements in the Test Report and Security Policy.</w:t>
            </w:r>
          </w:p>
        </w:tc>
        <w:tc>
          <w:tcPr>
            <w:tcW w:type="dxa" w:w="1170"/>
          </w:tcPr>
          <w:p w14:paraId="0C0FD6E3">
            <w:pPr>
              <w:spacing w:before="120" w:after="120" w:line="240" w:lineRule="auto"/>
            </w:pPr>
            <w:r>
              <w:t xml:space="preserve">Yes/no</w:t>
            </w:r>
          </w:p>
        </w:tc>
        <w:tc>
          <w:tcPr>
            <w:tcW w:type="dxa" w:w="4320"/>
          </w:tcPr>
          <w:p w14:paraId="56B366BB">
            <w:pPr>
              <w:spacing w:before="120" w:after="120" w:line="240" w:lineRule="auto"/>
              <w:rPr>
                <w:b/>
                <w:bCs/>
              </w:rPr>
            </w:pPr>
          </w:p>
        </w:tc>
      </w:tr>
      <w:tr>
        <w:tc>
          <w:tcPr>
            <w:tcW w:type="dxa" w:w="3865"/>
          </w:tcPr>
          <w:p w14:paraId="773DCE26">
            <w:pPr>
              <w:spacing w:before="120" w:after="120" w:line="240" w:lineRule="auto"/>
            </w:pPr>
            <w:r>
              <w:rPr>
                <w:i/>
                <w:iCs/>
              </w:rPr>
              <w:t xml:space="preserve">09/02/25</w:t>
            </w:r>
            <w:r>
              <w:t xml:space="preserve">: 2.3.A</w:t>
            </w:r>
            <w:r>
              <w:rPr>
                <w:i/>
                <w:iCs/>
              </w:rPr>
              <w:t xml:space="preserve"> Binding of Cryptographic Algorithm Validation Certificates</w:t>
            </w:r>
            <w:r>
              <w:t xml:space="preserve"> </w:t>
            </w:r>
            <w:r>
              <w:rPr>
                <w:i/>
                <w:iCs/>
              </w:rPr>
              <w:t xml:space="preserve">– </w:t>
            </w:r>
            <w:r>
              <w:rPr>
                <w:i w:val="0"/>
              </w:rPr>
              <w:t xml:space="preserve">Admin update to add </w:t>
            </w:r>
            <w:r>
              <w:rPr>
                <w:i/>
                <w:iCs/>
              </w:rPr>
              <w:t xml:space="preserve">“</w:t>
            </w:r>
            <w:r>
              <w:t xml:space="preserve">or fully included in” into Resolution 2. </w:t>
            </w:r>
          </w:p>
        </w:tc>
        <w:tc>
          <w:tcPr>
            <w:tcW w:type="dxa" w:w="1170"/>
          </w:tcPr>
          <w:p w14:paraId="191A7C52">
            <w:pPr>
              <w:spacing w:before="120" w:after="120" w:line="240" w:lineRule="auto"/>
            </w:pPr>
            <w:r>
              <w:t xml:space="preserve">Yes/no</w:t>
            </w:r>
          </w:p>
        </w:tc>
        <w:tc>
          <w:tcPr>
            <w:tcW w:type="dxa" w:w="4320"/>
          </w:tcPr>
          <w:p w14:paraId="28201AA6">
            <w:pPr>
              <w:spacing w:before="120" w:after="120" w:line="240" w:lineRule="auto"/>
              <w:rPr>
                <w:b/>
                <w:bCs/>
              </w:rPr>
            </w:pPr>
          </w:p>
        </w:tc>
      </w:tr>
      <w:tr>
        <w:tc>
          <w:tcPr>
            <w:tcW w:type="dxa" w:w="3865"/>
          </w:tcPr>
          <w:p w14:paraId="0C7BA551">
            <w:pPr>
              <w:spacing w:before="120" w:after="120" w:line="240" w:lineRule="auto"/>
            </w:pPr>
            <w:r>
              <w:rPr>
                <w:i/>
                <w:iCs/>
              </w:rPr>
              <w:t xml:space="preserve">09/02/25</w:t>
            </w:r>
            <w:r>
              <w:t xml:space="preserve">: 2.3.C</w:t>
            </w:r>
            <w:r>
              <w:rPr>
                <w:i/>
                <w:iCs/>
              </w:rPr>
              <w:t xml:space="preserve"> Processor Algorithm Accelerators (PAA) and Processor Algorithm Implementation (PAI)</w:t>
            </w:r>
            <w:r>
              <w:t xml:space="preserve"> – Admin update to add Additional Comment #8 to explicitly require the Security Policy diagram to include PAA/PAI.</w:t>
            </w:r>
          </w:p>
        </w:tc>
        <w:tc>
          <w:tcPr>
            <w:tcW w:type="dxa" w:w="1170"/>
          </w:tcPr>
          <w:p w14:paraId="7E81DF20">
            <w:pPr>
              <w:spacing w:before="120" w:after="120" w:line="240" w:lineRule="auto"/>
            </w:pPr>
            <w:r>
              <w:t xml:space="preserve">Yes/no</w:t>
            </w:r>
          </w:p>
        </w:tc>
        <w:tc>
          <w:tcPr>
            <w:tcW w:type="dxa" w:w="4320"/>
          </w:tcPr>
          <w:p w14:paraId="5759D27F">
            <w:pPr>
              <w:spacing w:before="120" w:after="120" w:line="240" w:lineRule="auto"/>
              <w:rPr>
                <w:b/>
                <w:bCs/>
              </w:rPr>
            </w:pPr>
          </w:p>
        </w:tc>
      </w:tr>
      <w:tr>
        <w:tc>
          <w:tcPr>
            <w:tcW w:type="dxa" w:w="3865"/>
          </w:tcPr>
          <w:p w14:paraId="6F2F7FCD">
            <w:pPr>
              <w:spacing w:before="120" w:after="120" w:line="240" w:lineRule="auto"/>
            </w:pPr>
            <w:r>
              <w:rPr>
                <w:i/>
                <w:iCs/>
              </w:rPr>
              <w:t xml:space="preserve">09/02/25</w:t>
            </w:r>
            <w:r>
              <w:t xml:space="preserve">: 9.7.B</w:t>
            </w:r>
            <w:r>
              <w:rPr>
                <w:i/>
                <w:iCs/>
              </w:rPr>
              <w:t xml:space="preserve"> Indicator of Zeroisation</w:t>
            </w:r>
            <w:r>
              <w:t xml:space="preserve"> – Admin update to remove Resolution #2 since procedural zeroisation is a Security Level 1 requirement and therefore falls outside the scope of AS09.33 and this IG.</w:t>
            </w:r>
          </w:p>
        </w:tc>
        <w:tc>
          <w:tcPr>
            <w:tcW w:type="dxa" w:w="1170"/>
          </w:tcPr>
          <w:p w14:paraId="0C46C606">
            <w:pPr>
              <w:spacing w:before="120" w:after="120" w:line="240" w:lineRule="auto"/>
            </w:pPr>
            <w:r>
              <w:t xml:space="preserve">Yes/no</w:t>
            </w:r>
          </w:p>
        </w:tc>
        <w:tc>
          <w:tcPr>
            <w:tcW w:type="dxa" w:w="4320"/>
          </w:tcPr>
          <w:p w14:paraId="1227930C">
            <w:pPr>
              <w:spacing w:before="120" w:after="120" w:line="240" w:lineRule="auto"/>
              <w:rPr>
                <w:b/>
                <w:bCs/>
              </w:rPr>
            </w:pPr>
          </w:p>
        </w:tc>
      </w:tr>
      <w:tr>
        <w:tc>
          <w:tcPr>
            <w:tcW w:type="dxa" w:w="3865"/>
          </w:tcPr>
          <w:p w14:paraId="5CE50B4E">
            <w:pPr>
              <w:spacing w:before="120" w:after="120" w:line="240" w:lineRule="auto"/>
            </w:pPr>
            <w:r>
              <w:rPr>
                <w:i/>
                <w:iCs/>
              </w:rPr>
              <w:t xml:space="preserve">09/02/25</w:t>
            </w:r>
            <w:r>
              <w:t xml:space="preserve">: 10.3.A</w:t>
            </w:r>
            <w:r>
              <w:rPr>
                <w:i/>
                <w:iCs/>
              </w:rPr>
              <w:t xml:space="preserve"> Cryptographic Algorithm Self-Test Requirements</w:t>
            </w:r>
            <w:r>
              <w:t xml:space="preserve"> – New Resolution 17 to incorporate the Ascon family of algorithms specified in the </w:t>
            </w:r>
            <w:r>
              <w:rPr>
                <w:b/>
                <w:bCs/>
              </w:rPr>
              <w:t xml:space="preserve">SP 800-232</w:t>
            </w:r>
            <w:r>
              <w:t xml:space="preserve">. Update to ML-KEM, ML-DSA and SLH-DSA key generation sections to permit checking against the private key only, since the private key contains a copy of the public key (or its hashed value). New GeneralNote7 on permitting hashed representations for pre-computed values. Modified Additional Comment 1 to clarify the PCT is not required by AS10.35 for imported keys.</w:t>
            </w:r>
          </w:p>
        </w:tc>
        <w:tc>
          <w:tcPr>
            <w:tcW w:type="dxa" w:w="1170"/>
          </w:tcPr>
          <w:p w14:paraId="59EF8A39">
            <w:pPr>
              <w:spacing w:before="120" w:after="120" w:line="240" w:lineRule="auto"/>
            </w:pPr>
            <w:r>
              <w:t xml:space="preserve">Yes/no</w:t>
            </w:r>
          </w:p>
        </w:tc>
        <w:tc>
          <w:tcPr>
            <w:tcW w:type="dxa" w:w="4320"/>
          </w:tcPr>
          <w:p w14:paraId="55969335">
            <w:pPr>
              <w:spacing w:before="120" w:after="120" w:line="240" w:lineRule="auto"/>
              <w:rPr>
                <w:b/>
                <w:bCs/>
              </w:rPr>
            </w:pPr>
          </w:p>
        </w:tc>
      </w:tr>
      <w:tr>
        <w:tc>
          <w:tcPr>
            <w:tcW w:type="dxa" w:w="3865"/>
          </w:tcPr>
          <w:p w14:paraId="37DF0394">
            <w:pPr>
              <w:spacing w:before="120" w:after="120" w:line="240" w:lineRule="auto"/>
            </w:pPr>
            <w:r>
              <w:t xml:space="preserve">09/02/25: 10.3.F </w:t>
            </w:r>
            <w:r>
              <w:rPr>
                <w:i/>
                <w:iCs/>
              </w:rPr>
              <w:t xml:space="preserve">Complete Image Replacement Versus Software/Firmware Loading</w:t>
            </w:r>
            <w:r>
              <w:t xml:space="preserve">– Admin update to Additional Comment #3a (3) to indicate TE05.13.06 (which requires the assumption of the CO role) is N/A if the loading is done during initialisation. Updated Additional Comment #6 to emphasize the integrity test is only applicable to bitstreams stored persistently within the FPGA; however, the load test is still required each time the bitstream crosses the FPGA module boundary (related to </w:t>
            </w:r>
            <w:hyperlink r:id="rIdLink7">
              <w:r>
                <w:rPr>
                  <w:rStyle w:val="Hyperlink"/>
                  <w:u w:val="single"/>
                  <w:color w:val="0563C1"/>
                </w:rPr>
                <w:t xml:space="preserve">RFG 250117</w:t>
              </w:r>
            </w:hyperlink>
            <w:r>
              <w:t xml:space="preserve">). </w:t>
            </w:r>
          </w:p>
        </w:tc>
        <w:tc>
          <w:tcPr>
            <w:tcW w:type="dxa" w:w="1170"/>
          </w:tcPr>
          <w:p w14:paraId="0199214E">
            <w:pPr>
              <w:spacing w:before="120" w:after="120" w:line="240" w:lineRule="auto"/>
            </w:pPr>
            <w:r>
              <w:t xml:space="preserve">Yes/no</w:t>
            </w:r>
          </w:p>
        </w:tc>
        <w:tc>
          <w:tcPr>
            <w:tcW w:type="dxa" w:w="4320"/>
          </w:tcPr>
          <w:p w14:paraId="6A9F6D53">
            <w:pPr>
              <w:spacing w:before="120" w:after="120" w:line="240" w:lineRule="auto"/>
              <w:rPr>
                <w:b/>
                <w:bCs/>
              </w:rPr>
            </w:pPr>
          </w:p>
        </w:tc>
      </w:tr>
      <w:tr>
        <w:tc>
          <w:tcPr>
            <w:tcW w:type="dxa" w:w="3865"/>
          </w:tcPr>
          <w:p w14:paraId="487E5CF7">
            <w:pPr>
              <w:spacing w:before="120" w:after="120" w:line="240" w:lineRule="auto"/>
            </w:pPr>
            <w:r>
              <w:rPr>
                <w:i/>
                <w:iCs/>
              </w:rPr>
              <w:t xml:space="preserve">09/02/25</w:t>
            </w:r>
            <w:r>
              <w:t xml:space="preserve">: </w:t>
            </w:r>
            <w:r>
              <w:rPr>
                <w:i/>
                <w:iCs/>
              </w:rPr>
              <w:t xml:space="preserve">C.H Key/IV Pair Uniqueness Requirements from SP 800-38D</w:t>
            </w:r>
            <w:r>
              <w:t xml:space="preserve"> – Added TLS/DTLS V1.3 into Scenario 1. New Additional Comment 10 requiring the AES GCM IV be classified as an SSP (PSP).</w:t>
            </w:r>
          </w:p>
        </w:tc>
        <w:tc>
          <w:tcPr>
            <w:tcW w:type="dxa" w:w="1170"/>
          </w:tcPr>
          <w:p w14:paraId="32C13FE8">
            <w:pPr>
              <w:spacing w:before="120" w:after="120" w:line="240" w:lineRule="auto"/>
            </w:pPr>
            <w:r>
              <w:t xml:space="preserve">Yes/no</w:t>
            </w:r>
          </w:p>
        </w:tc>
        <w:tc>
          <w:tcPr>
            <w:tcW w:type="dxa" w:w="4320"/>
          </w:tcPr>
          <w:p w14:paraId="3ABD6865">
            <w:pPr>
              <w:spacing w:before="120" w:after="120" w:line="240" w:lineRule="auto"/>
              <w:rPr>
                <w:b/>
                <w:bCs/>
              </w:rPr>
            </w:pPr>
          </w:p>
        </w:tc>
      </w:tr>
      <w:tr>
        <w:tc>
          <w:tcPr>
            <w:tcW w:type="dxa" w:w="3865"/>
          </w:tcPr>
          <w:p w14:paraId="7436D240">
            <w:pPr>
              <w:spacing w:before="120" w:after="120" w:line="240" w:lineRule="auto"/>
            </w:pPr>
            <w:r>
              <w:rPr>
                <w:i/>
                <w:iCs/>
              </w:rPr>
              <w:t xml:space="preserve">09/02/25</w:t>
            </w:r>
            <w:r>
              <w:t xml:space="preserve">: C.K </w:t>
            </w:r>
            <w:r>
              <w:rPr>
                <w:i/>
                <w:iCs/>
              </w:rPr>
              <w:t xml:space="preserve">Transition from FIPS 186-4 to FIPS 186-5 and SP 800-186</w:t>
            </w:r>
            <w:r>
              <w:t xml:space="preserve"> – Admin update to Additional Comment #2 for clarity/completeness regarding FIPS 186 CAVP tests.</w:t>
            </w:r>
          </w:p>
        </w:tc>
        <w:tc>
          <w:tcPr>
            <w:tcW w:type="dxa" w:w="1170"/>
          </w:tcPr>
          <w:p w14:paraId="762CDCA7">
            <w:pPr>
              <w:spacing w:before="120" w:after="120" w:line="240" w:lineRule="auto"/>
            </w:pPr>
            <w:r>
              <w:t xml:space="preserve">Yes/no</w:t>
            </w:r>
          </w:p>
        </w:tc>
        <w:tc>
          <w:tcPr>
            <w:tcW w:type="dxa" w:w="4320"/>
          </w:tcPr>
          <w:p w14:paraId="3219F92A">
            <w:pPr>
              <w:spacing w:before="120" w:after="120" w:line="240" w:lineRule="auto"/>
              <w:rPr>
                <w:b/>
                <w:bCs/>
              </w:rPr>
            </w:pPr>
          </w:p>
        </w:tc>
      </w:tr>
      <w:tr>
        <w:tc>
          <w:tcPr>
            <w:tcW w:type="dxa" w:w="3865"/>
          </w:tcPr>
          <w:p w14:paraId="720752DF">
            <w:pPr>
              <w:spacing w:before="120" w:after="120" w:line="240" w:lineRule="auto"/>
            </w:pPr>
            <w:r>
              <w:rPr>
                <w:i/>
                <w:iCs/>
              </w:rPr>
              <w:t xml:space="preserve">09/02/25</w:t>
            </w:r>
            <w:r>
              <w:t xml:space="preserve">: D.B </w:t>
            </w:r>
            <w:r>
              <w:rPr>
                <w:i/>
                <w:iCs/>
              </w:rPr>
              <w:t xml:space="preserve">Strength of SSP Establishment Methods: </w:t>
            </w:r>
            <w:r>
              <w:t xml:space="preserve">Admin correction to refer </w:t>
            </w:r>
            <w:r>
              <w:rPr>
                <w:i w:val="0"/>
              </w:rPr>
              <w:t xml:space="preserve">to</w:t>
            </w:r>
            <w:r>
              <w:rPr>
                <w:i/>
                <w:iCs/>
              </w:rPr>
              <w:t xml:space="preserve"> </w:t>
            </w:r>
            <w:hyperlink r:id="rIdLink8">
              <w:r>
                <w:rPr>
                  <w:rStyle w:val="Hyperlink"/>
                  <w:u w:val="single"/>
                  <w:color w:val="0563C1"/>
                </w:rPr>
                <w:t xml:space="preserve">SP 800-140B: CMVP Security Policy Requirements</w:t>
              </w:r>
            </w:hyperlink>
            <w:r>
              <w:rPr>
                <w:color w:val="000000"/>
              </w:rPr>
              <w:t xml:space="preserve"> (see MIS Guidance “KAS”/”KTS”).</w:t>
            </w:r>
          </w:p>
        </w:tc>
        <w:tc>
          <w:tcPr>
            <w:tcW w:type="dxa" w:w="1170"/>
          </w:tcPr>
          <w:p w14:paraId="1E033750">
            <w:pPr>
              <w:spacing w:before="120" w:after="120" w:line="240" w:lineRule="auto"/>
            </w:pPr>
            <w:r>
              <w:t xml:space="preserve">Yes/no</w:t>
            </w:r>
          </w:p>
        </w:tc>
        <w:tc>
          <w:tcPr>
            <w:tcW w:type="dxa" w:w="4320"/>
          </w:tcPr>
          <w:p w14:paraId="7C6DCD1A">
            <w:pPr>
              <w:spacing w:before="120" w:after="120" w:line="240" w:lineRule="auto"/>
              <w:rPr>
                <w:b/>
                <w:bCs/>
              </w:rPr>
            </w:pPr>
          </w:p>
        </w:tc>
      </w:tr>
      <w:tr>
        <w:tc>
          <w:tcPr>
            <w:tcW w:type="dxa" w:w="3865"/>
          </w:tcPr>
          <w:p w14:paraId="06335286">
            <w:pPr>
              <w:spacing w:before="120" w:after="120" w:line="240" w:lineRule="auto"/>
            </w:pPr>
            <w:r>
              <w:rPr>
                <w:i/>
                <w:iCs/>
              </w:rPr>
              <w:t xml:space="preserve">09/02/25</w:t>
            </w:r>
            <w:r>
              <w:t xml:space="preserve">: D.F </w:t>
            </w:r>
            <w:r>
              <w:rPr>
                <w:i/>
                <w:iCs/>
              </w:rPr>
              <w:t xml:space="preserve">Key Agreement Methods</w:t>
            </w:r>
            <w:r>
              <w:t xml:space="preserve"> – Admin update to add Additional Comment #13 to refer to the associated CAVP tests. Admin update to refer to </w:t>
            </w:r>
            <w:hyperlink r:id="rIdLink8">
              <w:r>
                <w:rPr>
                  <w:rStyle w:val="Hyperlink"/>
                  <w:u w:val="single"/>
                  <w:color w:val="0563C1"/>
                </w:rPr>
                <w:t xml:space="preserve">SP 800-140B: CMVP Security Policy Requirements</w:t>
              </w:r>
            </w:hyperlink>
            <w:r>
              <w:rPr>
                <w:color w:val="000000"/>
              </w:rPr>
              <w:t xml:space="preserve"> (see MIS Guidance “KAS”) (e.g., updated </w:t>
            </w:r>
            <w:r>
              <w:t xml:space="preserve">Additional Comment #4)</w:t>
            </w:r>
            <w:r>
              <w:rPr>
                <w:color w:val="000000"/>
              </w:rPr>
              <w:t xml:space="preserve">.</w:t>
            </w:r>
          </w:p>
        </w:tc>
        <w:tc>
          <w:tcPr>
            <w:tcW w:type="dxa" w:w="1170"/>
          </w:tcPr>
          <w:p w14:paraId="79F18D5B">
            <w:pPr>
              <w:spacing w:before="120" w:after="120" w:line="240" w:lineRule="auto"/>
            </w:pPr>
            <w:r>
              <w:t xml:space="preserve">Yes/no</w:t>
            </w:r>
          </w:p>
        </w:tc>
        <w:tc>
          <w:tcPr>
            <w:tcW w:type="dxa" w:w="4320"/>
          </w:tcPr>
          <w:p w14:paraId="42C8E27B">
            <w:pPr>
              <w:spacing w:before="120" w:after="120" w:line="240" w:lineRule="auto"/>
              <w:rPr>
                <w:b/>
                <w:bCs/>
              </w:rPr>
            </w:pPr>
          </w:p>
        </w:tc>
      </w:tr>
      <w:tr>
        <w:tc>
          <w:tcPr>
            <w:tcW w:type="dxa" w:w="3865"/>
          </w:tcPr>
          <w:p w14:paraId="78BA44D8">
            <w:pPr>
              <w:spacing w:before="120" w:after="120" w:line="240" w:lineRule="auto"/>
            </w:pPr>
            <w:r>
              <w:rPr>
                <w:i/>
                <w:iCs/>
              </w:rPr>
              <w:t xml:space="preserve">09/02/25</w:t>
            </w:r>
            <w:r>
              <w:t xml:space="preserve">: D.G </w:t>
            </w:r>
            <w:r>
              <w:rPr>
                <w:i/>
                <w:iCs/>
              </w:rPr>
              <w:t xml:space="preserve">Key Transport Methods</w:t>
            </w:r>
            <w:r>
              <w:t xml:space="preserve"> – Admin update to refer to </w:t>
            </w:r>
            <w:hyperlink r:id="rIdLink8">
              <w:r>
                <w:rPr>
                  <w:rStyle w:val="Hyperlink"/>
                  <w:u w:val="single"/>
                  <w:color w:val="0563C1"/>
                </w:rPr>
                <w:t xml:space="preserve">SP 800-140B: CMVP Security Policy Requirements</w:t>
              </w:r>
            </w:hyperlink>
            <w:r>
              <w:rPr>
                <w:color w:val="000000"/>
              </w:rPr>
              <w:t xml:space="preserve"> (see MIS Guidance “KTS”) (e.g., merged </w:t>
            </w:r>
            <w:r>
              <w:t xml:space="preserve">Additional Comment #4 and #5)</w:t>
            </w:r>
            <w:r>
              <w:rPr>
                <w:color w:val="000000"/>
              </w:rPr>
              <w:t xml:space="preserve">.</w:t>
            </w:r>
          </w:p>
        </w:tc>
        <w:tc>
          <w:tcPr>
            <w:tcW w:type="dxa" w:w="1170"/>
          </w:tcPr>
          <w:p w14:paraId="1CF00D21">
            <w:pPr>
              <w:spacing w:before="120" w:after="120" w:line="240" w:lineRule="auto"/>
            </w:pPr>
            <w:r>
              <w:t xml:space="preserve">Yes/no</w:t>
            </w:r>
          </w:p>
        </w:tc>
        <w:tc>
          <w:tcPr>
            <w:tcW w:type="dxa" w:w="4320"/>
          </w:tcPr>
          <w:p w14:paraId="40346BCD">
            <w:pPr>
              <w:spacing w:before="120" w:after="120" w:line="240" w:lineRule="auto"/>
              <w:rPr>
                <w:b/>
                <w:bCs/>
              </w:rPr>
            </w:pPr>
          </w:p>
        </w:tc>
      </w:tr>
      <w:tr>
        <w:tc>
          <w:tcPr>
            <w:tcW w:type="dxa" w:w="3865"/>
          </w:tcPr>
          <w:p w14:paraId="11FBF223">
            <w:pPr>
              <w:spacing w:before="120" w:after="120" w:line="240" w:lineRule="auto"/>
            </w:pPr>
            <w:r>
              <w:rPr>
                <w:i/>
                <w:iCs/>
              </w:rPr>
              <w:t xml:space="preserve">09/02/25</w:t>
            </w:r>
            <w:r>
              <w:t xml:space="preserve">: D.L Critical Security Parameters for the SP 800-90A DRBGs – Admin update to Additional Comment #2 to refer to TOEPP and ESV certificate(s).</w:t>
            </w:r>
          </w:p>
        </w:tc>
        <w:tc>
          <w:tcPr>
            <w:tcW w:type="dxa" w:w="1170"/>
          </w:tcPr>
          <w:p w14:paraId="0984D287">
            <w:pPr>
              <w:spacing w:before="120" w:after="120" w:line="240" w:lineRule="auto"/>
            </w:pPr>
            <w:r>
              <w:t xml:space="preserve">Yes/no</w:t>
            </w:r>
          </w:p>
        </w:tc>
        <w:tc>
          <w:tcPr>
            <w:tcW w:type="dxa" w:w="4320"/>
          </w:tcPr>
          <w:p w14:paraId="478D4628">
            <w:pPr>
              <w:spacing w:before="120" w:after="120" w:line="240" w:lineRule="auto"/>
              <w:rPr>
                <w:b/>
                <w:bCs/>
              </w:rPr>
            </w:pPr>
          </w:p>
        </w:tc>
      </w:tr>
      <w:tr>
        <w:tc>
          <w:tcPr>
            <w:tcW w:type="dxa" w:w="3865"/>
          </w:tcPr>
          <w:p w14:paraId="3FCD6FEF">
            <w:pPr>
              <w:spacing w:before="120" w:after="120" w:line="240" w:lineRule="auto"/>
            </w:pPr>
            <w:r>
              <w:t xml:space="preserve">04/18/25: 10.3.A </w:t>
            </w:r>
            <w:r>
              <w:rPr>
                <w:i/>
                <w:iCs/>
              </w:rPr>
              <w:t xml:space="preserve">Cryptographic Algorithm Self-Test Requirements</w:t>
            </w:r>
            <w:r>
              <w:t xml:space="preserve"> – Admin update to FIPS 203 (ML-KEM), FIPS 204 (ML-DSA) and FIPS 205 (SLH-DSA) self-tests to permit self-testing the internal algorithms in lieu of testing the external algorithms and updated to ensure these algorithm parameter references are consistent/correct (e.g., added parameters for the internal algorithms and added the missing context string, ctx, as applicable). Modified Note23 to change to a ‘should’ instead of a ‘shall’ given some challenges testing all the rejection paths.</w:t>
            </w:r>
          </w:p>
        </w:tc>
        <w:tc>
          <w:tcPr>
            <w:tcW w:type="dxa" w:w="1170"/>
          </w:tcPr>
          <w:p w14:paraId="474BFC8A">
            <w:pPr>
              <w:spacing w:before="120" w:after="120" w:line="240" w:lineRule="auto"/>
            </w:pPr>
            <w:r>
              <w:t xml:space="preserve">Yes/no</w:t>
            </w:r>
          </w:p>
        </w:tc>
        <w:tc>
          <w:tcPr>
            <w:tcW w:type="dxa" w:w="4320"/>
          </w:tcPr>
          <w:p w14:paraId="4924165F">
            <w:pPr>
              <w:spacing w:before="120" w:after="120" w:line="240" w:lineRule="auto"/>
            </w:pPr>
            <w:r>
              <w:t xml:space="preserve">[CSTL justification]</w:t>
            </w:r>
          </w:p>
        </w:tc>
      </w:tr>
      <w:tr>
        <w:tc>
          <w:tcPr>
            <w:tcW w:type="dxa" w:w="3865"/>
          </w:tcPr>
          <w:p w14:paraId="2D0B92EC">
            <w:pPr>
              <w:spacing w:before="120" w:after="120" w:line="240" w:lineRule="auto"/>
            </w:pPr>
            <w:r>
              <w:t xml:space="preserve">04/18/25: 10.3.F </w:t>
            </w:r>
            <w:r>
              <w:rPr>
                <w:i/>
                <w:iCs/>
              </w:rPr>
              <w:t xml:space="preserve">Complete Image Replacement Versus Software/Firmware Loading </w:t>
            </w:r>
            <w:r>
              <w:t xml:space="preserve">– Admin update to Additional Comment 7 to include trusted anchor.</w:t>
            </w:r>
          </w:p>
        </w:tc>
        <w:tc>
          <w:tcPr>
            <w:tcW w:type="dxa" w:w="1170"/>
          </w:tcPr>
          <w:p w14:paraId="3010228E">
            <w:pPr>
              <w:spacing w:before="120" w:after="120" w:line="240" w:lineRule="auto"/>
            </w:pPr>
            <w:r>
              <w:t xml:space="preserve">Yes/no</w:t>
            </w:r>
          </w:p>
        </w:tc>
        <w:tc>
          <w:tcPr>
            <w:tcW w:type="dxa" w:w="4320"/>
          </w:tcPr>
          <w:p w14:paraId="760A6B9D">
            <w:pPr>
              <w:spacing w:before="120" w:after="120" w:line="240" w:lineRule="auto"/>
            </w:pPr>
            <w:r>
              <w:t xml:space="preserve">[CSTL justification]</w:t>
            </w:r>
          </w:p>
        </w:tc>
      </w:tr>
      <w:tr>
        <w:tc>
          <w:tcPr>
            <w:tcW w:type="dxa" w:w="3865"/>
          </w:tcPr>
          <w:p w14:paraId="08987A10">
            <w:pPr>
              <w:spacing w:before="120" w:after="120" w:line="240" w:lineRule="auto"/>
            </w:pPr>
            <w:r>
              <w:t xml:space="preserve">04/18/25: C.K </w:t>
            </w:r>
            <w:r>
              <w:rPr>
                <w:i/>
                <w:iCs/>
              </w:rPr>
              <w:t xml:space="preserve">Transition from FIPS 186-4 to FIPS 186-5 and SP 800-186</w:t>
            </w:r>
            <w:r>
              <w:t xml:space="preserve"> – Admin update to improve clarity in Additional Comment #2 regarding FIPS 186-4 CAVP tests.</w:t>
            </w:r>
          </w:p>
        </w:tc>
        <w:tc>
          <w:tcPr>
            <w:tcW w:type="dxa" w:w="1170"/>
          </w:tcPr>
          <w:p w14:paraId="036A5AB3">
            <w:pPr>
              <w:spacing w:before="120" w:after="120" w:line="240" w:lineRule="auto"/>
            </w:pPr>
            <w:r>
              <w:t xml:space="preserve">Yes/no</w:t>
            </w:r>
          </w:p>
        </w:tc>
        <w:tc>
          <w:tcPr>
            <w:tcW w:type="dxa" w:w="4320"/>
          </w:tcPr>
          <w:p w14:paraId="22263429">
            <w:pPr>
              <w:spacing w:before="120" w:after="120" w:line="240" w:lineRule="auto"/>
            </w:pPr>
            <w:r>
              <w:t xml:space="preserve">[CSTL justification]</w:t>
            </w:r>
          </w:p>
        </w:tc>
      </w:tr>
      <w:tr>
        <w:tc>
          <w:tcPr>
            <w:tcW w:type="dxa" w:w="3865"/>
          </w:tcPr>
          <w:p w14:paraId="2CC0F817">
            <w:pPr>
              <w:spacing w:before="120" w:after="120" w:line="240" w:lineRule="auto"/>
            </w:pPr>
            <w:r>
              <w:t xml:space="preserve">12/20/24: C.M </w:t>
            </w:r>
            <w:r>
              <w:rPr>
                <w:i/>
                <w:iCs/>
              </w:rPr>
              <w:t xml:space="preserve">Legacy Algorithms</w:t>
            </w:r>
            <w:r>
              <w:t xml:space="preserve"> – Revised “Symmetric Algorithms Used for Decryption / Unwrapping” to break out rows for clarity and include unauthenticated AES. Minor clean up in other areas of the IG.</w:t>
            </w:r>
          </w:p>
        </w:tc>
        <w:tc>
          <w:tcPr>
            <w:tcW w:type="dxa" w:w="1170"/>
          </w:tcPr>
          <w:p w14:paraId="01FA5BA8">
            <w:pPr>
              <w:spacing w:before="120" w:after="120" w:line="240" w:lineRule="auto"/>
            </w:pPr>
            <w:r>
              <w:t xml:space="preserve">Yes/no</w:t>
            </w:r>
          </w:p>
        </w:tc>
        <w:tc>
          <w:tcPr>
            <w:tcW w:type="dxa" w:w="4320"/>
          </w:tcPr>
          <w:p w14:paraId="7C9AF293">
            <w:pPr>
              <w:spacing w:before="120" w:after="120" w:line="240" w:lineRule="auto"/>
            </w:pPr>
            <w:r>
              <w:t xml:space="preserve">[CSTL justification]</w:t>
            </w:r>
          </w:p>
        </w:tc>
      </w:tr>
      <w:tr>
        <w:tc>
          <w:tcPr>
            <w:tcW w:type="dxa" w:w="3865"/>
          </w:tcPr>
          <w:p w14:paraId="625CBA43">
            <w:pPr>
              <w:spacing w:before="120" w:after="120" w:line="240" w:lineRule="auto"/>
            </w:pPr>
            <w:r>
              <w:t xml:space="preserve">10/23/24: 2.3.C </w:t>
            </w:r>
            <w:r>
              <w:rPr>
                <w:i/>
                <w:iCs/>
              </w:rPr>
              <w:t xml:space="preserve">Processor Algorithm Accelerators (PAA) and Processor Algorithm Implementation (PAI)</w:t>
            </w:r>
            <w:r>
              <w:t xml:space="preserve"> – Reworked Additional Comment #3, as it was confusing/misleading. Removed “software” from Additional Comment #5 regarding modules that support a PAI since it may apply to other module types. Added a new Additional Comment #7 to clarify that PAA/PAIs operate within a processor.</w:t>
            </w:r>
          </w:p>
        </w:tc>
        <w:tc>
          <w:tcPr>
            <w:tcW w:type="dxa" w:w="1170"/>
          </w:tcPr>
          <w:p w14:paraId="1A6297D3">
            <w:pPr>
              <w:spacing w:before="120" w:after="120" w:line="240" w:lineRule="auto"/>
            </w:pPr>
            <w:r>
              <w:t xml:space="preserve">Yes/no</w:t>
            </w:r>
          </w:p>
        </w:tc>
        <w:tc>
          <w:tcPr>
            <w:tcW w:type="dxa" w:w="4320"/>
          </w:tcPr>
          <w:p w14:paraId="63E1F574">
            <w:pPr>
              <w:spacing w:before="120" w:after="120" w:line="240" w:lineRule="auto"/>
            </w:pPr>
            <w:r>
              <w:rPr>
                <w:color w:val="FF0000"/>
              </w:rPr>
              <w:t xml:space="preserve">[Example]</w:t>
            </w:r>
            <w:r>
              <w:t xml:space="preserve"> </w:t>
            </w:r>
          </w:p>
          <w:p w14:paraId="5895844F">
            <w:pPr>
              <w:spacing w:before="120" w:after="120" w:line="240" w:lineRule="auto"/>
            </w:pPr>
            <w:r>
              <w:t xml:space="preserve">Module uses PAA = AES-NI from the IG list below and all algorithms have been tested with and without PAA:</w:t>
            </w:r>
          </w:p>
          <w:p w14:paraId="7B01ACA1">
            <w:pPr>
              <w:spacing w:before="120" w:after="120" w:line="240" w:lineRule="auto"/>
              <w:rPr>
                <w:b/>
                <w:bCs/>
              </w:rPr>
            </w:pPr>
            <w:r>
              <w:rPr>
                <w:b/>
                <w:bCs/>
              </w:rPr>
              <w:t xml:space="preserve">Known PAAs: </w:t>
            </w:r>
          </w:p>
          <w:p w14:paraId="53673A51">
            <w:pPr>
              <w:spacing w:before="120" w:after="120" w:line="240" w:lineRule="auto"/>
            </w:pPr>
            <w:r>
              <w:t xml:space="preserve">● Intel Processors – </w:t>
            </w:r>
            <w:r>
              <w:rPr>
                <w:highlight w:val="yellow"/>
              </w:rPr>
              <w:t xml:space="preserve">Xeon</w:t>
            </w:r>
            <w:r>
              <w:t xml:space="preserve">, Core i5, Core i7, Core M and Atom with Westmere, Sandy Bridge, Ivy Bridge, Haswell, Broadwell, Skylake, Kaby Lake, Coffee Lake, Goldmont Plus, Whiskey Lake, Amber Lake, </w:t>
            </w:r>
            <w:r>
              <w:rPr>
                <w:highlight w:val="yellow"/>
              </w:rPr>
              <w:t xml:space="preserve">Cascade Lake</w:t>
            </w:r>
            <w:r>
              <w:t xml:space="preserve">, Comet Lake, Sunny Cove, or Golden Cove micro-architectures: </w:t>
            </w:r>
            <w:r>
              <w:rPr>
                <w:highlight w:val="yellow"/>
              </w:rPr>
              <w:t xml:space="preserve">PAA = AES-NI</w:t>
            </w:r>
          </w:p>
        </w:tc>
      </w:tr>
      <w:tr>
        <w:tc>
          <w:tcPr>
            <w:tcW w:type="dxa" w:w="3865"/>
          </w:tcPr>
          <w:p w14:paraId="5A6B66B2">
            <w:pPr>
              <w:spacing w:before="120" w:after="120" w:line="240" w:lineRule="auto"/>
            </w:pPr>
            <w:r>
              <w:t xml:space="preserve">10/21/24: 2.3.C </w:t>
            </w:r>
            <w:r>
              <w:rPr>
                <w:i/>
                <w:iCs/>
              </w:rPr>
              <w:t xml:space="preserve">Processor Algorithm Accelerators (PAA) and Processor Algorithm Implementation (PAI) </w:t>
            </w:r>
            <w:r>
              <w:t xml:space="preserve">– Updated Additional Comment #4 on what is required to request new “known” PAA or PAIs to the list.</w:t>
            </w:r>
          </w:p>
        </w:tc>
        <w:tc>
          <w:tcPr>
            <w:tcW w:type="dxa" w:w="1170"/>
          </w:tcPr>
          <w:p w14:paraId="654FA67C">
            <w:pPr>
              <w:spacing w:before="120" w:after="120" w:line="240" w:lineRule="auto"/>
            </w:pPr>
            <w:r>
              <w:t xml:space="preserve">Yes/no</w:t>
            </w:r>
          </w:p>
        </w:tc>
        <w:tc>
          <w:tcPr>
            <w:tcW w:type="dxa" w:w="4320"/>
          </w:tcPr>
          <w:p w14:paraId="3BB2E280">
            <w:pPr>
              <w:spacing w:before="120" w:after="120" w:line="240" w:lineRule="auto"/>
            </w:pPr>
            <w:r>
              <w:t xml:space="preserve">[CSTL justification]</w:t>
            </w:r>
          </w:p>
        </w:tc>
      </w:tr>
      <w:tr>
        <w:tc>
          <w:tcPr>
            <w:tcW w:type="dxa" w:w="3865"/>
          </w:tcPr>
          <w:p w14:paraId="06026D66">
            <w:pPr>
              <w:spacing w:before="120" w:after="120" w:line="240" w:lineRule="auto"/>
            </w:pPr>
            <w:r>
              <w:t xml:space="preserve">10/21/24: 10.3.A </w:t>
            </w:r>
            <w:r>
              <w:rPr>
                <w:i/>
                <w:iCs/>
              </w:rPr>
              <w:t xml:space="preserve">Cryptographic Algorithm Self-Test Requirements</w:t>
            </w:r>
            <w:r>
              <w:t xml:space="preserve"> – Merged Resolution 3 (FIPS 202) and 4 (SP 800-185) for consistency.</w:t>
            </w:r>
          </w:p>
        </w:tc>
        <w:tc>
          <w:tcPr>
            <w:tcW w:type="dxa" w:w="1170"/>
          </w:tcPr>
          <w:p w14:paraId="262B978E">
            <w:pPr>
              <w:spacing w:before="120" w:after="120" w:line="240" w:lineRule="auto"/>
            </w:pPr>
            <w:r>
              <w:t xml:space="preserve">Yes/no</w:t>
            </w:r>
          </w:p>
        </w:tc>
        <w:tc>
          <w:tcPr>
            <w:tcW w:type="dxa" w:w="4320"/>
          </w:tcPr>
          <w:p w14:paraId="7161F095">
            <w:pPr>
              <w:spacing w:before="120" w:after="120" w:line="240" w:lineRule="auto"/>
            </w:pPr>
            <w:r>
              <w:t xml:space="preserve">[CSTL justification]</w:t>
            </w:r>
          </w:p>
        </w:tc>
      </w:tr>
      <w:tr>
        <w:tc>
          <w:tcPr>
            <w:tcW w:type="dxa" w:w="3865"/>
          </w:tcPr>
          <w:p w14:paraId="04A3235F">
            <w:pPr>
              <w:spacing w:before="120" w:after="120" w:line="240" w:lineRule="auto"/>
            </w:pPr>
            <w:r>
              <w:t xml:space="preserve">10/21/24: D.C </w:t>
            </w:r>
            <w:r>
              <w:rPr>
                <w:i/>
                <w:iCs/>
              </w:rPr>
              <w:t xml:space="preserve">References to the Support of Industry Protocols</w:t>
            </w:r>
            <w:r>
              <w:t xml:space="preserve"> – Added a new reference to the OTAR specification, published August 2023, that incorporates AES CMAC.</w:t>
            </w:r>
          </w:p>
        </w:tc>
        <w:tc>
          <w:tcPr>
            <w:tcW w:type="dxa" w:w="1170"/>
          </w:tcPr>
          <w:p w14:paraId="0190A6B1">
            <w:pPr>
              <w:spacing w:before="120" w:after="120" w:line="240" w:lineRule="auto"/>
            </w:pPr>
            <w:r>
              <w:t xml:space="preserve">Yes/no</w:t>
            </w:r>
          </w:p>
        </w:tc>
        <w:tc>
          <w:tcPr>
            <w:tcW w:type="dxa" w:w="4320"/>
          </w:tcPr>
          <w:p w14:paraId="25578A1A">
            <w:pPr>
              <w:spacing w:before="120" w:after="120" w:line="240" w:lineRule="auto"/>
            </w:pPr>
            <w:r>
              <w:t xml:space="preserve">[CSTL justification]</w:t>
            </w:r>
          </w:p>
        </w:tc>
      </w:tr>
      <w:tr>
        <w:tc>
          <w:tcPr>
            <w:tcW w:type="dxa" w:w="3865"/>
          </w:tcPr>
          <w:p w14:paraId="2236B9EA">
            <w:pPr>
              <w:spacing w:before="120" w:after="120" w:line="240" w:lineRule="auto"/>
            </w:pPr>
            <w:r>
              <w:t xml:space="preserve">08/30/24: W.2 Hash Functions Acceptable for Use in the SP 800-90A DRBGs – IG Withdrawn.</w:t>
            </w:r>
          </w:p>
        </w:tc>
        <w:tc>
          <w:tcPr>
            <w:tcW w:type="dxa" w:w="1170"/>
          </w:tcPr>
          <w:p w14:paraId="28871788">
            <w:pPr>
              <w:spacing w:before="120" w:after="120" w:line="240" w:lineRule="auto"/>
            </w:pPr>
            <w:r>
              <w:t xml:space="preserve">Yes/no</w:t>
            </w:r>
          </w:p>
        </w:tc>
        <w:tc>
          <w:tcPr>
            <w:tcW w:type="dxa" w:w="4320"/>
          </w:tcPr>
          <w:p w14:paraId="619E87DB">
            <w:pPr>
              <w:spacing w:before="120" w:after="120" w:line="240" w:lineRule="auto"/>
            </w:pPr>
            <w:r>
              <w:t xml:space="preserve">[CSTL justification]</w:t>
            </w:r>
          </w:p>
        </w:tc>
      </w:tr>
      <w:tr>
        <w:tc>
          <w:tcPr>
            <w:tcW w:type="dxa" w:w="3865"/>
          </w:tcPr>
          <w:p w14:paraId="5F66E557">
            <w:pPr>
              <w:spacing w:before="120" w:after="120" w:line="240" w:lineRule="auto"/>
            </w:pPr>
            <w:r>
              <w:t xml:space="preserve">08/13/24: 10.3.A </w:t>
            </w:r>
            <w:r>
              <w:rPr>
                <w:i/>
                <w:iCs/>
              </w:rPr>
              <w:t xml:space="preserve">Cryptographic Algorithm Self-Test Requirements</w:t>
            </w:r>
            <w:r>
              <w:t xml:space="preserve"> – Added self-test requirements for the Post Quantum Algorithms (PQC) specified in FIPS 203, FIPS 204, and FIPS 205. Added general statement on the comparison test and removed references to the comparison and fault detection alternatives since they are unpractical in most cases. Updated Additional Comment 1 to clarify when the PCT in the underlying standard is implemented.  Clarified the SP 800-90B health-tests should be categorized as fault detection tests per AS10.34.</w:t>
            </w:r>
          </w:p>
        </w:tc>
        <w:tc>
          <w:tcPr>
            <w:tcW w:type="dxa" w:w="1170"/>
          </w:tcPr>
          <w:p w14:paraId="09791D71">
            <w:pPr>
              <w:spacing w:before="120" w:after="120" w:line="240" w:lineRule="auto"/>
            </w:pPr>
            <w:r>
              <w:t xml:space="preserve">Yes/no</w:t>
            </w:r>
          </w:p>
        </w:tc>
        <w:tc>
          <w:tcPr>
            <w:tcW w:type="dxa" w:w="4320"/>
          </w:tcPr>
          <w:p w14:paraId="066B1B92">
            <w:pPr>
              <w:spacing w:before="120" w:after="120" w:line="240" w:lineRule="auto"/>
            </w:pPr>
            <w:r>
              <w:t xml:space="preserve">[CSTL justification]</w:t>
            </w:r>
          </w:p>
        </w:tc>
      </w:tr>
      <w:tr>
        <w:tc>
          <w:tcPr>
            <w:tcW w:type="dxa" w:w="3865"/>
          </w:tcPr>
          <w:p w14:paraId="463DAAC8">
            <w:pPr>
              <w:spacing w:before="120" w:after="120" w:line="240" w:lineRule="auto"/>
            </w:pPr>
            <w:r>
              <w:t xml:space="preserve">07/26/24: 2.4.B </w:t>
            </w:r>
            <w:r>
              <w:rPr>
                <w:i/>
                <w:iCs/>
              </w:rPr>
              <w:t xml:space="preserve">Tracking the Component Validation List –</w:t>
            </w:r>
            <w:r>
              <w:t xml:space="preserve"> Improved the details for CVL tests and mapped them to the latest CAVP tests.  Introduced usage restrictions for CVLs. Removed outdated Additional Comment 5 and moved Additional Comment 4 into the applicable Resolution of this IG.</w:t>
            </w:r>
          </w:p>
        </w:tc>
        <w:tc>
          <w:tcPr>
            <w:tcW w:type="dxa" w:w="1170"/>
          </w:tcPr>
          <w:p w14:paraId="46CD8B21">
            <w:pPr>
              <w:spacing w:before="120" w:after="120" w:line="240" w:lineRule="auto"/>
            </w:pPr>
            <w:r>
              <w:t xml:space="preserve">Yes/no</w:t>
            </w:r>
          </w:p>
        </w:tc>
        <w:tc>
          <w:tcPr>
            <w:tcW w:type="dxa" w:w="4320"/>
          </w:tcPr>
          <w:p w14:paraId="565F4DF9">
            <w:pPr>
              <w:spacing w:before="120" w:after="120" w:line="240" w:lineRule="auto"/>
            </w:pPr>
            <w:r>
              <w:t xml:space="preserve">[CSTL justification]</w:t>
            </w:r>
          </w:p>
        </w:tc>
      </w:tr>
      <w:tr>
        <w:tc>
          <w:tcPr>
            <w:tcW w:type="dxa" w:w="3865"/>
          </w:tcPr>
          <w:p w14:paraId="44B96884">
            <w:pPr>
              <w:spacing w:before="120" w:after="120" w:line="240" w:lineRule="auto"/>
            </w:pPr>
            <w:r>
              <w:t xml:space="preserve">07/26/24: 9.3.A </w:t>
            </w:r>
            <w:r>
              <w:rPr>
                <w:i/>
                <w:iCs/>
              </w:rPr>
              <w:t xml:space="preserve">Entropy Caveats</w:t>
            </w:r>
            <w:r>
              <w:t xml:space="preserve"> – Updated to require ESV when the source is within the OE, passive or not.  Added Resolution 3 (therefore pushing the Hybrid case to Resolution 4) disallowing scenarios where the module does not have direct access to the entropy source’s GetEntropy() interface.  Added related Additional Comments #9, #10, #11 and #12.  Updated Additional Comment #4 to clarify the claimed security strength of any approved algorithm may not be greater than 256 bits, which impacts the applicability of certain entropy caveats.</w:t>
            </w:r>
          </w:p>
        </w:tc>
        <w:tc>
          <w:tcPr>
            <w:tcW w:type="dxa" w:w="1170"/>
          </w:tcPr>
          <w:p w14:paraId="17EB5929">
            <w:pPr>
              <w:spacing w:before="120" w:after="120" w:line="240" w:lineRule="auto"/>
            </w:pPr>
            <w:r>
              <w:t xml:space="preserve">Yes/no</w:t>
            </w:r>
          </w:p>
        </w:tc>
        <w:tc>
          <w:tcPr>
            <w:tcW w:type="dxa" w:w="4320"/>
          </w:tcPr>
          <w:p w14:paraId="3AC83F21">
            <w:pPr>
              <w:spacing w:before="120" w:after="120" w:line="240" w:lineRule="auto"/>
            </w:pPr>
            <w:r>
              <w:t xml:space="preserve">[CSTL justification]</w:t>
            </w:r>
          </w:p>
        </w:tc>
      </w:tr>
      <w:tr>
        <w:tc>
          <w:tcPr>
            <w:tcW w:type="dxa" w:w="3865"/>
          </w:tcPr>
          <w:p w14:paraId="7553637F">
            <w:pPr>
              <w:spacing w:before="120" w:after="120" w:line="240" w:lineRule="auto"/>
            </w:pPr>
            <w:r>
              <w:t xml:space="preserve">07/26/24: C.F </w:t>
            </w:r>
            <w:r>
              <w:rPr>
                <w:i/>
                <w:iCs/>
              </w:rPr>
              <w:t xml:space="preserve">RSA Approved Parameter Sizes in FIPS 186-5</w:t>
            </w:r>
            <w:r>
              <w:t xml:space="preserve"> – Name change and removal of Additional Comments #1, #2, and #3 to better reflect the topics this IG covers. Added a strong recommendation (but not requirement) regarding Miller-Rabin test requirements in the Resolution and adjusted the related Additional Comments #1 and #2 (was #4 and #5). Revised to target compliance to FIPS 186-5.  Added a rationale for the FIPS 186-5 restrictions on the primes’ sizes.  In the previous version of this IG, the RSA auxiliary primes size recommendations were different from what the digital signature standard then in place (FIPS 186-4) was saying and the IG had to provide the justification for the discrepancy.</w:t>
            </w:r>
          </w:p>
        </w:tc>
        <w:tc>
          <w:tcPr>
            <w:tcW w:type="dxa" w:w="1170"/>
          </w:tcPr>
          <w:p w14:paraId="1B1CFFB7">
            <w:pPr>
              <w:spacing w:before="120" w:after="120" w:line="240" w:lineRule="auto"/>
            </w:pPr>
            <w:r>
              <w:t xml:space="preserve">Yes/no</w:t>
            </w:r>
          </w:p>
        </w:tc>
        <w:tc>
          <w:tcPr>
            <w:tcW w:type="dxa" w:w="4320"/>
          </w:tcPr>
          <w:p w14:paraId="428ADDA1">
            <w:pPr>
              <w:spacing w:before="120" w:after="120" w:line="240" w:lineRule="auto"/>
            </w:pPr>
            <w:r>
              <w:t xml:space="preserve">[CSTL justification]</w:t>
            </w:r>
          </w:p>
        </w:tc>
      </w:tr>
      <w:tr>
        <w:tc>
          <w:tcPr>
            <w:tcW w:type="dxa" w:w="3865"/>
          </w:tcPr>
          <w:p w14:paraId="2FF8837D">
            <w:pPr>
              <w:spacing w:before="120" w:after="120" w:line="240" w:lineRule="auto"/>
            </w:pPr>
            <w:r>
              <w:t xml:space="preserve">07/26/24: C.K Transition from FIPS 186-4 to FIPS 186-5 and SP 800-186 – Slight update to Additional Comment #2 to clarify when FIPS 186-5 CAVP tests are required.</w:t>
            </w:r>
          </w:p>
        </w:tc>
        <w:tc>
          <w:tcPr>
            <w:tcW w:type="dxa" w:w="1170"/>
          </w:tcPr>
          <w:p w14:paraId="6BD92547">
            <w:pPr>
              <w:spacing w:before="120" w:after="120" w:line="240" w:lineRule="auto"/>
            </w:pPr>
            <w:r>
              <w:t xml:space="preserve">Yes/no</w:t>
            </w:r>
          </w:p>
        </w:tc>
        <w:tc>
          <w:tcPr>
            <w:tcW w:type="dxa" w:w="4320"/>
          </w:tcPr>
          <w:p w14:paraId="047810F4">
            <w:pPr>
              <w:spacing w:before="120" w:after="120" w:line="240" w:lineRule="auto"/>
            </w:pPr>
            <w:r>
              <w:t xml:space="preserve">[CSTL justification]</w:t>
            </w:r>
          </w:p>
        </w:tc>
      </w:tr>
      <w:tr>
        <w:tc>
          <w:tcPr>
            <w:tcW w:type="dxa" w:w="3865"/>
          </w:tcPr>
          <w:p w14:paraId="78D07936">
            <w:pPr>
              <w:spacing w:before="120" w:after="120" w:line="240" w:lineRule="auto"/>
            </w:pPr>
            <w:r>
              <w:t xml:space="preserve">03/26/24: 4.1.A </w:t>
            </w:r>
            <w:r>
              <w:rPr>
                <w:i/>
                <w:iCs/>
              </w:rPr>
              <w:t xml:space="preserve">Authorised Roles</w:t>
            </w:r>
            <w:r>
              <w:t xml:space="preserve"> – Updated Additional Comment #8 to address certain module designs that claim Security Level 2 for section 7.4.</w:t>
            </w:r>
          </w:p>
        </w:tc>
        <w:tc>
          <w:tcPr>
            <w:tcW w:type="dxa" w:w="1170"/>
          </w:tcPr>
          <w:p w14:paraId="70C70CF7">
            <w:pPr>
              <w:spacing w:before="120" w:after="120" w:line="240" w:lineRule="auto"/>
            </w:pPr>
            <w:r>
              <w:t xml:space="preserve">Yes/no</w:t>
            </w:r>
          </w:p>
        </w:tc>
        <w:tc>
          <w:tcPr>
            <w:tcW w:type="dxa" w:w="4320"/>
          </w:tcPr>
          <w:p w14:paraId="1F4965C8">
            <w:pPr>
              <w:spacing w:before="120" w:after="120" w:line="240" w:lineRule="auto"/>
            </w:pPr>
            <w:r>
              <w:t xml:space="preserve">[CSTL justification]</w:t>
            </w:r>
          </w:p>
        </w:tc>
      </w:tr>
      <w:tr>
        <w:tc>
          <w:tcPr>
            <w:tcW w:type="dxa" w:w="3865"/>
          </w:tcPr>
          <w:p w14:paraId="3E303CC1">
            <w:pPr>
              <w:spacing w:before="120" w:after="120" w:line="240" w:lineRule="auto"/>
            </w:pPr>
            <w:r>
              <w:t xml:space="preserve">03/26/24: 9.5.A </w:t>
            </w:r>
            <w:r>
              <w:rPr>
                <w:i/>
                <w:iCs/>
              </w:rPr>
              <w:t xml:space="preserve">SSP Establishment and SSP Entry and Output</w:t>
            </w:r>
            <w:r>
              <w:t xml:space="preserve"> – Added footnote 6 to clarify sub-chip SSP establishment requirements. </w:t>
            </w:r>
          </w:p>
        </w:tc>
        <w:tc>
          <w:tcPr>
            <w:tcW w:type="dxa" w:w="1170"/>
          </w:tcPr>
          <w:p w14:paraId="5B978A62">
            <w:pPr>
              <w:spacing w:before="120" w:after="120" w:line="240" w:lineRule="auto"/>
            </w:pPr>
            <w:r>
              <w:t xml:space="preserve">Yes/no</w:t>
            </w:r>
          </w:p>
        </w:tc>
        <w:tc>
          <w:tcPr>
            <w:tcW w:type="dxa" w:w="4320"/>
          </w:tcPr>
          <w:p w14:paraId="5FA4BC5F">
            <w:pPr>
              <w:spacing w:before="120" w:after="120" w:line="240" w:lineRule="auto"/>
            </w:pPr>
            <w:r>
              <w:t xml:space="preserve">[CSTL justification]</w:t>
            </w:r>
          </w:p>
        </w:tc>
      </w:tr>
      <w:tr>
        <w:tc>
          <w:tcPr>
            <w:tcW w:type="dxa" w:w="3865"/>
          </w:tcPr>
          <w:p w14:paraId="512B973B">
            <w:pPr>
              <w:spacing w:before="120" w:after="120" w:line="240" w:lineRule="auto"/>
            </w:pPr>
            <w:r>
              <w:t xml:space="preserve">03/26/24: C.A </w:t>
            </w:r>
            <w:r>
              <w:rPr>
                <w:i/>
                <w:iCs/>
              </w:rPr>
              <w:t xml:space="preserve">Use of non-Approved Elliptic Curves</w:t>
            </w:r>
            <w:r>
              <w:t xml:space="preserve"> – Removed erroneous reference to EdDSA from Resolution 5.</w:t>
            </w:r>
          </w:p>
        </w:tc>
        <w:tc>
          <w:tcPr>
            <w:tcW w:type="dxa" w:w="1170"/>
          </w:tcPr>
          <w:p w14:paraId="10559C9C">
            <w:pPr>
              <w:spacing w:before="120" w:after="120" w:line="240" w:lineRule="auto"/>
            </w:pPr>
            <w:r>
              <w:t xml:space="preserve">Yes/no</w:t>
            </w:r>
          </w:p>
        </w:tc>
        <w:tc>
          <w:tcPr>
            <w:tcW w:type="dxa" w:w="4320"/>
          </w:tcPr>
          <w:p w14:paraId="3F65CEE9">
            <w:pPr>
              <w:spacing w:before="120" w:after="120" w:line="240" w:lineRule="auto"/>
            </w:pPr>
            <w:r>
              <w:t xml:space="preserve">[CSTL justification]</w:t>
            </w:r>
          </w:p>
        </w:tc>
      </w:tr>
      <w:tr>
        <w:tc>
          <w:tcPr>
            <w:tcW w:type="dxa" w:w="3865"/>
          </w:tcPr>
          <w:p w14:paraId="4D0A3E06">
            <w:pPr>
              <w:spacing w:before="120" w:after="120" w:line="240" w:lineRule="auto"/>
            </w:pPr>
            <w:r>
              <w:t xml:space="preserve">03/26/24: 10.3.A </w:t>
            </w:r>
            <w:r>
              <w:rPr>
                <w:i/>
                <w:iCs/>
              </w:rPr>
              <w:t xml:space="preserve">Cryptographic Algorithm Self-Test Requirements</w:t>
            </w:r>
            <w:r>
              <w:t xml:space="preserve"> – Added new footnote #1 to Additional Comment #1 to specify that an RSA PCT which satisfies TE10.35.02 also satisfies TE10.35.01.</w:t>
            </w:r>
          </w:p>
        </w:tc>
        <w:tc>
          <w:tcPr>
            <w:tcW w:type="dxa" w:w="1170"/>
          </w:tcPr>
          <w:p w14:paraId="1CFA54EF">
            <w:pPr>
              <w:spacing w:before="120" w:after="120" w:line="240" w:lineRule="auto"/>
            </w:pPr>
            <w:r>
              <w:t xml:space="preserve">Yes/no</w:t>
            </w:r>
          </w:p>
        </w:tc>
        <w:tc>
          <w:tcPr>
            <w:tcW w:type="dxa" w:w="4320"/>
          </w:tcPr>
          <w:p w14:paraId="4A9905C1">
            <w:pPr>
              <w:spacing w:before="120" w:after="120" w:line="240" w:lineRule="auto"/>
            </w:pPr>
            <w:r>
              <w:t xml:space="preserve">[CSTL justification]</w:t>
            </w:r>
          </w:p>
        </w:tc>
      </w:tr>
      <w:tr>
        <w:tc>
          <w:tcPr>
            <w:tcW w:type="dxa" w:w="3865"/>
          </w:tcPr>
          <w:p w14:paraId="25EDD63B">
            <w:pPr>
              <w:spacing w:before="120" w:after="120" w:line="240" w:lineRule="auto"/>
            </w:pPr>
            <w:r>
              <w:t xml:space="preserve">01/29/24: 10.3.A </w:t>
            </w:r>
            <w:r>
              <w:rPr>
                <w:i/>
                <w:iCs/>
              </w:rPr>
              <w:t xml:space="preserve">Cryptographic Algorithm Self-Test Requirements</w:t>
            </w:r>
            <w:r>
              <w:t xml:space="preserve"> – Added Note20 to clarify the TLS KDF self-test requirements.</w:t>
            </w:r>
          </w:p>
        </w:tc>
        <w:tc>
          <w:tcPr>
            <w:tcW w:type="dxa" w:w="1170"/>
          </w:tcPr>
          <w:p w14:paraId="30404C48">
            <w:pPr>
              <w:spacing w:before="120" w:after="120" w:line="240" w:lineRule="auto"/>
            </w:pPr>
            <w:r>
              <w:t xml:space="preserve">Yes/no</w:t>
            </w:r>
          </w:p>
        </w:tc>
        <w:tc>
          <w:tcPr>
            <w:tcW w:type="dxa" w:w="4320"/>
          </w:tcPr>
          <w:p w14:paraId="2DBB3E80">
            <w:pPr>
              <w:spacing w:before="120" w:after="120" w:line="240" w:lineRule="auto"/>
            </w:pPr>
            <w:r>
              <w:t xml:space="preserve">[CSTL justification]</w:t>
            </w:r>
          </w:p>
        </w:tc>
      </w:tr>
      <w:tr>
        <w:tc>
          <w:tcPr>
            <w:tcW w:type="dxa" w:w="3865"/>
          </w:tcPr>
          <w:p w14:paraId="5FA1B7A3">
            <w:pPr>
              <w:spacing w:before="120" w:after="120" w:line="240" w:lineRule="auto"/>
            </w:pPr>
            <w:r>
              <w:t xml:space="preserve">01/29/24: C.K </w:t>
            </w:r>
            <w:r>
              <w:rPr>
                <w:i/>
                <w:iCs/>
              </w:rPr>
              <w:t xml:space="preserve">Transition from FIPS 186-4 to FIPS 186-5 and SP 800-186</w:t>
            </w:r>
            <w:r>
              <w:t xml:space="preserve"> – Resolution 4: K and B curves will be included in the FIPS 186-5 testing. Resolution 6: Removed specific reference to P curves since this ECDSA verification using K and B curves is also approved. Additional Comment 2: Clarified that mathematically equivalent FIPS 186-4 tests can claim FIPS 186-5 compliance.</w:t>
            </w:r>
          </w:p>
        </w:tc>
        <w:tc>
          <w:tcPr>
            <w:tcW w:type="dxa" w:w="1170"/>
          </w:tcPr>
          <w:p w14:paraId="5A0EDE73">
            <w:pPr>
              <w:spacing w:before="120" w:after="120" w:line="240" w:lineRule="auto"/>
            </w:pPr>
            <w:r>
              <w:t xml:space="preserve">Yes/no</w:t>
            </w:r>
          </w:p>
        </w:tc>
        <w:tc>
          <w:tcPr>
            <w:tcW w:type="dxa" w:w="4320"/>
          </w:tcPr>
          <w:p w14:paraId="0778D3BF">
            <w:pPr>
              <w:spacing w:before="120" w:after="120" w:line="240" w:lineRule="auto"/>
            </w:pPr>
            <w:r>
              <w:t xml:space="preserve">[CSTL justification]</w:t>
            </w:r>
          </w:p>
        </w:tc>
      </w:tr>
      <w:tr>
        <w:tc>
          <w:tcPr>
            <w:tcW w:type="dxa" w:w="3865"/>
          </w:tcPr>
          <w:p w14:paraId="48D04ECF">
            <w:pPr>
              <w:spacing w:before="120" w:after="120" w:line="240" w:lineRule="auto"/>
            </w:pPr>
            <w:r>
              <w:t xml:space="preserve">01/29/24: D.C </w:t>
            </w:r>
            <w:r>
              <w:rPr>
                <w:i/>
                <w:iCs/>
              </w:rPr>
              <w:t xml:space="preserve">References to the Support of Industry Protocols</w:t>
            </w:r>
            <w:r>
              <w:t xml:space="preserve"> – Added Additional Comment #2 specifying that this IG includes the TLS 1.3 KDF CVL</w:t>
            </w:r>
          </w:p>
        </w:tc>
        <w:tc>
          <w:tcPr>
            <w:tcW w:type="dxa" w:w="1170"/>
          </w:tcPr>
          <w:p w14:paraId="7A6C2633">
            <w:pPr>
              <w:spacing w:before="120" w:after="120" w:line="240" w:lineRule="auto"/>
            </w:pPr>
            <w:r>
              <w:t xml:space="preserve">Yes/no</w:t>
            </w:r>
          </w:p>
        </w:tc>
        <w:tc>
          <w:tcPr>
            <w:tcW w:type="dxa" w:w="4320"/>
          </w:tcPr>
          <w:p w14:paraId="22026BEA">
            <w:pPr>
              <w:spacing w:before="120" w:after="120" w:line="240" w:lineRule="auto"/>
            </w:pPr>
            <w:r>
              <w:t xml:space="preserve">[CSTL justification]</w:t>
            </w:r>
          </w:p>
        </w:tc>
      </w:tr>
      <w:tr>
        <w:tc>
          <w:tcPr>
            <w:tcW w:type="dxa" w:w="3865"/>
          </w:tcPr>
          <w:p w14:paraId="065D39C3">
            <w:pPr>
              <w:spacing w:before="120" w:after="120" w:line="240" w:lineRule="auto"/>
            </w:pPr>
            <w:r>
              <w:t xml:space="preserve">11/22/23: 2.4.C </w:t>
            </w:r>
            <w:r>
              <w:rPr>
                <w:i/>
                <w:iCs/>
              </w:rPr>
              <w:t xml:space="preserve">Approved Security Service Indicator</w:t>
            </w:r>
            <w:r>
              <w:t xml:space="preserve"> - Clarified the API example in the Resolution and added a related Additional Comment 5.</w:t>
            </w:r>
          </w:p>
        </w:tc>
        <w:tc>
          <w:tcPr>
            <w:tcW w:type="dxa" w:w="1170"/>
          </w:tcPr>
          <w:p w14:paraId="417D9C4C">
            <w:pPr>
              <w:spacing w:before="120" w:after="120" w:line="240" w:lineRule="auto"/>
            </w:pPr>
            <w:r>
              <w:t xml:space="preserve">Yes/no</w:t>
            </w:r>
          </w:p>
        </w:tc>
        <w:tc>
          <w:tcPr>
            <w:tcW w:type="dxa" w:w="4320"/>
          </w:tcPr>
          <w:p w14:paraId="0AE1DAC4">
            <w:pPr>
              <w:spacing w:before="120" w:after="120" w:line="240" w:lineRule="auto"/>
            </w:pPr>
            <w:r>
              <w:t xml:space="preserve">[CSTL justification]</w:t>
            </w:r>
          </w:p>
        </w:tc>
      </w:tr>
      <w:tr>
        <w:tc>
          <w:tcPr>
            <w:tcW w:type="dxa" w:w="3865"/>
          </w:tcPr>
          <w:p w14:paraId="3DD5D385">
            <w:pPr>
              <w:spacing w:before="120" w:after="120" w:line="240" w:lineRule="auto"/>
            </w:pPr>
            <w:r>
              <w:t xml:space="preserve">11/22/23: 4.1.A </w:t>
            </w:r>
            <w:r>
              <w:rPr>
                <w:i/>
                <w:iCs/>
              </w:rPr>
              <w:t xml:space="preserve">Authorised Roles</w:t>
            </w:r>
            <w:r>
              <w:t xml:space="preserve"> - Added “[for CSPs only]” in Background. Clarified in a. the exception applies when hashing data, not SSPs. Added a paragraph after the exceptions connecting authorization to authentication.</w:t>
            </w:r>
          </w:p>
        </w:tc>
        <w:tc>
          <w:tcPr>
            <w:tcW w:type="dxa" w:w="1170"/>
          </w:tcPr>
          <w:p w14:paraId="4F205B13">
            <w:pPr>
              <w:spacing w:before="120" w:after="120" w:line="240" w:lineRule="auto"/>
            </w:pPr>
            <w:r>
              <w:t xml:space="preserve">Yes/no</w:t>
            </w:r>
          </w:p>
        </w:tc>
        <w:tc>
          <w:tcPr>
            <w:tcW w:type="dxa" w:w="4320"/>
          </w:tcPr>
          <w:p w14:paraId="2752C5DD">
            <w:pPr>
              <w:spacing w:before="120" w:after="120" w:line="240" w:lineRule="auto"/>
            </w:pPr>
            <w:r>
              <w:t xml:space="preserve">[CSTL justification]</w:t>
            </w:r>
          </w:p>
        </w:tc>
      </w:tr>
      <w:tr>
        <w:tc>
          <w:tcPr>
            <w:tcW w:type="dxa" w:w="3865"/>
          </w:tcPr>
          <w:p w14:paraId="5DEBC0E5">
            <w:pPr>
              <w:spacing w:before="120" w:after="120" w:line="240" w:lineRule="auto"/>
            </w:pPr>
            <w:r>
              <w:t xml:space="preserve">11/22/23: 9.5.A SSP Establishment and SSP Entry and Output - Slight modification to the SK legend under Table 2. </w:t>
            </w:r>
          </w:p>
          <w:p w14:paraId="46EE8224">
            <w:pPr>
              <w:spacing w:before="120" w:after="120" w:line="240" w:lineRule="auto"/>
            </w:pPr>
            <w:r>
              <w:t xml:space="preserve">From: Plaintext Split Knowledge using a TC</w:t>
            </w:r>
          </w:p>
          <w:p w14:paraId="4C05A675">
            <w:pPr>
              <w:spacing w:before="120" w:after="120" w:line="240" w:lineRule="auto"/>
            </w:pPr>
            <w:r>
              <w:t xml:space="preserve">To: Split Knowledge using either E or a TC for the key</w:t>
            </w:r>
          </w:p>
        </w:tc>
        <w:tc>
          <w:tcPr>
            <w:tcW w:type="dxa" w:w="1170"/>
          </w:tcPr>
          <w:p w14:paraId="0FCFAE40">
            <w:pPr>
              <w:spacing w:before="120" w:after="120" w:line="240" w:lineRule="auto"/>
            </w:pPr>
            <w:r>
              <w:t xml:space="preserve">Yes/no</w:t>
            </w:r>
          </w:p>
        </w:tc>
        <w:tc>
          <w:tcPr>
            <w:tcW w:type="dxa" w:w="4320"/>
          </w:tcPr>
          <w:p w14:paraId="2D5C7543">
            <w:pPr>
              <w:spacing w:before="120" w:after="120" w:line="240" w:lineRule="auto"/>
            </w:pPr>
            <w:r>
              <w:t xml:space="preserve">[CSTL justification]</w:t>
            </w:r>
          </w:p>
        </w:tc>
      </w:tr>
      <w:tr>
        <w:tc>
          <w:tcPr>
            <w:tcW w:type="dxa" w:w="3865"/>
          </w:tcPr>
          <w:p w14:paraId="0ED92981">
            <w:pPr>
              <w:spacing w:before="120" w:after="120" w:line="240" w:lineRule="auto"/>
            </w:pPr>
            <w:r>
              <w:t xml:space="preserve">07/25/23: 2.4.C </w:t>
            </w:r>
            <w:r>
              <w:rPr>
                <w:i/>
                <w:iCs/>
              </w:rPr>
              <w:t xml:space="preserve">Approved Security Service Indicator</w:t>
            </w:r>
            <w:r>
              <w:t xml:space="preserve"> – Added Additional Comment #4 to clarify the applicability of example scenarios 1) and 3). Updated the first bullet after “IG clarifies</w:t>
            </w:r>
            <w:r>
              <w:rPr>
                <w:b/>
                <w:bCs/>
              </w:rPr>
              <w:t xml:space="preserve"> AS02.24</w:t>
            </w:r>
            <w:r>
              <w:t xml:space="preserve"> by interpreting the following:” to align closer to TE02.24.01 and TE.02.24.02.</w:t>
            </w:r>
          </w:p>
        </w:tc>
        <w:tc>
          <w:tcPr>
            <w:tcW w:type="dxa" w:w="1170"/>
          </w:tcPr>
          <w:p w14:paraId="4A738B9D">
            <w:pPr>
              <w:spacing w:before="120" w:after="120" w:line="240" w:lineRule="auto"/>
            </w:pPr>
            <w:r>
              <w:t xml:space="preserve">Yes/no</w:t>
            </w:r>
          </w:p>
        </w:tc>
        <w:tc>
          <w:tcPr>
            <w:tcW w:type="dxa" w:w="4320"/>
          </w:tcPr>
          <w:p w14:paraId="4DBFD7DB">
            <w:pPr>
              <w:spacing w:before="120" w:after="120" w:line="240" w:lineRule="auto"/>
            </w:pPr>
            <w:r>
              <w:t xml:space="preserve">[CSTL justification]</w:t>
            </w:r>
          </w:p>
        </w:tc>
      </w:tr>
      <w:tr>
        <w:tc>
          <w:tcPr>
            <w:tcW w:type="dxa" w:w="3865"/>
          </w:tcPr>
          <w:p w14:paraId="5A757172">
            <w:pPr>
              <w:spacing w:before="120" w:after="120" w:line="240" w:lineRule="auto"/>
            </w:pPr>
            <w:r>
              <w:t xml:space="preserve">07/25/23: 10.3.A </w:t>
            </w:r>
            <w:r>
              <w:rPr>
                <w:i/>
                <w:iCs/>
              </w:rPr>
              <w:t xml:space="preserve">Cryptographic Algorithm Self-Test Requirements</w:t>
            </w:r>
            <w:r>
              <w:t xml:space="preserve"> – Added self-test requirements for FIPS 186-5 algorithms. Clarified self-test requirements for underlying approved algorithms used within a higher-level algorithm with examples. Added Additional Comment #3 on general self-test requirements.</w:t>
            </w:r>
          </w:p>
        </w:tc>
        <w:tc>
          <w:tcPr>
            <w:tcW w:type="dxa" w:w="1170"/>
          </w:tcPr>
          <w:p w14:paraId="73D33016">
            <w:pPr>
              <w:spacing w:before="120" w:after="120" w:line="240" w:lineRule="auto"/>
            </w:pPr>
            <w:r>
              <w:t xml:space="preserve">Yes/no</w:t>
            </w:r>
          </w:p>
        </w:tc>
        <w:tc>
          <w:tcPr>
            <w:tcW w:type="dxa" w:w="4320"/>
          </w:tcPr>
          <w:p w14:paraId="07E8C065">
            <w:pPr>
              <w:spacing w:before="120" w:after="120" w:line="240" w:lineRule="auto"/>
            </w:pPr>
            <w:r>
              <w:t xml:space="preserve">[CSTL justification]</w:t>
            </w:r>
          </w:p>
        </w:tc>
      </w:tr>
      <w:tr>
        <w:tc>
          <w:tcPr>
            <w:tcW w:type="dxa" w:w="3865"/>
          </w:tcPr>
          <w:p w14:paraId="613943E1">
            <w:pPr>
              <w:spacing w:before="120" w:after="120" w:line="240" w:lineRule="auto"/>
            </w:pPr>
            <w:r>
              <w:t xml:space="preserve">07/25/23: C.A </w:t>
            </w:r>
            <w:r>
              <w:rPr>
                <w:i/>
                <w:iCs/>
              </w:rPr>
              <w:t xml:space="preserve">Use of non-Approved Elliptic Curv</w:t>
            </w:r>
            <w:r>
              <w:t xml:space="preserve">es - Removed Additional Comment #1 since the transition is now published. Revised Additional Comment #2 (now #1) to specify EdDSA status. Incorporated final draft guidance from IG C.K into Category 1a and 1b.</w:t>
            </w:r>
          </w:p>
        </w:tc>
        <w:tc>
          <w:tcPr>
            <w:tcW w:type="dxa" w:w="1170"/>
          </w:tcPr>
          <w:p w14:paraId="7EC97E62">
            <w:pPr>
              <w:spacing w:before="120" w:after="120" w:line="240" w:lineRule="auto"/>
            </w:pPr>
            <w:r>
              <w:t xml:space="preserve">Yes/no</w:t>
            </w:r>
          </w:p>
        </w:tc>
        <w:tc>
          <w:tcPr>
            <w:tcW w:type="dxa" w:w="4320"/>
          </w:tcPr>
          <w:p w14:paraId="1302616D">
            <w:pPr>
              <w:spacing w:before="120" w:after="120" w:line="240" w:lineRule="auto"/>
            </w:pPr>
            <w:r>
              <w:t xml:space="preserve">[CSTL justification]</w:t>
            </w:r>
          </w:p>
        </w:tc>
      </w:tr>
      <w:tr>
        <w:tc>
          <w:tcPr>
            <w:tcW w:type="dxa" w:w="3865"/>
          </w:tcPr>
          <w:p w14:paraId="53A07F3A">
            <w:pPr>
              <w:spacing w:before="120" w:after="120" w:line="240" w:lineRule="auto"/>
            </w:pPr>
            <w:r>
              <w:t xml:space="preserve">07/25/23: D.G </w:t>
            </w:r>
            <w:r>
              <w:rPr>
                <w:i/>
                <w:iCs/>
              </w:rPr>
              <w:t xml:space="preserve">Key Transport Methods</w:t>
            </w:r>
            <w:r>
              <w:t xml:space="preserve"> – Updated Additional Comment #4 to be consistent with WebCryptik and CAVP representation (e.g., KTS-IFC).</w:t>
            </w:r>
          </w:p>
        </w:tc>
        <w:tc>
          <w:tcPr>
            <w:tcW w:type="dxa" w:w="1170"/>
          </w:tcPr>
          <w:p w14:paraId="0BE3D9B8">
            <w:pPr>
              <w:spacing w:before="120" w:after="120" w:line="240" w:lineRule="auto"/>
            </w:pPr>
            <w:r>
              <w:t xml:space="preserve">Yes/no</w:t>
            </w:r>
          </w:p>
        </w:tc>
        <w:tc>
          <w:tcPr>
            <w:tcW w:type="dxa" w:w="4320"/>
          </w:tcPr>
          <w:p w14:paraId="3F240D88">
            <w:pPr>
              <w:spacing w:before="120" w:after="120" w:line="240" w:lineRule="auto"/>
            </w:pPr>
            <w:r>
              <w:t xml:space="preserve">[CSTL justification]</w:t>
            </w:r>
          </w:p>
        </w:tc>
      </w:tr>
      <w:tr>
        <w:tc>
          <w:tcPr>
            <w:tcW w:type="dxa" w:w="3865"/>
          </w:tcPr>
          <w:p w14:paraId="4AEB6E60">
            <w:pPr>
              <w:spacing w:before="120" w:after="120" w:line="240" w:lineRule="auto"/>
            </w:pPr>
            <w:r>
              <w:t xml:space="preserve">07/25/23: D.F </w:t>
            </w:r>
            <w:r>
              <w:rPr>
                <w:i/>
                <w:iCs/>
              </w:rPr>
              <w:t xml:space="preserve">Key Agreement Methods</w:t>
            </w:r>
            <w:r>
              <w:t xml:space="preserve"> – Updated Additional Comment #5 to clarify requirements for assurances.  Updated KAS references be consistent with WebCryptik and CAVP representation (i.e., KAS-ECC or KAS-FFC).</w:t>
            </w:r>
          </w:p>
        </w:tc>
        <w:tc>
          <w:tcPr>
            <w:tcW w:type="dxa" w:w="1170"/>
          </w:tcPr>
          <w:p w14:paraId="3371CEC0">
            <w:pPr>
              <w:spacing w:before="120" w:after="120" w:line="240" w:lineRule="auto"/>
            </w:pPr>
            <w:r>
              <w:t xml:space="preserve">Yes/no</w:t>
            </w:r>
          </w:p>
        </w:tc>
        <w:tc>
          <w:tcPr>
            <w:tcW w:type="dxa" w:w="4320"/>
          </w:tcPr>
          <w:p w14:paraId="30156123">
            <w:pPr>
              <w:spacing w:before="120" w:after="120" w:line="240" w:lineRule="auto"/>
            </w:pPr>
            <w:r>
              <w:t xml:space="preserve">[CSTL justification]</w:t>
            </w:r>
          </w:p>
        </w:tc>
      </w:tr>
      <w:tr>
        <w:tc>
          <w:tcPr>
            <w:tcW w:type="dxa" w:w="3865"/>
          </w:tcPr>
          <w:p w14:paraId="04106F49">
            <w:pPr>
              <w:spacing w:before="120" w:after="120" w:line="240" w:lineRule="auto"/>
            </w:pPr>
            <w:r>
              <w:t xml:space="preserve">03/17/23: W.1 A</w:t>
            </w:r>
            <w:r>
              <w:rPr>
                <w:i/>
                <w:iCs/>
              </w:rPr>
              <w:t xml:space="preserve">ssurance of the Validity of a Public Key for SSP establishment </w:t>
            </w:r>
            <w:r>
              <w:t xml:space="preserve">– IG Withdrawn.</w:t>
            </w:r>
          </w:p>
        </w:tc>
        <w:tc>
          <w:tcPr>
            <w:tcW w:type="dxa" w:w="1170"/>
          </w:tcPr>
          <w:p w14:paraId="1903643E">
            <w:pPr>
              <w:spacing w:before="120" w:after="120" w:line="240" w:lineRule="auto"/>
            </w:pPr>
            <w:r>
              <w:t xml:space="preserve">Yes/no</w:t>
            </w:r>
          </w:p>
        </w:tc>
        <w:tc>
          <w:tcPr>
            <w:tcW w:type="dxa" w:w="4320"/>
          </w:tcPr>
          <w:p w14:paraId="32295C57">
            <w:pPr>
              <w:spacing w:before="120" w:after="120" w:line="240" w:lineRule="auto"/>
            </w:pPr>
            <w:r>
              <w:t xml:space="preserve">[CSTL justification]</w:t>
            </w:r>
          </w:p>
        </w:tc>
      </w:tr>
      <w:tr>
        <w:tc>
          <w:tcPr>
            <w:tcW w:type="dxa" w:w="3865"/>
          </w:tcPr>
          <w:p w14:paraId="59C503C9">
            <w:pPr>
              <w:spacing w:before="120" w:after="120" w:line="240" w:lineRule="auto"/>
            </w:pPr>
            <w:r>
              <w:t xml:space="preserve">03/17/23: 2.3.B </w:t>
            </w:r>
            <w:r>
              <w:rPr>
                <w:i/>
                <w:iCs/>
              </w:rPr>
              <w:t xml:space="preserve">Sub-Chip Cryptographic Subsystems</w:t>
            </w:r>
            <w:r>
              <w:t xml:space="preserve"> – Updated Note 2 references to TE02.13.03. Removed porting guidance (moved to FIPS 140-3 Management Manual Section 7.1). Added Additional Comment #3 on validation status.</w:t>
            </w:r>
          </w:p>
        </w:tc>
        <w:tc>
          <w:tcPr>
            <w:tcW w:type="dxa" w:w="1170"/>
          </w:tcPr>
          <w:p w14:paraId="06C5397E">
            <w:pPr>
              <w:spacing w:before="120" w:after="120" w:line="240" w:lineRule="auto"/>
            </w:pPr>
            <w:r>
              <w:t xml:space="preserve">Yes/no</w:t>
            </w:r>
          </w:p>
        </w:tc>
        <w:tc>
          <w:tcPr>
            <w:tcW w:type="dxa" w:w="4320"/>
          </w:tcPr>
          <w:p w14:paraId="573B5A22">
            <w:pPr>
              <w:spacing w:before="120" w:after="120" w:line="240" w:lineRule="auto"/>
            </w:pPr>
            <w:r>
              <w:t xml:space="preserve">[CSTL justification]</w:t>
            </w:r>
          </w:p>
        </w:tc>
      </w:tr>
      <w:tr>
        <w:tc>
          <w:tcPr>
            <w:tcW w:type="dxa" w:w="3865"/>
          </w:tcPr>
          <w:p w14:paraId="1142C9F3">
            <w:pPr>
              <w:spacing w:before="120" w:after="120" w:line="240" w:lineRule="auto"/>
            </w:pPr>
            <w:r>
              <w:t xml:space="preserve">03/17/23: 4.1.A </w:t>
            </w:r>
            <w:r>
              <w:rPr>
                <w:i/>
                <w:iCs/>
              </w:rPr>
              <w:t xml:space="preserve">Authorised Roles</w:t>
            </w:r>
            <w:r>
              <w:t xml:space="preserve"> – Added SP 800-90B under Resolution b. Added Additional Comments #6, #7, and #8.</w:t>
            </w:r>
          </w:p>
        </w:tc>
        <w:tc>
          <w:tcPr>
            <w:tcW w:type="dxa" w:w="1170"/>
          </w:tcPr>
          <w:p w14:paraId="17CE072D">
            <w:pPr>
              <w:spacing w:before="120" w:after="120" w:line="240" w:lineRule="auto"/>
            </w:pPr>
            <w:r>
              <w:t xml:space="preserve">Yes/no</w:t>
            </w:r>
          </w:p>
        </w:tc>
        <w:tc>
          <w:tcPr>
            <w:tcW w:type="dxa" w:w="4320"/>
          </w:tcPr>
          <w:p w14:paraId="55F61A6B">
            <w:pPr>
              <w:spacing w:before="120" w:after="120" w:line="240" w:lineRule="auto"/>
            </w:pPr>
            <w:r>
              <w:t xml:space="preserve">[CSTL justification]</w:t>
            </w:r>
          </w:p>
        </w:tc>
      </w:tr>
      <w:tr>
        <w:tc>
          <w:tcPr>
            <w:tcW w:type="dxa" w:w="3865"/>
          </w:tcPr>
          <w:p w14:paraId="56B2385A">
            <w:pPr>
              <w:spacing w:before="120" w:after="120" w:line="240" w:lineRule="auto"/>
            </w:pPr>
            <w:r>
              <w:t xml:space="preserve">03/17/23: 5.A </w:t>
            </w:r>
            <w:r>
              <w:rPr>
                <w:i/>
                <w:iCs/>
              </w:rPr>
              <w:t xml:space="preserve">Non-Reconfigurable Memory Integrity Test</w:t>
            </w:r>
            <w:r>
              <w:t xml:space="preserve"> – Added reference to TE02.03.02 in the Resolution.</w:t>
            </w:r>
          </w:p>
        </w:tc>
        <w:tc>
          <w:tcPr>
            <w:tcW w:type="dxa" w:w="1170"/>
          </w:tcPr>
          <w:p w14:paraId="4CECEAB6">
            <w:pPr>
              <w:spacing w:before="120" w:after="120" w:line="240" w:lineRule="auto"/>
            </w:pPr>
            <w:r>
              <w:t xml:space="preserve">Yes/no</w:t>
            </w:r>
          </w:p>
        </w:tc>
        <w:tc>
          <w:tcPr>
            <w:tcW w:type="dxa" w:w="4320"/>
          </w:tcPr>
          <w:p w14:paraId="37F53464">
            <w:pPr>
              <w:spacing w:before="120" w:after="120" w:line="240" w:lineRule="auto"/>
            </w:pPr>
            <w:r>
              <w:t xml:space="preserve">[CSTL justification]</w:t>
            </w:r>
          </w:p>
        </w:tc>
      </w:tr>
      <w:tr>
        <w:tc>
          <w:tcPr>
            <w:tcW w:type="dxa" w:w="3865"/>
          </w:tcPr>
          <w:p w14:paraId="55D2D857">
            <w:pPr>
              <w:spacing w:before="120" w:after="120" w:line="240" w:lineRule="auto"/>
            </w:pPr>
            <w:r>
              <w:t xml:space="preserve">03/17/23: 9.3.A </w:t>
            </w:r>
            <w:r>
              <w:rPr>
                <w:i/>
                <w:iCs/>
              </w:rPr>
              <w:t xml:space="preserve">Entropy Caveats</w:t>
            </w:r>
            <w:r>
              <w:t xml:space="preserve"> – Updated caveats to include “(e.g., keys)” in the SSP references.</w:t>
            </w:r>
          </w:p>
        </w:tc>
        <w:tc>
          <w:tcPr>
            <w:tcW w:type="dxa" w:w="1170"/>
          </w:tcPr>
          <w:p w14:paraId="7FCD8F7D">
            <w:pPr>
              <w:spacing w:before="120" w:after="120" w:line="240" w:lineRule="auto"/>
            </w:pPr>
            <w:r>
              <w:t xml:space="preserve">Yes/no</w:t>
            </w:r>
          </w:p>
        </w:tc>
        <w:tc>
          <w:tcPr>
            <w:tcW w:type="dxa" w:w="4320"/>
          </w:tcPr>
          <w:p w14:paraId="0C069BCF">
            <w:pPr>
              <w:spacing w:before="120" w:after="120" w:line="240" w:lineRule="auto"/>
            </w:pPr>
            <w:r>
              <w:t xml:space="preserve">[CSTL justification]</w:t>
            </w:r>
          </w:p>
        </w:tc>
      </w:tr>
      <w:tr>
        <w:tc>
          <w:tcPr>
            <w:tcW w:type="dxa" w:w="3865"/>
          </w:tcPr>
          <w:p w14:paraId="6F16BC96">
            <w:pPr>
              <w:spacing w:before="120" w:after="120" w:line="240" w:lineRule="auto"/>
            </w:pPr>
            <w:r>
              <w:t xml:space="preserve">03/17/23: 10.3.A </w:t>
            </w:r>
            <w:r>
              <w:rPr>
                <w:i/>
                <w:iCs/>
              </w:rPr>
              <w:t xml:space="preserve">Cryptographic Algorithm Self-Test Requirements</w:t>
            </w:r>
            <w:r>
              <w:t xml:space="preserve"> – Added SP 800-208 self-test requirements (Note: SP 800-208 algorithms can only be used in the approved mode if certified by the CAVP, once testing becomes available). Clarified SP 800-90B self-tests are considered CASTs. Clarified self-test requirements for algorithms whose output vary for a given set of inputs. Added SSH KDF and IKE KDF self-tests when used within an approved KAS. Aligned vendor affirmed self-test guidance with FIPS 140-3 Management Manual. Updated Additional Comment #1 on the key-pair PCT requirements.</w:t>
            </w:r>
          </w:p>
        </w:tc>
        <w:tc>
          <w:tcPr>
            <w:tcW w:type="dxa" w:w="1170"/>
          </w:tcPr>
          <w:p w14:paraId="7C7C9E12">
            <w:pPr>
              <w:spacing w:before="120" w:after="120" w:line="240" w:lineRule="auto"/>
            </w:pPr>
            <w:r>
              <w:t xml:space="preserve">Yes/no</w:t>
            </w:r>
          </w:p>
        </w:tc>
        <w:tc>
          <w:tcPr>
            <w:tcW w:type="dxa" w:w="4320"/>
          </w:tcPr>
          <w:p w14:paraId="53C9027D">
            <w:pPr>
              <w:spacing w:before="120" w:after="120" w:line="240" w:lineRule="auto"/>
            </w:pPr>
            <w:r>
              <w:t xml:space="preserve">[CSTL justification]</w:t>
            </w:r>
          </w:p>
        </w:tc>
      </w:tr>
      <w:tr>
        <w:tc>
          <w:tcPr>
            <w:tcW w:type="dxa" w:w="3865"/>
          </w:tcPr>
          <w:p w14:paraId="52142644">
            <w:pPr>
              <w:spacing w:before="120" w:after="120" w:line="240" w:lineRule="auto"/>
            </w:pPr>
            <w:r>
              <w:t xml:space="preserve">03/17/23: C.H K</w:t>
            </w:r>
            <w:r>
              <w:rPr>
                <w:i/>
                <w:iCs/>
              </w:rPr>
              <w:t xml:space="preserve">ey/IV Pair Uniqueness Requirements from SP 800-38D</w:t>
            </w:r>
            <w:r>
              <w:t xml:space="preserve"> – Added references to DTLS 1.2 in Scenario 1.</w:t>
            </w:r>
          </w:p>
        </w:tc>
        <w:tc>
          <w:tcPr>
            <w:tcW w:type="dxa" w:w="1170"/>
          </w:tcPr>
          <w:p w14:paraId="0D34B7A2">
            <w:pPr>
              <w:spacing w:before="120" w:after="120" w:line="240" w:lineRule="auto"/>
            </w:pPr>
            <w:r>
              <w:t xml:space="preserve">Yes/no</w:t>
            </w:r>
          </w:p>
        </w:tc>
        <w:tc>
          <w:tcPr>
            <w:tcW w:type="dxa" w:w="4320"/>
          </w:tcPr>
          <w:p w14:paraId="3A75746E">
            <w:pPr>
              <w:spacing w:before="120" w:after="120" w:line="240" w:lineRule="auto"/>
            </w:pPr>
            <w:r>
              <w:t xml:space="preserve">[CSTL justification]</w:t>
            </w:r>
          </w:p>
        </w:tc>
      </w:tr>
      <w:tr>
        <w:tc>
          <w:tcPr>
            <w:tcW w:type="dxa" w:w="3865"/>
          </w:tcPr>
          <w:p w14:paraId="760BB923">
            <w:pPr>
              <w:spacing w:before="120" w:after="120" w:line="240" w:lineRule="auto"/>
            </w:pPr>
            <w:r>
              <w:t xml:space="preserve">03/17/23: D.F </w:t>
            </w:r>
            <w:r>
              <w:rPr>
                <w:i/>
                <w:iCs/>
              </w:rPr>
              <w:t xml:space="preserve">Key Agreement Methods</w:t>
            </w:r>
            <w:r>
              <w:t xml:space="preserve"> – Added Additional Comment #11 to clarify CVL KDF CAST requirements.</w:t>
            </w:r>
          </w:p>
        </w:tc>
        <w:tc>
          <w:tcPr>
            <w:tcW w:type="dxa" w:w="1170"/>
          </w:tcPr>
          <w:p w14:paraId="0163CBDA">
            <w:pPr>
              <w:spacing w:before="120" w:after="120" w:line="240" w:lineRule="auto"/>
            </w:pPr>
            <w:r>
              <w:t xml:space="preserve">Yes/no</w:t>
            </w:r>
          </w:p>
        </w:tc>
        <w:tc>
          <w:tcPr>
            <w:tcW w:type="dxa" w:w="4320"/>
          </w:tcPr>
          <w:p w14:paraId="6C9020E4">
            <w:pPr>
              <w:spacing w:before="120" w:after="120" w:line="240" w:lineRule="auto"/>
            </w:pPr>
            <w:r>
              <w:t xml:space="preserve">[CSTL justification]</w:t>
            </w:r>
          </w:p>
        </w:tc>
      </w:tr>
      <w:tr>
        <w:tc>
          <w:tcPr>
            <w:tcW w:type="dxa" w:w="3865"/>
          </w:tcPr>
          <w:p w14:paraId="7E0BA9D4">
            <w:pPr>
              <w:spacing w:before="120" w:after="120" w:line="240" w:lineRule="auto"/>
            </w:pPr>
            <w:r>
              <w:t xml:space="preserve">03/17/23: D.K </w:t>
            </w:r>
            <w:r>
              <w:rPr>
                <w:i/>
                <w:iCs/>
              </w:rPr>
              <w:t xml:space="preserve">Interpretation of SP 800-90B Requirements</w:t>
            </w:r>
            <w:r>
              <w:t xml:space="preserve"> – Added headers to group the Resolutions and added Resolution 19 on full entropy. Added requirements when a DRBG is considered a conditioning component (updates to Resolution 5 and Resolution 7 Note 1).</w:t>
            </w:r>
          </w:p>
        </w:tc>
        <w:tc>
          <w:tcPr>
            <w:tcW w:type="dxa" w:w="1170"/>
          </w:tcPr>
          <w:p w14:paraId="4B15E5FC">
            <w:pPr>
              <w:spacing w:before="120" w:after="120" w:line="240" w:lineRule="auto"/>
            </w:pPr>
            <w:r>
              <w:t xml:space="preserve">Yes/no</w:t>
            </w:r>
          </w:p>
        </w:tc>
        <w:tc>
          <w:tcPr>
            <w:tcW w:type="dxa" w:w="4320"/>
          </w:tcPr>
          <w:p w14:paraId="2224D369">
            <w:pPr>
              <w:spacing w:before="120" w:after="120" w:line="240" w:lineRule="auto"/>
            </w:pPr>
            <w:r>
              <w:t xml:space="preserve">[CSTL justification]</w:t>
            </w:r>
          </w:p>
        </w:tc>
      </w:tr>
      <w:tr>
        <w:tc>
          <w:tcPr>
            <w:tcW w:type="dxa" w:w="3865"/>
          </w:tcPr>
          <w:p w14:paraId="18646648">
            <w:pPr>
              <w:spacing w:before="120" w:after="120" w:line="240" w:lineRule="auto"/>
            </w:pPr>
            <w:r>
              <w:t xml:space="preserve">03/17/23: D.Q </w:t>
            </w:r>
            <w:r>
              <w:rPr>
                <w:i/>
                <w:iCs/>
              </w:rPr>
              <w:t xml:space="preserve">Transition of the TLS 1.2 KDF to Support the Extended Master Secret </w:t>
            </w:r>
            <w:r>
              <w:t xml:space="preserve">– Updated Additional Comment #1 on TLS 1.0 and TLS 1.1 KDFs and their transition when using the extended master secret.</w:t>
            </w:r>
          </w:p>
        </w:tc>
        <w:tc>
          <w:tcPr>
            <w:tcW w:type="dxa" w:w="1170"/>
          </w:tcPr>
          <w:p w14:paraId="5163003E">
            <w:pPr>
              <w:spacing w:before="120" w:after="120" w:line="240" w:lineRule="auto"/>
            </w:pPr>
            <w:r>
              <w:t xml:space="preserve">Yes/no</w:t>
            </w:r>
          </w:p>
        </w:tc>
        <w:tc>
          <w:tcPr>
            <w:tcW w:type="dxa" w:w="4320"/>
          </w:tcPr>
          <w:p w14:paraId="5E0D3D63">
            <w:pPr>
              <w:spacing w:before="120" w:after="120" w:line="240" w:lineRule="auto"/>
            </w:pPr>
            <w:r>
              <w:t xml:space="preserve">[CSTL justification]</w:t>
            </w:r>
          </w:p>
        </w:tc>
      </w:tr>
      <w:tr>
        <w:tc>
          <w:tcPr>
            <w:tcW w:type="dxa" w:w="3865"/>
          </w:tcPr>
          <w:p w14:paraId="343FEA60">
            <w:pPr>
              <w:spacing w:before="120" w:after="120" w:line="240" w:lineRule="auto"/>
            </w:pPr>
            <w:r>
              <w:rPr>
                <w:i/>
                <w:iCs/>
              </w:rPr>
              <w:t xml:space="preserve">10/07/22: </w:t>
            </w:r>
            <w:r>
              <w:t xml:space="preserve">2.3.C </w:t>
            </w:r>
            <w:r>
              <w:rPr>
                <w:i/>
                <w:iCs/>
              </w:rPr>
              <w:t xml:space="preserve">Processor Algorithm Accelerators (PAA) and Processor Algorithm Implementation (PAI) – Clarified the testing requirements when a module incorporates PAA or PAI functionality.  Updated known PAA/PAIs.</w:t>
            </w:r>
          </w:p>
        </w:tc>
        <w:tc>
          <w:tcPr>
            <w:tcW w:type="dxa" w:w="1170"/>
          </w:tcPr>
          <w:p w14:paraId="4AA966DE">
            <w:pPr>
              <w:spacing w:before="120" w:after="120" w:line="240" w:lineRule="auto"/>
            </w:pPr>
            <w:r>
              <w:t xml:space="preserve">Yes/no</w:t>
            </w:r>
          </w:p>
        </w:tc>
        <w:tc>
          <w:tcPr>
            <w:tcW w:type="dxa" w:w="4320"/>
          </w:tcPr>
          <w:p w14:paraId="5FDC35DA">
            <w:pPr>
              <w:spacing w:before="120" w:after="120" w:line="240" w:lineRule="auto"/>
            </w:pPr>
            <w:r>
              <w:t xml:space="preserve">[CSTL justification]</w:t>
            </w:r>
          </w:p>
        </w:tc>
      </w:tr>
      <w:tr>
        <w:tc>
          <w:tcPr>
            <w:tcW w:type="dxa" w:w="3865"/>
          </w:tcPr>
          <w:p w14:paraId="2130785A">
            <w:pPr>
              <w:spacing w:before="120" w:after="120" w:line="240" w:lineRule="auto"/>
            </w:pPr>
            <w:r>
              <w:rPr>
                <w:i/>
                <w:iCs/>
              </w:rPr>
              <w:t xml:space="preserve">10/07/22: </w:t>
            </w:r>
            <w:r>
              <w:t xml:space="preserve">9.3.A </w:t>
            </w:r>
            <w:r>
              <w:rPr>
                <w:i/>
                <w:iCs/>
              </w:rPr>
              <w:t xml:space="preserve">Entropy Caveats – </w:t>
            </w:r>
            <w:r>
              <w:rPr>
                <w:i w:val="0"/>
              </w:rPr>
              <w:t xml:space="preserve">Added Additional Comment #7 on claiming multiple scenarios from this IG and added Additional Comment #8 on which scenarios require an entropy assessment report.</w:t>
            </w:r>
          </w:p>
        </w:tc>
        <w:tc>
          <w:tcPr>
            <w:tcW w:type="dxa" w:w="1170"/>
          </w:tcPr>
          <w:p w14:paraId="3BA414E0">
            <w:pPr>
              <w:spacing w:before="120" w:after="120" w:line="240" w:lineRule="auto"/>
            </w:pPr>
            <w:r>
              <w:t xml:space="preserve">Yes/no</w:t>
            </w:r>
          </w:p>
        </w:tc>
        <w:tc>
          <w:tcPr>
            <w:tcW w:type="dxa" w:w="4320"/>
          </w:tcPr>
          <w:p w14:paraId="20C19C09">
            <w:pPr>
              <w:spacing w:before="120" w:after="120" w:line="240" w:lineRule="auto"/>
            </w:pPr>
            <w:r>
              <w:t xml:space="preserve">[CSTL justification]</w:t>
            </w:r>
          </w:p>
        </w:tc>
      </w:tr>
      <w:tr>
        <w:tc>
          <w:tcPr>
            <w:tcW w:type="dxa" w:w="3865"/>
          </w:tcPr>
          <w:p w14:paraId="12E1D60D">
            <w:pPr>
              <w:spacing w:before="120" w:after="120" w:line="240" w:lineRule="auto"/>
            </w:pPr>
            <w:r>
              <w:rPr>
                <w:i/>
                <w:iCs/>
              </w:rPr>
              <w:t xml:space="preserve">10/07/22: </w:t>
            </w:r>
            <w:r>
              <w:t xml:space="preserve">C.F - </w:t>
            </w:r>
            <w:r>
              <w:rPr>
                <w:i/>
                <w:iCs/>
              </w:rPr>
              <w:t xml:space="preserve">Approved Modulus Sizes for RSA Digital Signature for FIPS 186-4 – </w:t>
            </w:r>
            <w:r>
              <w:rPr>
                <w:i w:val="0"/>
              </w:rPr>
              <w:t xml:space="preserve">Clarified algorithm status and requirements for RSA Signature Verification for both FIPS 186-2 and FIPS 186-4.</w:t>
            </w:r>
          </w:p>
        </w:tc>
        <w:tc>
          <w:tcPr>
            <w:tcW w:type="dxa" w:w="1170"/>
          </w:tcPr>
          <w:p w14:paraId="557C1D23">
            <w:pPr>
              <w:spacing w:before="120" w:after="120" w:line="240" w:lineRule="auto"/>
            </w:pPr>
            <w:r>
              <w:t xml:space="preserve">Yes/no</w:t>
            </w:r>
          </w:p>
        </w:tc>
        <w:tc>
          <w:tcPr>
            <w:tcW w:type="dxa" w:w="4320"/>
          </w:tcPr>
          <w:p w14:paraId="1576A6F4">
            <w:pPr>
              <w:spacing w:before="120" w:after="120" w:line="240" w:lineRule="auto"/>
            </w:pPr>
            <w:r>
              <w:t xml:space="preserve">[CSTL justification]</w:t>
            </w:r>
          </w:p>
        </w:tc>
      </w:tr>
      <w:tr>
        <w:tc>
          <w:tcPr>
            <w:tcW w:type="dxa" w:w="3865"/>
          </w:tcPr>
          <w:p w14:paraId="17FF037F">
            <w:pPr>
              <w:spacing w:before="120" w:after="120" w:line="240" w:lineRule="auto"/>
            </w:pPr>
            <w:r>
              <w:t xml:space="preserve">05/16/22: 9.5.A </w:t>
            </w:r>
            <w:r>
              <w:rPr>
                <w:i/>
                <w:iCs/>
              </w:rPr>
              <w:t xml:space="preserve">SSP Establishment and SSP Entry and Output</w:t>
            </w:r>
            <w:r>
              <w:t xml:space="preserve"> – Added parenthesis to highlight the fact that there are differences in requirements between CSPs that are keys versus non-keys.  </w:t>
            </w:r>
          </w:p>
        </w:tc>
        <w:tc>
          <w:tcPr>
            <w:tcW w:type="dxa" w:w="1170"/>
          </w:tcPr>
          <w:p w14:paraId="072AE833">
            <w:pPr>
              <w:spacing w:before="120" w:after="120" w:line="240" w:lineRule="auto"/>
            </w:pPr>
            <w:r>
              <w:t xml:space="preserve">Yes/no</w:t>
            </w:r>
          </w:p>
        </w:tc>
        <w:tc>
          <w:tcPr>
            <w:tcW w:type="dxa" w:w="4320"/>
          </w:tcPr>
          <w:p w14:paraId="141A9EBB">
            <w:pPr>
              <w:spacing w:before="120" w:after="120" w:line="240" w:lineRule="auto"/>
            </w:pPr>
            <w:r>
              <w:t xml:space="preserve">[CSTL justification]</w:t>
            </w:r>
          </w:p>
        </w:tc>
      </w:tr>
      <w:tr>
        <w:tc>
          <w:tcPr>
            <w:tcW w:type="dxa" w:w="3865"/>
          </w:tcPr>
          <w:p w14:paraId="59EEE284">
            <w:pPr>
              <w:spacing w:before="120" w:after="120" w:line="240" w:lineRule="auto"/>
            </w:pPr>
            <w:r>
              <w:t xml:space="preserve">03/14/22: 2.4.A </w:t>
            </w:r>
            <w:r>
              <w:rPr>
                <w:i/>
                <w:iCs/>
              </w:rPr>
              <w:t xml:space="preserve">Definition and Use of a non-Approved Security Function</w:t>
            </w:r>
            <w:r>
              <w:t xml:space="preserve"> – Added “with no security claimed” to the examples subtitle for clarity.  Small editorial change in the Resolution to reference the correct algorithm table in SP 800-140B.  Added a footnote to MD5.</w:t>
            </w:r>
          </w:p>
        </w:tc>
        <w:tc>
          <w:tcPr>
            <w:tcW w:type="dxa" w:w="1170"/>
          </w:tcPr>
          <w:p w14:paraId="6863093D">
            <w:pPr>
              <w:spacing w:before="120" w:after="120" w:line="240" w:lineRule="auto"/>
            </w:pPr>
            <w:r>
              <w:t xml:space="preserve">Yes/no</w:t>
            </w:r>
          </w:p>
        </w:tc>
        <w:tc>
          <w:tcPr>
            <w:tcW w:type="dxa" w:w="4320"/>
          </w:tcPr>
          <w:p w14:paraId="3A666086">
            <w:pPr>
              <w:spacing w:before="120" w:after="120" w:line="240" w:lineRule="auto"/>
            </w:pPr>
            <w:r>
              <w:t xml:space="preserve">[CSTL justification]</w:t>
            </w:r>
          </w:p>
        </w:tc>
      </w:tr>
      <w:tr>
        <w:tc>
          <w:tcPr>
            <w:tcW w:type="dxa" w:w="3865"/>
          </w:tcPr>
          <w:p w14:paraId="64F520CB">
            <w:pPr>
              <w:spacing w:before="120" w:after="120" w:line="240" w:lineRule="auto"/>
            </w:pPr>
            <w:r>
              <w:t xml:space="preserve">03/14/22: 2.4.B </w:t>
            </w:r>
            <w:r>
              <w:rPr>
                <w:i/>
                <w:iCs/>
              </w:rPr>
              <w:t xml:space="preserve">Tracking the Component Validation List</w:t>
            </w:r>
            <w:r>
              <w:t xml:space="preserve"> – Added vendor affirmation of a SRTP KDF implementation.</w:t>
            </w:r>
          </w:p>
        </w:tc>
        <w:tc>
          <w:tcPr>
            <w:tcW w:type="dxa" w:w="1170"/>
          </w:tcPr>
          <w:p w14:paraId="06517916">
            <w:pPr>
              <w:spacing w:before="120" w:after="120" w:line="240" w:lineRule="auto"/>
            </w:pPr>
            <w:r>
              <w:t xml:space="preserve">Yes/no</w:t>
            </w:r>
          </w:p>
        </w:tc>
        <w:tc>
          <w:tcPr>
            <w:tcW w:type="dxa" w:w="4320"/>
          </w:tcPr>
          <w:p w14:paraId="7E9EF524">
            <w:pPr>
              <w:spacing w:before="120" w:after="120" w:line="240" w:lineRule="auto"/>
            </w:pPr>
            <w:r>
              <w:t xml:space="preserve">[CSTL justification]</w:t>
            </w:r>
          </w:p>
        </w:tc>
      </w:tr>
      <w:tr>
        <w:tc>
          <w:tcPr>
            <w:tcW w:type="dxa" w:w="3865"/>
          </w:tcPr>
          <w:p w14:paraId="3920D02F">
            <w:pPr>
              <w:spacing w:before="120" w:after="120" w:line="240" w:lineRule="auto"/>
            </w:pPr>
            <w:r>
              <w:t xml:space="preserve">11/05/21: 2.4.B </w:t>
            </w:r>
            <w:r>
              <w:rPr>
                <w:i/>
                <w:iCs/>
              </w:rPr>
              <w:t xml:space="preserve">Tracking the Component Validation List</w:t>
            </w:r>
            <w:r>
              <w:t xml:space="preserve"> – Added references to SP 800-56Arev3 for the ECC-CDH primitive CVL in Resolution #1.</w:t>
            </w:r>
          </w:p>
        </w:tc>
        <w:tc>
          <w:tcPr>
            <w:tcW w:type="dxa" w:w="1170"/>
          </w:tcPr>
          <w:p w14:paraId="296428E1">
            <w:pPr>
              <w:spacing w:before="120" w:after="120" w:line="240" w:lineRule="auto"/>
            </w:pPr>
            <w:r>
              <w:t xml:space="preserve">Yes/no</w:t>
            </w:r>
          </w:p>
        </w:tc>
        <w:tc>
          <w:tcPr>
            <w:tcW w:type="dxa" w:w="4320"/>
          </w:tcPr>
          <w:p w14:paraId="02811277">
            <w:pPr>
              <w:spacing w:before="120" w:after="120" w:line="240" w:lineRule="auto"/>
            </w:pPr>
            <w:r>
              <w:t xml:space="preserve">[CSTL justification]</w:t>
            </w:r>
          </w:p>
        </w:tc>
      </w:tr>
      <w:tr>
        <w:tc>
          <w:tcPr>
            <w:tcW w:type="dxa" w:w="3865"/>
          </w:tcPr>
          <w:p w14:paraId="2A5E9A78">
            <w:pPr>
              <w:spacing w:before="120" w:after="120" w:line="240" w:lineRule="auto"/>
            </w:pPr>
            <w:r>
              <w:t xml:space="preserve">11/05/21: 2.4.A </w:t>
            </w:r>
            <w:r>
              <w:rPr>
                <w:i/>
                <w:iCs/>
              </w:rPr>
              <w:t xml:space="preserve">Definition and Use of a non-Approved Security Function</w:t>
            </w:r>
            <w:r>
              <w:t xml:space="preserve"> – Synchronized minor text in the Resolution to be consistent with IG 1.23 (FIPS 140-2).  Clarified XOR example with a note.  Added Additional Comment #2 to further clarify when a vendor can apply this IG.</w:t>
            </w:r>
          </w:p>
        </w:tc>
        <w:tc>
          <w:tcPr>
            <w:tcW w:type="dxa" w:w="1170"/>
          </w:tcPr>
          <w:p w14:paraId="074748C6">
            <w:pPr>
              <w:spacing w:before="120" w:after="120" w:line="240" w:lineRule="auto"/>
            </w:pPr>
            <w:r>
              <w:t xml:space="preserve">Yes/no</w:t>
            </w:r>
          </w:p>
        </w:tc>
        <w:tc>
          <w:tcPr>
            <w:tcW w:type="dxa" w:w="4320"/>
          </w:tcPr>
          <w:p w14:paraId="54BF7B57">
            <w:pPr>
              <w:spacing w:before="120" w:after="120" w:line="240" w:lineRule="auto"/>
            </w:pPr>
            <w:r>
              <w:t xml:space="preserve">[CSTL justification]</w:t>
            </w:r>
          </w:p>
        </w:tc>
      </w:tr>
      <w:tr>
        <w:tc>
          <w:tcPr>
            <w:tcW w:type="dxa" w:w="3865"/>
          </w:tcPr>
          <w:p w14:paraId="7B7D0D21">
            <w:pPr>
              <w:spacing w:before="120" w:after="120" w:line="240" w:lineRule="auto"/>
            </w:pPr>
            <w:r>
              <w:t xml:space="preserve">11/05/21: 10.3.A </w:t>
            </w:r>
            <w:r>
              <w:rPr>
                <w:i/>
                <w:iCs/>
              </w:rPr>
              <w:t xml:space="preserve">Cryptographic Algorithm Self-Test Requirements</w:t>
            </w:r>
            <w:r>
              <w:t xml:space="preserve"> – Spelled out the ENT self-test requirements to avoid ambiguity.</w:t>
            </w:r>
          </w:p>
        </w:tc>
        <w:tc>
          <w:tcPr>
            <w:tcW w:type="dxa" w:w="1170"/>
          </w:tcPr>
          <w:p w14:paraId="16054046">
            <w:pPr>
              <w:spacing w:before="120" w:after="120" w:line="240" w:lineRule="auto"/>
            </w:pPr>
            <w:r>
              <w:t xml:space="preserve">Yes/no</w:t>
            </w:r>
          </w:p>
        </w:tc>
        <w:tc>
          <w:tcPr>
            <w:tcW w:type="dxa" w:w="4320"/>
          </w:tcPr>
          <w:p w14:paraId="627F7C38">
            <w:pPr>
              <w:spacing w:before="120" w:after="120" w:line="240" w:lineRule="auto"/>
            </w:pPr>
            <w:r>
              <w:t xml:space="preserve">[CSTL justification]</w:t>
            </w:r>
          </w:p>
        </w:tc>
      </w:tr>
      <w:tr>
        <w:tc>
          <w:tcPr>
            <w:tcW w:type="dxa" w:w="3865"/>
          </w:tcPr>
          <w:p w14:paraId="12DFF086">
            <w:pPr>
              <w:spacing w:before="120" w:after="120" w:line="240" w:lineRule="auto"/>
            </w:pPr>
            <w:r>
              <w:t xml:space="preserve">11/05/21: C.F </w:t>
            </w:r>
            <w:r>
              <w:rPr>
                <w:i/>
                <w:iCs/>
              </w:rPr>
              <w:t xml:space="preserve">Approved Modulus Sizes for RSA Digital Signature for FIPS 186-4</w:t>
            </w:r>
            <w:r>
              <w:t xml:space="preserve"> – Added Table 1 with a more relaxed upper bound limit and introduced supporting text including adding two new Additional Comments.  Clarified the minimum number of the Miller-Rabin tests. Cleaned up old text in the Additional Comments.</w:t>
            </w:r>
          </w:p>
        </w:tc>
        <w:tc>
          <w:tcPr>
            <w:tcW w:type="dxa" w:w="1170"/>
          </w:tcPr>
          <w:p w14:paraId="0AABDCD3">
            <w:pPr>
              <w:spacing w:before="120" w:after="120" w:line="240" w:lineRule="auto"/>
            </w:pPr>
            <w:r>
              <w:t xml:space="preserve">Yes/no</w:t>
            </w:r>
          </w:p>
        </w:tc>
        <w:tc>
          <w:tcPr>
            <w:tcW w:type="dxa" w:w="4320"/>
          </w:tcPr>
          <w:p w14:paraId="7E4352A8">
            <w:pPr>
              <w:spacing w:before="120" w:after="120" w:line="240" w:lineRule="auto"/>
            </w:pPr>
            <w:r>
              <w:t xml:space="preserve">[CSTL justification]</w:t>
            </w:r>
          </w:p>
        </w:tc>
      </w:tr>
      <w:tr>
        <w:tc>
          <w:tcPr>
            <w:tcW w:type="dxa" w:w="3865"/>
          </w:tcPr>
          <w:p w14:paraId="247B07D4">
            <w:pPr>
              <w:spacing w:before="120" w:after="120" w:line="240" w:lineRule="auto"/>
            </w:pPr>
            <w:r>
              <w:t xml:space="preserve">11/05/21: D.C </w:t>
            </w:r>
            <w:r>
              <w:rPr>
                <w:i/>
                <w:iCs/>
              </w:rPr>
              <w:t xml:space="preserve">References to the Support of Industry Protocols</w:t>
            </w:r>
            <w:r>
              <w:t xml:space="preserve"> – Included guidance on the use of AES-CBC-MAC within OTAR.</w:t>
            </w:r>
          </w:p>
        </w:tc>
        <w:tc>
          <w:tcPr>
            <w:tcW w:type="dxa" w:w="1170"/>
          </w:tcPr>
          <w:p w14:paraId="4802B19D">
            <w:pPr>
              <w:spacing w:before="120" w:after="120" w:line="240" w:lineRule="auto"/>
            </w:pPr>
            <w:r>
              <w:t xml:space="preserve">Yes/no</w:t>
            </w:r>
          </w:p>
        </w:tc>
        <w:tc>
          <w:tcPr>
            <w:tcW w:type="dxa" w:w="4320"/>
          </w:tcPr>
          <w:p w14:paraId="2A64BBD0">
            <w:pPr>
              <w:spacing w:before="120" w:after="120" w:line="240" w:lineRule="auto"/>
            </w:pPr>
            <w:r>
              <w:t xml:space="preserve">[CSTL justification]</w:t>
            </w:r>
          </w:p>
        </w:tc>
      </w:tr>
      <w:tr>
        <w:tc>
          <w:tcPr>
            <w:tcW w:type="dxa" w:w="3865"/>
          </w:tcPr>
          <w:p w14:paraId="2C88616A">
            <w:pPr>
              <w:spacing w:before="120" w:after="120" w:line="240" w:lineRule="auto"/>
            </w:pPr>
            <w:r>
              <w:t xml:space="preserve">11/05/21: </w:t>
            </w:r>
            <w:hyperlink w:anchor="_D.J_Entropy_Estimation">
              <w:r>
                <w:rPr>
                  <w:rStyle w:val="Hyperlink"/>
                  <w:u w:val="none"/>
                </w:rPr>
                <w:t xml:space="preserve">D.J </w:t>
              </w:r>
            </w:hyperlink>
            <w:hyperlink w:anchor="_D.J_Entropy_Estimation">
              <w:r>
                <w:rPr>
                  <w:rStyle w:val="Hyperlink"/>
                  <w:i/>
                  <w:iCs/>
                  <w:u w:val="none"/>
                </w:rPr>
                <w:t xml:space="preserve">Entropy Estimation and Compliance with SP 800-90B</w:t>
              </w:r>
            </w:hyperlink>
            <w:r>
              <w:t xml:space="preserve"> – Added Additional Comment #10 to clarify when other parties can write a labs’ entropy source description and its heuristic entropy analysis.</w:t>
            </w:r>
          </w:p>
        </w:tc>
        <w:tc>
          <w:tcPr>
            <w:tcW w:type="dxa" w:w="1170"/>
          </w:tcPr>
          <w:p w14:paraId="3B5ABD14">
            <w:pPr>
              <w:spacing w:before="120" w:after="120" w:line="240" w:lineRule="auto"/>
            </w:pPr>
            <w:r>
              <w:t xml:space="preserve">Yes/no</w:t>
            </w:r>
          </w:p>
        </w:tc>
        <w:tc>
          <w:tcPr>
            <w:tcW w:type="dxa" w:w="4320"/>
          </w:tcPr>
          <w:p w14:paraId="231473DF">
            <w:pPr>
              <w:spacing w:before="120" w:after="120" w:line="240" w:lineRule="auto"/>
            </w:pPr>
            <w:r>
              <w:t xml:space="preserve">[CSTL justification]</w:t>
            </w:r>
          </w:p>
        </w:tc>
      </w:tr>
      <w:tr>
        <w:tc>
          <w:tcPr>
            <w:tcW w:type="dxa" w:w="3865"/>
          </w:tcPr>
          <w:p w14:paraId="45DF0BD9">
            <w:pPr>
              <w:spacing w:before="120" w:after="120" w:line="240" w:lineRule="auto"/>
            </w:pPr>
            <w:r>
              <w:t xml:space="preserve">11/05/21: D.L </w:t>
            </w:r>
            <w:r>
              <w:rPr>
                <w:i/>
                <w:iCs/>
              </w:rPr>
              <w:t xml:space="preserve">Critical Security Parameters for the SP 800-90A DRBGs</w:t>
            </w:r>
            <w:r>
              <w:t xml:space="preserve"> – Added Additional Comment on the CTR_DRBG without a derivation function.</w:t>
            </w:r>
          </w:p>
        </w:tc>
        <w:tc>
          <w:tcPr>
            <w:tcW w:type="dxa" w:w="1170"/>
          </w:tcPr>
          <w:p w14:paraId="71EB8BA1">
            <w:pPr>
              <w:spacing w:before="120" w:after="120" w:line="240" w:lineRule="auto"/>
            </w:pPr>
            <w:r>
              <w:t xml:space="preserve">Yes/no</w:t>
            </w:r>
          </w:p>
        </w:tc>
        <w:tc>
          <w:tcPr>
            <w:tcW w:type="dxa" w:w="4320"/>
          </w:tcPr>
          <w:p w14:paraId="745893C6">
            <w:pPr>
              <w:spacing w:before="120" w:after="120" w:line="240" w:lineRule="auto"/>
            </w:pPr>
            <w:r>
              <w:t xml:space="preserve">[CSTL justification]</w:t>
            </w:r>
          </w:p>
        </w:tc>
      </w:tr>
      <w:tr>
        <w:tc>
          <w:tcPr>
            <w:tcW w:type="dxa" w:w="3865"/>
          </w:tcPr>
          <w:p w14:paraId="39A2D74F">
            <w:pPr>
              <w:spacing w:before="120" w:after="120" w:line="240" w:lineRule="auto"/>
            </w:pPr>
            <w:r>
              <w:t xml:space="preserve">08/27/21: 5.A </w:t>
            </w:r>
            <w:r>
              <w:rPr>
                <w:i/>
                <w:iCs/>
              </w:rPr>
              <w:t xml:space="preserve">Non-Reconfigurable Memory Integrity Test</w:t>
            </w:r>
            <w:r>
              <w:t xml:space="preserve"> – Incorporated end of life procedures.</w:t>
            </w:r>
          </w:p>
        </w:tc>
        <w:tc>
          <w:tcPr>
            <w:tcW w:type="dxa" w:w="1170"/>
          </w:tcPr>
          <w:p w14:paraId="7BEF8B6B">
            <w:pPr>
              <w:spacing w:before="120" w:after="120" w:line="240" w:lineRule="auto"/>
            </w:pPr>
            <w:r>
              <w:t xml:space="preserve">Yes/no</w:t>
            </w:r>
          </w:p>
        </w:tc>
        <w:tc>
          <w:tcPr>
            <w:tcW w:type="dxa" w:w="4320"/>
          </w:tcPr>
          <w:p w14:paraId="2FC489F3">
            <w:pPr>
              <w:spacing w:before="120" w:after="120" w:line="240" w:lineRule="auto"/>
            </w:pPr>
            <w:r>
              <w:t xml:space="preserve">[CSTL justification]</w:t>
            </w:r>
          </w:p>
        </w:tc>
      </w:tr>
      <w:tr>
        <w:tc>
          <w:tcPr>
            <w:tcW w:type="dxa" w:w="3865"/>
          </w:tcPr>
          <w:p w14:paraId="19A6C210">
            <w:pPr>
              <w:spacing w:before="120" w:after="120" w:line="240" w:lineRule="auto"/>
            </w:pPr>
            <w:r>
              <w:t xml:space="preserve">05/04/21: 3.4.A </w:t>
            </w:r>
            <w:r>
              <w:rPr>
                <w:i/>
                <w:iCs/>
              </w:rPr>
              <w:t xml:space="preserve">Trusted Channel</w:t>
            </w:r>
            <w:r>
              <w:t xml:space="preserve"> – Clarified in the last bullet in Resolution 2 that the operator must stay in control over the physical path and prevent any unauthorised tampering.</w:t>
            </w:r>
          </w:p>
        </w:tc>
        <w:tc>
          <w:tcPr>
            <w:tcW w:type="dxa" w:w="1170"/>
          </w:tcPr>
          <w:p w14:paraId="2C1C1370">
            <w:pPr>
              <w:spacing w:before="120" w:after="120" w:line="240" w:lineRule="auto"/>
            </w:pPr>
            <w:r>
              <w:t xml:space="preserve">Yes/no</w:t>
            </w:r>
          </w:p>
        </w:tc>
        <w:tc>
          <w:tcPr>
            <w:tcW w:type="dxa" w:w="4320"/>
          </w:tcPr>
          <w:p w14:paraId="4C226B41">
            <w:pPr>
              <w:spacing w:before="120" w:after="120" w:line="240" w:lineRule="auto"/>
            </w:pPr>
            <w:r>
              <w:t xml:space="preserve">[CSTL justification]</w:t>
            </w:r>
          </w:p>
        </w:tc>
      </w:tr>
      <w:tr>
        <w:tc>
          <w:tcPr>
            <w:tcW w:type="dxa" w:w="3865"/>
          </w:tcPr>
          <w:p w14:paraId="5415170B">
            <w:pPr>
              <w:spacing w:before="120" w:after="120" w:line="240" w:lineRule="auto"/>
            </w:pPr>
            <w:r>
              <w:t xml:space="preserve">05/04/21: 4.1.A </w:t>
            </w:r>
            <w:r>
              <w:rPr>
                <w:i/>
                <w:iCs/>
              </w:rPr>
              <w:t xml:space="preserve">Authorised Roles</w:t>
            </w:r>
            <w:r>
              <w:t xml:space="preserve"> - Clarified the requirements of the text “or other services that do not affect the security of the module”.</w:t>
            </w:r>
          </w:p>
        </w:tc>
        <w:tc>
          <w:tcPr>
            <w:tcW w:type="dxa" w:w="1170"/>
          </w:tcPr>
          <w:p w14:paraId="546805D6">
            <w:pPr>
              <w:spacing w:before="120" w:after="120" w:line="240" w:lineRule="auto"/>
            </w:pPr>
            <w:r>
              <w:t xml:space="preserve">Yes/no</w:t>
            </w:r>
          </w:p>
        </w:tc>
        <w:tc>
          <w:tcPr>
            <w:tcW w:type="dxa" w:w="4320"/>
          </w:tcPr>
          <w:p w14:paraId="35B4D4C9">
            <w:pPr>
              <w:spacing w:before="120" w:after="120" w:line="240" w:lineRule="auto"/>
            </w:pPr>
            <w:r>
              <w:t xml:space="preserve">[CSTL justification]</w:t>
            </w:r>
          </w:p>
        </w:tc>
      </w:tr>
      <w:tr>
        <w:tc>
          <w:tcPr>
            <w:tcW w:type="dxa" w:w="3865"/>
          </w:tcPr>
          <w:p w14:paraId="2EF9398C">
            <w:pPr>
              <w:spacing w:before="120" w:after="120" w:line="240" w:lineRule="auto"/>
            </w:pPr>
            <w:r>
              <w:t xml:space="preserve">05/04/21: 5.A </w:t>
            </w:r>
            <w:r>
              <w:rPr>
                <w:i/>
                <w:iCs/>
              </w:rPr>
              <w:t xml:space="preserve">Non-Reconfigurable Memory Integrity Test </w:t>
            </w:r>
            <w:r>
              <w:t xml:space="preserve">– 20 years was changed to 10 years.</w:t>
            </w:r>
          </w:p>
        </w:tc>
        <w:tc>
          <w:tcPr>
            <w:tcW w:type="dxa" w:w="1170"/>
          </w:tcPr>
          <w:p w14:paraId="62D1F387">
            <w:pPr>
              <w:spacing w:before="120" w:after="120" w:line="240" w:lineRule="auto"/>
            </w:pPr>
            <w:r>
              <w:t xml:space="preserve">Yes/no</w:t>
            </w:r>
          </w:p>
        </w:tc>
        <w:tc>
          <w:tcPr>
            <w:tcW w:type="dxa" w:w="4320"/>
          </w:tcPr>
          <w:p w14:paraId="2B7861BA">
            <w:pPr>
              <w:spacing w:before="120" w:after="120" w:line="240" w:lineRule="auto"/>
            </w:pPr>
            <w:r>
              <w:t xml:space="preserve">[CSTL justification]</w:t>
            </w:r>
          </w:p>
        </w:tc>
      </w:tr>
      <w:tr>
        <w:tc>
          <w:tcPr>
            <w:tcW w:type="dxa" w:w="3865"/>
          </w:tcPr>
          <w:p w14:paraId="643CCECA">
            <w:pPr>
              <w:spacing w:before="120" w:after="120" w:line="240" w:lineRule="auto"/>
            </w:pPr>
            <w:r>
              <w:t xml:space="preserve">05/04/21: 10.3.A</w:t>
            </w:r>
            <w:r>
              <w:rPr>
                <w:i/>
                <w:iCs/>
              </w:rPr>
              <w:t xml:space="preserve"> Cryptographic Algorithm Self-Test Requirements</w:t>
            </w:r>
            <w:r>
              <w:t xml:space="preserve"> – Updated to remain consistent with FIPS 140-2 IG 9.4.  Also, clarified self-test rules around the PBKDF Iteration Count parameter.</w:t>
            </w:r>
          </w:p>
        </w:tc>
        <w:tc>
          <w:tcPr>
            <w:tcW w:type="dxa" w:w="1170"/>
          </w:tcPr>
          <w:p w14:paraId="2CD0DEFD">
            <w:pPr>
              <w:spacing w:before="120" w:after="120" w:line="240" w:lineRule="auto"/>
            </w:pPr>
            <w:r>
              <w:t xml:space="preserve">Yes/no</w:t>
            </w:r>
          </w:p>
        </w:tc>
        <w:tc>
          <w:tcPr>
            <w:tcW w:type="dxa" w:w="4320"/>
          </w:tcPr>
          <w:p w14:paraId="64075FEF">
            <w:pPr>
              <w:spacing w:before="120" w:after="120" w:line="240" w:lineRule="auto"/>
            </w:pPr>
            <w:r>
              <w:t xml:space="preserve">[CSTL justification]</w:t>
            </w:r>
          </w:p>
        </w:tc>
      </w:tr>
      <w:tr>
        <w:tc>
          <w:tcPr>
            <w:tcW w:type="dxa" w:w="3865"/>
          </w:tcPr>
          <w:p w14:paraId="6448F6D0">
            <w:pPr>
              <w:spacing w:before="120" w:after="120" w:line="240" w:lineRule="auto"/>
            </w:pPr>
            <w:r>
              <w:t xml:space="preserve">05/04/21: C.H Key/IV Pair Uniqueness Requirements from SP 800-38D - Removed Scenario 2’s second and fourth bullets and added the reasoning as Additional Comment #4.</w:t>
            </w:r>
          </w:p>
        </w:tc>
        <w:tc>
          <w:tcPr>
            <w:tcW w:type="dxa" w:w="1170"/>
          </w:tcPr>
          <w:p w14:paraId="5E317113">
            <w:pPr>
              <w:spacing w:before="120" w:after="120" w:line="240" w:lineRule="auto"/>
            </w:pPr>
            <w:r>
              <w:t xml:space="preserve">Yes/no</w:t>
            </w:r>
          </w:p>
        </w:tc>
        <w:tc>
          <w:tcPr>
            <w:tcW w:type="dxa" w:w="4320"/>
          </w:tcPr>
          <w:p w14:paraId="29CBD074">
            <w:pPr>
              <w:spacing w:before="120" w:after="120" w:line="240" w:lineRule="auto"/>
            </w:pPr>
            <w:r>
              <w:t xml:space="preserve">[CSTL justification]</w:t>
            </w:r>
          </w:p>
        </w:tc>
      </w:tr>
      <w:tr>
        <w:tc>
          <w:tcPr>
            <w:tcW w:type="dxa" w:w="3865"/>
          </w:tcPr>
          <w:p w14:paraId="10F124F3">
            <w:pPr>
              <w:spacing w:before="120" w:after="120" w:line="240" w:lineRule="auto"/>
            </w:pPr>
            <w:r>
              <w:t xml:space="preserve">05/04/21: </w:t>
            </w:r>
            <w:r>
              <w:rPr>
                <w:i/>
                <w:iCs/>
              </w:rPr>
              <w:t xml:space="preserve">D.F Key Agreement Methods</w:t>
            </w:r>
            <w:r>
              <w:t xml:space="preserve"> - Removed Additional Comment 10 since SP 800-56Arev3 testing is available and therefore vendor affirming to this standard is not permitted.</w:t>
            </w:r>
          </w:p>
        </w:tc>
        <w:tc>
          <w:tcPr>
            <w:tcW w:type="dxa" w:w="1170"/>
          </w:tcPr>
          <w:p w14:paraId="799FAF1B">
            <w:pPr>
              <w:spacing w:before="120" w:after="120" w:line="240" w:lineRule="auto"/>
            </w:pPr>
            <w:r>
              <w:t xml:space="preserve">Yes/no</w:t>
            </w:r>
          </w:p>
        </w:tc>
        <w:tc>
          <w:tcPr>
            <w:tcW w:type="dxa" w:w="4320"/>
          </w:tcPr>
          <w:p w14:paraId="7E0D9F02">
            <w:pPr>
              <w:spacing w:before="120" w:after="120" w:line="240" w:lineRule="auto"/>
            </w:pPr>
            <w:r>
              <w:t xml:space="preserve">[CSTL justification]</w:t>
            </w:r>
          </w:p>
        </w:tc>
      </w:tr>
    </w:tbl>
    <w:p w14:paraId="401880CC">
      <w:pPr>
        <w:spacing w:after="160" w:line="259" w:lineRule="auto"/>
        <w:rPr>
          <w:rFonts w:ascii="Calibri Light" w:hAnsi="Calibri Light" w:cs="Calibri Light" w:eastAsia="Times New Roman"/>
          <w:color w:val="2F5496"/>
          <w:sz w:val="26"/>
          <w:szCs w:val="26"/>
        </w:rPr>
      </w:pPr>
      <w:r>
        <w:rPr>
          <w:rFonts w:eastAsia="Times New Roman"/>
        </w:rPr>
        <w:br w:type="page"/>
      </w:r>
    </w:p>
    <w:p w14:paraId="6D50E692">
      <w:pPr>
        <w:pStyle w:val="Heading2"/>
        <w:keepNext/>
        <w:keepLines/>
        <w:numPr>
          <w:ilvl w:val="1"/>
          <w:numId w:val="12"/>
        </w:numPr>
        <w:spacing w:before="120" w:after="120" w:line="240" w:lineRule="auto"/>
        <w:rPr>
          <w:rFonts w:eastAsia="Times New Roman"/>
        </w:rPr>
      </w:pPr>
      <w:bookmarkStart w:id="100012" w:name="_Toc226628118"/>
      <w:bookmarkEnd w:id="100012"/>
      <w:r>
        <w:rPr>
          <w:rFonts w:eastAsia="Times New Roman"/>
        </w:rPr>
        <w:t xml:space="preserve">CVE (MM 7.1.11)</w:t>
      </w:r>
    </w:p>
    <w:p w14:paraId="5F872FFD">
      <w:pPr>
        <w:spacing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A CSTL has been contracted to perform a revalidation for a module on which the vendor has made FIPS 140 security-relevant changes in response to one or more CVEs (Common Vulnerability and Exposure)</w:t>
      </w:r>
      <w:r>
        <w:t xml:space="preserve"> </w:t>
      </w:r>
      <w:r>
        <w:rPr>
          <w:rFonts w:ascii="Times New Roman" w:hAnsi="Times New Roman" w:cs="Times New Roman" w:eastAsia="Times New Roman"/>
          <w:sz w:val="20"/>
          <w:szCs w:val="20"/>
        </w:rPr>
        <w:t xml:space="preserve">or one or more security relevant maintenance/bugs.   For more information about CVEs please see </w:t>
      </w:r>
      <w:hyperlink r:id="rIdLink9">
        <w:r>
          <w:rPr>
            <w:rStyle w:val="Hyperlink"/>
            <w:rFonts w:ascii="Times New Roman" w:hAnsi="Times New Roman" w:cs="Times New Roman" w:eastAsia="Times New Roman"/>
            <w:u w:val="single"/>
            <w:color w:val="0000FF"/>
            <w:sz w:val="20"/>
            <w:szCs w:val="20"/>
          </w:rPr>
          <w:t xml:space="preserve">https://cve.mitre.org/</w:t>
        </w:r>
      </w:hyperlink>
      <w:r>
        <w:rPr>
          <w:rFonts w:ascii="Times New Roman" w:hAnsi="Times New Roman" w:cs="Times New Roman" w:eastAsia="Times New Roman"/>
          <w:sz w:val="20"/>
          <w:szCs w:val="20"/>
        </w:rPr>
        <w:t xml:space="preserve">. </w:t>
      </w:r>
    </w:p>
    <w:p w14:paraId="7D5B0621">
      <w:pPr>
        <w:spacing w:after="160" w:line="259" w:lineRule="auto"/>
        <w:rPr>
          <w:sz w:val="20"/>
          <w:szCs w:val="20"/>
        </w:rPr>
      </w:pPr>
      <w:r>
        <w:rPr>
          <w:rFonts w:ascii="Times New Roman" w:hAnsi="Times New Roman" w:cs="Times New Roman" w:eastAsia="Times New Roman"/>
          <w:sz w:val="20"/>
          <w:szCs w:val="20"/>
        </w:rPr>
        <w:t xml:space="preserve">The purpose of this revalidation scenario is to provide the vendor a means to quickly fix, test and revalidate a module that is subject to a </w:t>
      </w:r>
      <w:r>
        <w:rPr>
          <w:rFonts w:ascii="Times New Roman" w:hAnsi="Times New Roman" w:cs="Times New Roman" w:eastAsia="Times New Roman"/>
          <w:i/>
          <w:iCs/>
          <w:sz w:val="20"/>
          <w:szCs w:val="20"/>
        </w:rPr>
        <w:t xml:space="preserve">security-relevant</w:t>
      </w:r>
      <w:r>
        <w:rPr>
          <w:rFonts w:ascii="Times New Roman" w:hAnsi="Times New Roman" w:cs="Times New Roman" w:eastAsia="Times New Roman"/>
          <w:sz w:val="20"/>
          <w:szCs w:val="20"/>
        </w:rPr>
        <w:t xml:space="preserve"> CVE</w:t>
      </w:r>
      <w:r>
        <w:t xml:space="preserve"> </w:t>
      </w:r>
      <w:r>
        <w:rPr>
          <w:rFonts w:ascii="Times New Roman" w:hAnsi="Times New Roman" w:cs="Times New Roman" w:eastAsia="Times New Roman"/>
          <w:sz w:val="20"/>
          <w:szCs w:val="20"/>
        </w:rPr>
        <w:t xml:space="preserve">or maintenance/bug fix</w:t>
      </w:r>
      <w:r>
        <w:rPr>
          <w:rStyle w:val="FootnoteReference"/>
          <w:rFonts w:ascii="Times New Roman" w:hAnsi="Times New Roman" w:cs="Times New Roman" w:eastAsia="Times New Roman"/>
          <w:sz w:val="20"/>
          <w:szCs w:val="20"/>
          <w:vertAlign w:val="superscript"/>
        </w:rPr>
        <w:footnoteReference w:id="1"/>
      </w:r>
      <w:r>
        <w:rPr>
          <w:rFonts w:ascii="Times New Roman" w:hAnsi="Times New Roman" w:cs="Times New Roman" w:eastAsia="Times New Roman"/>
          <w:sz w:val="20"/>
          <w:szCs w:val="20"/>
        </w:rPr>
        <w:t xml:space="preserve">, while at the same time providing assurance that the module still meets the FIPS 140-3 standard.  If a CVE</w:t>
      </w:r>
      <w:r>
        <w:t xml:space="preserve"> </w:t>
      </w:r>
      <w:r>
        <w:rPr>
          <w:rFonts w:ascii="Times New Roman" w:hAnsi="Times New Roman" w:cs="Times New Roman" w:eastAsia="Times New Roman"/>
          <w:sz w:val="20"/>
          <w:szCs w:val="20"/>
        </w:rPr>
        <w:t xml:space="preserve">or maintenance/bug fix does not require security relevant changes to address it, then the vendor may instead pursue a NSRL revalidation.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53AA6606">
            <w:pPr>
              <w:spacing w:before="120" w:after="120" w:line="240" w:lineRule="auto"/>
              <w:rPr>
                <w:b/>
                <w:bCs/>
              </w:rPr>
            </w:pPr>
            <w:r>
              <w:rPr>
                <w:b/>
                <w:bCs/>
              </w:rPr>
              <w:t xml:space="preserve">Requirement</w:t>
            </w:r>
          </w:p>
        </w:tc>
        <w:tc>
          <w:tcPr>
            <w:tcW w:type="dxa" w:w="4675"/>
            <w:shd w:val="clear" w:color="auto" w:fill="E7E6E6"/>
          </w:tcPr>
          <w:p w14:paraId="4B18DF1A">
            <w:pPr>
              <w:spacing w:before="120" w:after="120" w:line="240" w:lineRule="auto"/>
              <w:rPr>
                <w:b/>
                <w:bCs/>
              </w:rPr>
            </w:pPr>
            <w:r>
              <w:rPr>
                <w:b/>
                <w:bCs/>
              </w:rPr>
              <w:t xml:space="preserve">CSTL Compliance evidence / justification</w:t>
            </w:r>
          </w:p>
        </w:tc>
      </w:tr>
      <w:tr>
        <w:tc>
          <w:tcPr>
            <w:tcW w:type="dxa" w:w="4675"/>
          </w:tcPr>
          <w:p w14:paraId="21D94EDF">
            <w:pPr>
              <w:spacing w:before="120" w:after="120" w:line="240" w:lineRule="auto"/>
            </w:pPr>
            <w:r>
              <w:rPr>
                <w:color w:val="000000"/>
              </w:rPr>
              <w:t xml:space="preserve">The CSTL </w:t>
            </w:r>
            <w:r>
              <w:rPr>
                <w:b/>
                <w:bCs/>
                <w:color w:val="FF0000"/>
              </w:rPr>
              <w:t xml:space="preserve">shall</w:t>
            </w:r>
            <w:r>
              <w:rPr>
                <w:color w:val="FF0000"/>
              </w:rPr>
              <w:t xml:space="preserve"> </w:t>
            </w:r>
            <w:r>
              <w:rPr>
                <w:color w:val="000000"/>
              </w:rPr>
              <w:t xml:space="preserve">determine that security relevant changes to the module are only to correct the vulnerability disclosed in the CVE or to maintain the module’s compliance/security claims/objectives via code corrections or bug fixes (e.g., self-tests operate incorrectly on certain OEs that were not part of the module validation). Changes </w:t>
            </w:r>
            <w:r>
              <w:rPr>
                <w:b/>
                <w:bCs/>
                <w:color w:val="FF0000"/>
              </w:rPr>
              <w:t xml:space="preserve">shall</w:t>
            </w:r>
            <w:r>
              <w:rPr>
                <w:color w:val="000000"/>
              </w:rPr>
              <w:t xml:space="preserve"> not introduce new features or cryptography and </w:t>
            </w:r>
            <w:r>
              <w:rPr>
                <w:b/>
                <w:bCs/>
                <w:color w:val="FF0000"/>
              </w:rPr>
              <w:t xml:space="preserve">shall</w:t>
            </w:r>
            <w:r>
              <w:rPr>
                <w:color w:val="000000"/>
              </w:rPr>
              <w:t xml:space="preserve"> be consistent with Section 7.8 Module definitions for same certificates (i.e., the new version must be identical in the defined areas when compared against the original version, even if the original version ends up being removed from the certificate upon completion of the CVE Submission). Other changes are permitted if only directly impacted by the CVE or maintenance/bug change (e.g., addressing the CVE or maintenance/bug may require changing the version number, and that requires the show version service to be updated).  </w:t>
            </w:r>
          </w:p>
        </w:tc>
        <w:tc>
          <w:tcPr>
            <w:tcW w:type="dxa" w:w="4675"/>
          </w:tcPr>
          <w:p w14:paraId="28B397EE">
            <w:pPr>
              <w:spacing w:before="120" w:after="120" w:line="240" w:lineRule="auto"/>
            </w:pPr>
          </w:p>
        </w:tc>
      </w:tr>
      <w:tr>
        <w:tc>
          <w:tcPr>
            <w:tcW w:type="dxa" w:w="4675"/>
          </w:tcPr>
          <w:p w14:paraId="3DC055B1">
            <w:pPr>
              <w:spacing w:before="120" w:after="120" w:line="240" w:lineRule="auto"/>
            </w:pPr>
            <w:r>
              <w:rPr>
                <w:color w:val="000000"/>
              </w:rPr>
              <w:t xml:space="preserve">The CSTL </w:t>
            </w:r>
            <w:r>
              <w:rPr>
                <w:b/>
                <w:bCs/>
                <w:color w:val="FF0000"/>
              </w:rPr>
              <w:t xml:space="preserve">shall</w:t>
            </w:r>
            <w:r>
              <w:rPr>
                <w:color w:val="FF0000"/>
              </w:rPr>
              <w:t xml:space="preserve"> </w:t>
            </w:r>
            <w:r>
              <w:rPr>
                <w:color w:val="000000"/>
              </w:rPr>
              <w:t xml:space="preserve">examine each modification and confirm that the change does not conflict with the requirements of FIPS 140-3. </w:t>
            </w:r>
          </w:p>
        </w:tc>
        <w:tc>
          <w:tcPr>
            <w:tcW w:type="dxa" w:w="4675"/>
          </w:tcPr>
          <w:p w14:paraId="16A44BEF">
            <w:pPr>
              <w:spacing w:before="120" w:after="120" w:line="240" w:lineRule="auto"/>
            </w:pPr>
          </w:p>
        </w:tc>
      </w:tr>
      <w:tr>
        <w:tc>
          <w:tcPr>
            <w:tcW w:type="dxa" w:w="4675"/>
          </w:tcPr>
          <w:p w14:paraId="5F36CA86">
            <w:pPr>
              <w:spacing w:before="120" w:after="120" w:line="240" w:lineRule="auto"/>
            </w:pPr>
            <w:r>
              <w:rPr>
                <w:color w:val="000000"/>
              </w:rPr>
              <w:t xml:space="preserve">The CSTL </w:t>
            </w:r>
            <w:r>
              <w:rPr>
                <w:b/>
                <w:bCs/>
                <w:color w:val="FF0000"/>
              </w:rPr>
              <w:t xml:space="preserve">shall</w:t>
            </w:r>
            <w:r>
              <w:rPr>
                <w:color w:val="000000"/>
              </w:rPr>
              <w:t xml:space="preserve"> determine that no other modifications have been made. </w:t>
            </w:r>
          </w:p>
        </w:tc>
        <w:tc>
          <w:tcPr>
            <w:tcW w:type="dxa" w:w="4675"/>
          </w:tcPr>
          <w:p w14:paraId="5404564A">
            <w:pPr>
              <w:spacing w:before="120" w:after="120" w:line="240" w:lineRule="auto"/>
            </w:pPr>
          </w:p>
        </w:tc>
      </w:tr>
      <w:tr>
        <w:tc>
          <w:tcPr>
            <w:tcW w:type="dxa" w:w="4675"/>
          </w:tcPr>
          <w:p w14:paraId="50BD2D71">
            <w:pPr>
              <w:spacing w:before="120" w:after="120" w:line="240" w:lineRule="auto"/>
            </w:pPr>
            <w:r>
              <w:t xml:space="preserve">The CSTL </w:t>
            </w:r>
            <w:r>
              <w:rPr>
                <w:b/>
                <w:bCs/>
                <w:color w:val="FF0000"/>
              </w:rPr>
              <w:t xml:space="preserve">shall</w:t>
            </w:r>
            <w:r>
              <w:t xml:space="preserve"> identify the assertions affected by the security-relevant modification and </w:t>
            </w:r>
            <w:r>
              <w:rPr>
                <w:b/>
                <w:bCs/>
                <w:color w:val="FF0000"/>
              </w:rPr>
              <w:t xml:space="preserve">shall</w:t>
            </w:r>
            <w:r>
              <w:t xml:space="preserve"> perform the tests associated with those assertions.</w:t>
            </w:r>
          </w:p>
        </w:tc>
        <w:tc>
          <w:tcPr>
            <w:tcW w:type="dxa" w:w="4675"/>
          </w:tcPr>
          <w:p w14:paraId="048528F0">
            <w:pPr>
              <w:spacing w:before="120" w:after="120" w:line="240" w:lineRule="auto"/>
            </w:pPr>
          </w:p>
        </w:tc>
      </w:tr>
      <w:tr>
        <w:tc>
          <w:tcPr>
            <w:tcW w:type="dxa" w:w="4675"/>
          </w:tcPr>
          <w:p w14:paraId="70F7588C">
            <w:pPr>
              <w:spacing w:before="120" w:after="120" w:line="240" w:lineRule="auto"/>
            </w:pPr>
            <w:r>
              <w:t xml:space="preserve">The vendor is not required to address IGs that have been published since submission of the original module, besides, for CVE changes, following the continual guidance of</w:t>
            </w:r>
            <w:hyperlink r:id="rIdLink1">
              <w:r>
                <w:rPr>
                  <w:rStyle w:val="Hyperlink"/>
                  <w:u w:val="single"/>
                  <w:color w:val="0000FF"/>
                </w:rPr>
                <w:t xml:space="preserve"> IG 11.A</w:t>
              </w:r>
            </w:hyperlink>
            <w:r>
              <w:t xml:space="preserve"> (CVE Management).  </w:t>
            </w:r>
          </w:p>
        </w:tc>
        <w:tc>
          <w:tcPr>
            <w:tcW w:type="dxa" w:w="4675"/>
          </w:tcPr>
          <w:p w14:paraId="5C0CF42F">
            <w:pPr>
              <w:spacing w:before="120" w:after="120" w:line="240" w:lineRule="auto"/>
            </w:pPr>
          </w:p>
        </w:tc>
      </w:tr>
      <w:tr>
        <w:tc>
          <w:tcPr>
            <w:tcW w:type="dxa" w:w="4675"/>
          </w:tcPr>
          <w:p w14:paraId="1BD7EB48">
            <w:pPr>
              <w:spacing w:before="120" w:after="120" w:line="240" w:lineRule="auto"/>
            </w:pPr>
            <w:r>
              <w:t xml:space="preserve">If the fix to address the CVE is in the scope of an algorithm implementation, then this algorithm </w:t>
            </w:r>
            <w:r>
              <w:rPr>
                <w:b/>
                <w:bCs/>
                <w:color w:val="FF0000"/>
              </w:rPr>
              <w:t xml:space="preserve">shall</w:t>
            </w:r>
            <w:r>
              <w:rPr>
                <w:color w:val="FF0000"/>
              </w:rPr>
              <w:t xml:space="preserve"> </w:t>
            </w:r>
            <w:r>
              <w:t xml:space="preserve">be CAVP tested again to obtain a new CAVP certificate with the new module version.</w:t>
            </w:r>
          </w:p>
        </w:tc>
        <w:tc>
          <w:tcPr>
            <w:tcW w:type="dxa" w:w="4675"/>
          </w:tcPr>
          <w:p w14:paraId="4569E6AC">
            <w:pPr>
              <w:spacing w:before="120" w:after="120" w:line="240" w:lineRule="auto"/>
            </w:pPr>
          </w:p>
        </w:tc>
      </w:tr>
      <w:tr>
        <w:tc>
          <w:tcPr>
            <w:tcW w:type="dxa" w:w="4675"/>
          </w:tcPr>
          <w:p w14:paraId="4DD4F94A">
            <w:pPr>
              <w:spacing w:before="120" w:after="120" w:line="240" w:lineRule="auto"/>
              <w:rPr>
                <w:rFonts w:eastAsia="Calibri"/>
              </w:rPr>
            </w:pPr>
            <w:r>
              <w:rPr>
                <w:color w:val="000000"/>
              </w:rPr>
              <w:t xml:space="preserve">In addition to the tests performed against the affected assertions, the CSTL </w:t>
            </w:r>
            <w:r>
              <w:rPr>
                <w:b/>
                <w:bCs/>
                <w:color w:val="FF0000"/>
              </w:rPr>
              <w:t xml:space="preserve">shall</w:t>
            </w:r>
            <w:r>
              <w:rPr>
                <w:color w:val="000000"/>
              </w:rPr>
              <w:t xml:space="preserve"> also perform the </w:t>
            </w:r>
            <w:r>
              <w:rPr>
                <w:lang w:val="en"/>
              </w:rPr>
              <w:t xml:space="preserve">predefined regression tests shown on the </w:t>
            </w:r>
            <w:hyperlink r:id="rIdLink4">
              <w:r>
                <w:rPr>
                  <w:rStyle w:val="Hyperlink"/>
                  <w:u w:val="single"/>
                  <w:color w:val="0000FF"/>
                  <w:lang w:val="en"/>
                </w:rPr>
                <w:t xml:space="preserve">CMVP website</w:t>
              </w:r>
            </w:hyperlink>
            <w:r>
              <w:rPr>
                <w:lang w:val="en"/>
              </w:rPr>
              <w:t xml:space="preserve">, under CVE</w:t>
            </w:r>
            <w:r>
              <w:rPr>
                <w:color w:val="000000"/>
              </w:rPr>
              <w:t xml:space="preserve">.</w:t>
            </w:r>
          </w:p>
        </w:tc>
        <w:tc>
          <w:tcPr>
            <w:tcW w:type="dxa" w:w="4675"/>
          </w:tcPr>
          <w:p w14:paraId="7E6C639F">
            <w:pPr>
              <w:spacing w:before="120" w:after="120" w:line="240" w:lineRule="auto"/>
            </w:pPr>
          </w:p>
        </w:tc>
      </w:tr>
      <w:tr>
        <w:tc>
          <w:tcPr>
            <w:tcW w:type="dxa" w:w="4675"/>
          </w:tcPr>
          <w:p w14:paraId="76455DE1">
            <w:pPr>
              <w:spacing w:before="120" w:after="120" w:line="240" w:lineRule="auto"/>
              <w:rPr>
                <w:color w:val="000000"/>
              </w:rPr>
            </w:pPr>
            <w:r>
              <w:t xml:space="preserve">Because the change to the module is to address a security-relevant CVE or maintenance/bug, </w:t>
            </w:r>
            <w:r>
              <w:rPr>
                <w:b/>
                <w:bCs/>
              </w:rPr>
              <w:t xml:space="preserve">the previous version of the module is no longer considered validated (in essence, Revoked) and </w:t>
            </w:r>
            <w:r>
              <w:rPr>
                <w:b/>
                <w:bCs/>
                <w:color w:val="FF0000"/>
              </w:rPr>
              <w:t xml:space="preserve">shall</w:t>
            </w:r>
            <w:r>
              <w:rPr>
                <w:b/>
                <w:bCs/>
              </w:rPr>
              <w:t xml:space="preserve"> be removed from the certificate</w:t>
            </w:r>
            <w:r>
              <w:t xml:space="preserve">; exceptions may be made if the vendor shows how the CVE or maintenance/bug can be mitigated by policies included in the Security Policy, while still adhering to the FIPS 140-3 standard.</w:t>
            </w:r>
          </w:p>
        </w:tc>
        <w:tc>
          <w:tcPr>
            <w:tcW w:type="dxa" w:w="4675"/>
          </w:tcPr>
          <w:p w14:paraId="5E2F78D9">
            <w:pPr>
              <w:spacing w:before="120" w:after="120" w:line="240" w:lineRule="auto"/>
            </w:pPr>
          </w:p>
        </w:tc>
      </w:tr>
    </w:tbl>
    <w:p w14:paraId="330F4EDB">
      <w:pPr>
        <w:spacing w:before="120" w:after="120" w:line="240" w:lineRule="auto"/>
        <w:rPr>
          <w:rFonts w:ascii="Times New Roman" w:hAnsi="Times New Roman" w:cs="Times New Roman" w:eastAsia="Times New Roman"/>
          <w:sz w:val="20"/>
          <w:szCs w:val="20"/>
        </w:rPr>
      </w:pPr>
    </w:p>
    <w:p w14:paraId="536DB3C7">
      <w:pPr>
        <w:spacing w:after="160" w:line="259" w:lineRule="auto"/>
        <w:rPr>
          <w:rFonts w:ascii="Calibri Light" w:hAnsi="Calibri Light" w:cs="Calibri Light" w:eastAsia="Times New Roman"/>
          <w:color w:val="2F5496"/>
          <w:sz w:val="26"/>
          <w:szCs w:val="26"/>
        </w:rPr>
      </w:pPr>
      <w:r>
        <w:rPr>
          <w:rFonts w:eastAsia="Times New Roman"/>
        </w:rPr>
        <w:br w:type="page"/>
      </w:r>
    </w:p>
    <w:p w14:paraId="4AFD3489">
      <w:pPr>
        <w:pStyle w:val="Heading2"/>
        <w:keepNext/>
        <w:keepLines/>
        <w:numPr>
          <w:ilvl w:val="1"/>
          <w:numId w:val="12"/>
        </w:numPr>
        <w:spacing w:before="120" w:after="120" w:line="240" w:lineRule="auto"/>
        <w:rPr>
          <w:rFonts w:eastAsia="Times New Roman"/>
        </w:rPr>
      </w:pPr>
      <w:bookmarkStart w:id="100013" w:name="_Toc226628119"/>
      <w:bookmarkEnd w:id="100013"/>
      <w:r>
        <w:rPr>
          <w:rFonts w:eastAsia="Times New Roman"/>
        </w:rPr>
        <w:t xml:space="preserve">TRNS (MM 7.1.12)</w:t>
      </w:r>
    </w:p>
    <w:p w14:paraId="320FEE16">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A CSTL has been contracted to perform a revalidation for a module on which the vendor has made FIPS 140-3 security relevant changes solely in response to a published CMVP algorithm transition that will cause some previously validated modules to be placed on the Historical list (see </w:t>
      </w:r>
      <w:hyperlink r:id="rIdLink10">
        <w:r>
          <w:rPr>
            <w:rStyle w:val="Hyperlink"/>
            <w:rFonts w:ascii="Times New Roman" w:hAnsi="Times New Roman" w:cs="Times New Roman" w:eastAsia="Times New Roman"/>
            <w:u w:val="single"/>
            <w:color w:val="0000FF"/>
            <w:sz w:val="20"/>
            <w:szCs w:val="20"/>
          </w:rPr>
          <w:t xml:space="preserve">Programmatic Transitions</w:t>
        </w:r>
      </w:hyperlink>
      <w:r>
        <w:rPr>
          <w:rFonts w:ascii="Times New Roman" w:hAnsi="Times New Roman" w:cs="Times New Roman" w:eastAsia="Times New Roman"/>
          <w:sz w:val="20"/>
          <w:szCs w:val="20"/>
        </w:rPr>
        <w:t xml:space="preserve"> webpage for a list of such algorithms).  For example, the 2024 non-SP 800-56Brev2 RSA-based key encapsulation/un-encapsulation transition explained in FIPS 140-3 </w:t>
      </w:r>
      <w:hyperlink r:id="rIdLink1">
        <w:r>
          <w:rPr>
            <w:rStyle w:val="Hyperlink"/>
            <w:rFonts w:ascii="Times New Roman" w:hAnsi="Times New Roman" w:cs="Times New Roman" w:eastAsia="Times New Roman"/>
            <w:u w:val="single"/>
            <w:color w:val="0000FF"/>
            <w:sz w:val="20"/>
            <w:szCs w:val="20"/>
          </w:rPr>
          <w:t xml:space="preserve">IG D.G</w:t>
        </w:r>
      </w:hyperlink>
      <w:r>
        <w:rPr>
          <w:rFonts w:ascii="Times New Roman" w:hAnsi="Times New Roman" w:cs="Times New Roman" w:eastAsia="Times New Roman"/>
          <w:sz w:val="20"/>
          <w:szCs w:val="20"/>
        </w:rPr>
        <w:t xml:space="preserve">. If the algorithm transition will NOT cause the module to move to the historical list (i.e., considered a “soft” transition), changes cannot be made as part of this submission.</w:t>
      </w:r>
    </w:p>
    <w:p w14:paraId="282D9AEF">
      <w:pPr>
        <w:spacing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Note: a single Scenario TRNS submission may combine multiple algorithm transitions.  However, this may increase review time.</w:t>
      </w:r>
    </w:p>
    <w:p w14:paraId="61FD262F">
      <w:pPr>
        <w:spacing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The purpose of the TRNS revalidation is to provide the vendor a means to quickly address algorithm transition requirements, test and revalidate a module in order to meet a CMVP transition, while at the same time providing assurance that the module still meets the FIPS 140-3 standard.</w:t>
      </w:r>
    </w:p>
    <w:p w14:paraId="6FE3B0B0">
      <w:pPr>
        <w:spacing w:before="120" w:after="120" w:line="240" w:lineRule="auto"/>
        <w:rPr>
          <w:rFonts w:ascii="Times New Roman" w:hAnsi="Times New Roman" w:cs="Times New Roman"/>
          <w:sz w:val="20"/>
          <w:szCs w:val="20"/>
        </w:rPr>
      </w:pPr>
      <w:r>
        <w:rPr>
          <w:rFonts w:ascii="Times New Roman" w:hAnsi="Times New Roman" w:cs="Times New Roman"/>
          <w:sz w:val="20"/>
          <w:szCs w:val="20"/>
        </w:rPr>
        <w:t xml:space="preserve">Module code is </w:t>
      </w:r>
      <w:r>
        <w:rPr>
          <w:rFonts w:ascii="Times New Roman" w:hAnsi="Times New Roman" w:cs="Times New Roman"/>
          <w:i/>
          <w:iCs/>
          <w:sz w:val="20"/>
          <w:szCs w:val="20"/>
        </w:rPr>
        <w:t xml:space="preserve">changed</w:t>
      </w:r>
      <w:r>
        <w:rPr>
          <w:rFonts w:ascii="Times New Roman" w:hAnsi="Times New Roman" w:cs="Times New Roman"/>
          <w:sz w:val="20"/>
          <w:szCs w:val="20"/>
        </w:rPr>
        <w:t xml:space="pre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6ED5412F">
            <w:pPr>
              <w:spacing w:before="120" w:after="120" w:line="240" w:lineRule="auto"/>
              <w:rPr>
                <w:b/>
                <w:bCs/>
              </w:rPr>
            </w:pPr>
            <w:r>
              <w:rPr>
                <w:b/>
                <w:bCs/>
              </w:rPr>
              <w:t xml:space="preserve">Requirement</w:t>
            </w:r>
          </w:p>
        </w:tc>
        <w:tc>
          <w:tcPr>
            <w:tcW w:type="dxa" w:w="4675"/>
            <w:shd w:val="clear" w:color="auto" w:fill="E7E6E6"/>
          </w:tcPr>
          <w:p w14:paraId="0632AAFA">
            <w:pPr>
              <w:spacing w:before="120" w:after="120" w:line="240" w:lineRule="auto"/>
              <w:rPr>
                <w:b/>
                <w:bCs/>
              </w:rPr>
            </w:pPr>
            <w:r>
              <w:rPr>
                <w:b/>
                <w:bCs/>
              </w:rPr>
              <w:t xml:space="preserve">CSTL Compliance evidence / justification</w:t>
            </w:r>
          </w:p>
        </w:tc>
      </w:tr>
      <w:tr>
        <w:tc>
          <w:tcPr>
            <w:tcW w:type="dxa" w:w="4675"/>
          </w:tcPr>
          <w:p w14:paraId="0BB9DB8F">
            <w:pPr>
              <w:spacing w:before="120" w:after="120" w:line="240" w:lineRule="auto"/>
            </w:pPr>
            <w:r>
              <w:t xml:space="preserve">The CSTL </w:t>
            </w:r>
            <w:r>
              <w:rPr>
                <w:b/>
                <w:bCs/>
                <w:color w:val="FF0000"/>
              </w:rPr>
              <w:t xml:space="preserve">shall</w:t>
            </w:r>
            <w:r>
              <w:t xml:space="preserve"> determine that security relevant changes to the module are only to address a specific CMVP </w:t>
            </w:r>
            <w:r>
              <w:rPr>
                <w:color w:val="000000"/>
              </w:rPr>
              <w:t xml:space="preserve">transition</w:t>
            </w:r>
            <w:r>
              <w:t xml:space="preserve">. </w:t>
            </w:r>
            <w:r>
              <w:rPr>
                <w:color w:val="000000"/>
              </w:rPr>
              <w:t xml:space="preserve">Other changes are permitted if only directly impacted by the TRNS change (e.g., addressing the TRNS may require changing the version number, and that requires the show version service be updated).</w:t>
            </w:r>
          </w:p>
        </w:tc>
        <w:tc>
          <w:tcPr>
            <w:tcW w:type="dxa" w:w="4675"/>
          </w:tcPr>
          <w:p w14:paraId="7428AE2D">
            <w:pPr>
              <w:spacing w:before="120" w:after="120" w:line="240" w:lineRule="auto"/>
            </w:pPr>
          </w:p>
        </w:tc>
      </w:tr>
      <w:tr>
        <w:tc>
          <w:tcPr>
            <w:tcW w:type="dxa" w:w="4675"/>
          </w:tcPr>
          <w:p w14:paraId="6A1A22BC">
            <w:pPr>
              <w:spacing w:before="120" w:after="120" w:line="240" w:lineRule="auto"/>
            </w:pPr>
            <w:r>
              <w:t xml:space="preserve">The CSTL </w:t>
            </w:r>
            <w:r>
              <w:rPr>
                <w:b/>
                <w:bCs/>
                <w:color w:val="FF0000"/>
              </w:rPr>
              <w:t xml:space="preserve">shall</w:t>
            </w:r>
            <w:r>
              <w:t xml:space="preserve"> examine each modification and confirm that the change does not conflict with the requirements of FIPS 140-3.</w:t>
            </w:r>
          </w:p>
        </w:tc>
        <w:tc>
          <w:tcPr>
            <w:tcW w:type="dxa" w:w="4675"/>
          </w:tcPr>
          <w:p w14:paraId="07B36FA6">
            <w:pPr>
              <w:spacing w:before="120" w:after="120" w:line="240" w:lineRule="auto"/>
            </w:pPr>
          </w:p>
        </w:tc>
      </w:tr>
      <w:tr>
        <w:tc>
          <w:tcPr>
            <w:tcW w:type="dxa" w:w="4675"/>
          </w:tcPr>
          <w:p w14:paraId="63B17EB8">
            <w:pPr>
              <w:spacing w:before="120" w:after="120" w:line="240" w:lineRule="auto"/>
            </w:pPr>
            <w:r>
              <w:t xml:space="preserve">The CSTL </w:t>
            </w:r>
            <w:r>
              <w:rPr>
                <w:b/>
                <w:bCs/>
                <w:color w:val="FF0000"/>
              </w:rPr>
              <w:t xml:space="preserve">shall</w:t>
            </w:r>
            <w:r>
              <w:t xml:space="preserve"> determine that no other modifications have been made.  The vendor is not required to address IGs or guidance that have been published since submission of the original module, unless directly applicable to the transitioning algorithm (e.g., CAVP testing or self-test requirements).</w:t>
            </w:r>
          </w:p>
        </w:tc>
        <w:tc>
          <w:tcPr>
            <w:tcW w:type="dxa" w:w="4675"/>
          </w:tcPr>
          <w:p w14:paraId="6487AC67">
            <w:pPr>
              <w:spacing w:before="120" w:after="120" w:line="240" w:lineRule="auto"/>
            </w:pPr>
          </w:p>
          <w:p w14:paraId="2B574E42">
            <w:pPr>
              <w:spacing w:after="0" w:line="240" w:lineRule="auto"/>
            </w:pPr>
          </w:p>
        </w:tc>
      </w:tr>
      <w:tr>
        <w:tc>
          <w:tcPr>
            <w:tcW w:type="dxa" w:w="4675"/>
          </w:tcPr>
          <w:p w14:paraId="7E7FC309">
            <w:pPr>
              <w:spacing w:before="120" w:after="120" w:line="240" w:lineRule="auto"/>
            </w:pPr>
            <w:r>
              <w:t xml:space="preserve">The CSTL </w:t>
            </w:r>
            <w:r>
              <w:rPr>
                <w:b/>
                <w:bCs/>
                <w:color w:val="FF0000"/>
              </w:rPr>
              <w:t xml:space="preserve">shall</w:t>
            </w:r>
            <w:r>
              <w:t xml:space="preserve"> identify the assertions affected by the security-relevant modification and </w:t>
            </w:r>
            <w:r>
              <w:rPr>
                <w:b/>
                <w:bCs/>
                <w:color w:val="FF0000"/>
              </w:rPr>
              <w:t xml:space="preserve">shall</w:t>
            </w:r>
            <w:r>
              <w:t xml:space="preserve"> perform the tests associated with those assertions.</w:t>
            </w:r>
          </w:p>
        </w:tc>
        <w:tc>
          <w:tcPr>
            <w:tcW w:type="dxa" w:w="4675"/>
          </w:tcPr>
          <w:p w14:paraId="066A3BA4">
            <w:pPr>
              <w:spacing w:before="120" w:after="120" w:line="240" w:lineRule="auto"/>
            </w:pPr>
          </w:p>
        </w:tc>
      </w:tr>
      <w:tr>
        <w:tc>
          <w:tcPr>
            <w:tcW w:type="dxa" w:w="4675"/>
          </w:tcPr>
          <w:p w14:paraId="7B409295">
            <w:pPr>
              <w:spacing w:before="120" w:after="120" w:line="240" w:lineRule="auto"/>
            </w:pPr>
            <w:r>
              <w:t xml:space="preserve">If the means to meet the transition are in the scope of an algorithm implementation, and the path chosen to meet the requirements necessitates testing, then this algorithm </w:t>
            </w:r>
            <w:r>
              <w:rPr>
                <w:b/>
                <w:bCs/>
                <w:color w:val="FF0000"/>
              </w:rPr>
              <w:t xml:space="preserve">shall</w:t>
            </w:r>
            <w:r>
              <w:t xml:space="preserve"> be CAVP tested to obtain a new CAVP certificate with the new module version.</w:t>
            </w:r>
          </w:p>
        </w:tc>
        <w:tc>
          <w:tcPr>
            <w:tcW w:type="dxa" w:w="4675"/>
          </w:tcPr>
          <w:p w14:paraId="7744642C">
            <w:pPr>
              <w:spacing w:before="120" w:after="120" w:line="240" w:lineRule="auto"/>
            </w:pPr>
          </w:p>
        </w:tc>
      </w:tr>
      <w:tr>
        <w:tc>
          <w:tcPr>
            <w:tcW w:type="dxa" w:w="4675"/>
          </w:tcPr>
          <w:p w14:paraId="18098208">
            <w:pPr>
              <w:spacing w:before="120" w:after="120" w:line="240" w:lineRule="auto"/>
            </w:pPr>
            <w:r>
              <w:t xml:space="preserve">In addition to the tests performed against the affected assertions, the CSTL </w:t>
            </w:r>
            <w:r>
              <w:rPr>
                <w:b/>
                <w:bCs/>
                <w:color w:val="FF0000"/>
              </w:rPr>
              <w:t xml:space="preserve">shall</w:t>
            </w:r>
            <w:r>
              <w:t xml:space="preserve"> also perform the </w:t>
            </w:r>
            <w:r>
              <w:rPr>
                <w:lang w:val="en"/>
              </w:rPr>
              <w:t xml:space="preserve">predefined regression tests shown on the </w:t>
            </w:r>
            <w:hyperlink r:id="rIdLink4">
              <w:r>
                <w:rPr>
                  <w:rStyle w:val="Hyperlink"/>
                  <w:u w:val="single"/>
                  <w:color w:val="0000FF"/>
                  <w:lang w:val="en"/>
                </w:rPr>
                <w:t xml:space="preserve">CMVP website</w:t>
              </w:r>
            </w:hyperlink>
            <w:r>
              <w:rPr>
                <w:lang w:val="en"/>
              </w:rPr>
              <w:t xml:space="preserve"> under TRNS</w:t>
            </w:r>
            <w:r>
              <w:rPr>
                <w:color w:val="000000"/>
              </w:rPr>
              <w:t xml:space="preserve"> </w:t>
            </w:r>
            <w:r>
              <w:t xml:space="preserve">on all versions listed on the module’s certificate and on at least one of the listed OEs for hybrid or software/firmware modules (if the module binary image is identical across all OEs; if not, testing on at least every binary image is required).</w:t>
            </w:r>
          </w:p>
        </w:tc>
        <w:tc>
          <w:tcPr>
            <w:tcW w:type="dxa" w:w="4675"/>
          </w:tcPr>
          <w:p w14:paraId="3FCE34D6">
            <w:pPr>
              <w:spacing w:before="120" w:after="120" w:line="240" w:lineRule="auto"/>
            </w:pPr>
          </w:p>
        </w:tc>
      </w:tr>
      <w:tr>
        <w:tc>
          <w:tcPr>
            <w:tcW w:type="dxa" w:w="4675"/>
          </w:tcPr>
          <w:p w14:paraId="48C93FF8">
            <w:pPr>
              <w:spacing w:before="120" w:after="120" w:line="240" w:lineRule="auto"/>
              <w:rPr>
                <w:rFonts w:eastAsia="Calibri"/>
              </w:rPr>
            </w:pPr>
            <w:r>
              <w:t xml:space="preserve">The CSTL </w:t>
            </w:r>
            <w:r>
              <w:rPr>
                <w:b/>
                <w:bCs/>
                <w:color w:val="FF0000"/>
              </w:rPr>
              <w:t xml:space="preserve">shall</w:t>
            </w:r>
            <w:r>
              <w:rPr>
                <w:color w:val="FF0000"/>
              </w:rPr>
              <w:t xml:space="preserve"> </w:t>
            </w:r>
            <w:r>
              <w:t xml:space="preserve">provide justification on why regression testing is not necessary for the untested OEs.  With proper justification, these may remain on the module’s certificate.  </w:t>
            </w:r>
          </w:p>
        </w:tc>
        <w:tc>
          <w:tcPr>
            <w:tcW w:type="dxa" w:w="4675"/>
          </w:tcPr>
          <w:p w14:paraId="6BA7F4DE">
            <w:pPr>
              <w:spacing w:before="120" w:after="120" w:line="240" w:lineRule="auto"/>
            </w:pPr>
          </w:p>
        </w:tc>
      </w:tr>
      <w:tr>
        <w:tc>
          <w:tcPr>
            <w:tcW w:type="dxa" w:w="4675"/>
          </w:tcPr>
          <w:p w14:paraId="233DDFF3">
            <w:pPr>
              <w:spacing w:before="120" w:after="120" w:line="240" w:lineRule="auto"/>
            </w:pPr>
            <w:r>
              <w:t xml:space="preserve">If regression testing is not performed on some versions, then those </w:t>
            </w:r>
            <w:r>
              <w:rPr>
                <w:b/>
                <w:bCs/>
                <w:color w:val="FF0000"/>
              </w:rPr>
              <w:t xml:space="preserve">shall</w:t>
            </w:r>
            <w:r>
              <w:rPr>
                <w:color w:val="FF0000"/>
              </w:rPr>
              <w:t xml:space="preserve"> </w:t>
            </w:r>
            <w:r>
              <w:t xml:space="preserve">be removed from the module’s certificate. OEs without proper justification or regression testing </w:t>
            </w:r>
            <w:r>
              <w:rPr>
                <w:b/>
                <w:bCs/>
                <w:color w:val="FF0000"/>
              </w:rPr>
              <w:t xml:space="preserve">shall</w:t>
            </w:r>
            <w:r>
              <w:rPr>
                <w:color w:val="FF0000"/>
              </w:rPr>
              <w:t xml:space="preserve"> </w:t>
            </w:r>
            <w:r>
              <w:t xml:space="preserve">be removed from the module’s certificate.</w:t>
            </w:r>
          </w:p>
        </w:tc>
        <w:tc>
          <w:tcPr>
            <w:tcW w:type="dxa" w:w="4675"/>
          </w:tcPr>
          <w:p w14:paraId="17C527E0">
            <w:pPr>
              <w:spacing w:before="120" w:after="120" w:line="240" w:lineRule="auto"/>
            </w:pPr>
          </w:p>
        </w:tc>
      </w:tr>
    </w:tbl>
    <w:p w14:paraId="29F58507">
      <w:pPr>
        <w:spacing w:before="120" w:after="120" w:line="240" w:lineRule="auto"/>
        <w:rPr>
          <w:rFonts w:ascii="Times New Roman" w:hAnsi="Times New Roman" w:cs="Times New Roman" w:eastAsia="Times New Roman"/>
          <w:sz w:val="20"/>
          <w:szCs w:val="20"/>
        </w:rPr>
      </w:pPr>
    </w:p>
    <w:p w14:paraId="493AADD2">
      <w:pPr>
        <w:spacing w:before="120" w:after="120" w:line="240" w:lineRule="auto"/>
        <w:rPr>
          <w:rFonts w:ascii="Times New Roman" w:hAnsi="Times New Roman" w:cs="Times New Roman"/>
          <w:sz w:val="20"/>
          <w:szCs w:val="20"/>
        </w:rPr>
      </w:pPr>
      <w:r>
        <w:rPr>
          <w:rFonts w:ascii="Times New Roman" w:hAnsi="Times New Roman" w:cs="Times New Roman"/>
          <w:sz w:val="20"/>
          <w:szCs w:val="20"/>
        </w:rPr>
        <w:t xml:space="preserve">If the module code is </w:t>
      </w:r>
      <w:r>
        <w:rPr>
          <w:rFonts w:ascii="Times New Roman" w:hAnsi="Times New Roman" w:cs="Times New Roman"/>
          <w:i/>
          <w:iCs/>
          <w:sz w:val="20"/>
          <w:szCs w:val="20"/>
        </w:rPr>
        <w:t xml:space="preserve">unchanged</w:t>
      </w:r>
      <w:r>
        <w:rPr>
          <w:rFonts w:ascii="Times New Roman" w:hAnsi="Times New Roman" w:cs="Times New Roman"/>
          <w:sz w:val="20"/>
          <w:szCs w:val="20"/>
        </w:rPr>
        <w:t xml:space="preserve"> to address an algorithm transition and the change is purely to documentation, one or more of the following options apply:</w:t>
      </w:r>
    </w:p>
    <w:tbl>
      <w:tblPr>
        <w:tblW w:w="0" w:type="auto"/>
        <w:tblBorders>
          <w:top w:val="single" w:sz="18" w:space="0" w:color="7030A0"/>
          <w:left w:val="single" w:sz="18" w:space="0" w:color="7030A0"/>
          <w:bottom w:val="single" w:sz="18" w:space="0" w:color="7030A0"/>
          <w:right w:val="single" w:sz="18" w:space="0" w:color="7030A0"/>
          <w:insideH w:val="single" w:sz="18" w:space="0" w:color="7030A0"/>
          <w:insideV w:val="single" w:sz="18" w:space="0" w:color="7030A0"/>
        </w:tblBorders>
        <w:tblCellMar>
          <w:top w:w="0" w:type="dxa"/>
          <w:left w:w="108" w:type="dxa"/>
          <w:bottom w:w="0" w:type="dxa"/>
          <w:right w:w="108" w:type="dxa"/>
        </w:tblCellMar>
        <w:tblLook w:val="04A0"/>
      </w:tblPr>
      <w:tblGrid>
        <w:gridCol w:w="4675"/>
        <w:gridCol w:w="4675"/>
      </w:tblGrid>
      <w:tr>
        <w:tc>
          <w:tcPr>
            <w:tcW w:type="dxa" w:w="4675"/>
            <w:tcBorders>
              <w:bottom w:color="7030A0" w:space="0" w:sz="18" w:val="single"/>
            </w:tcBorders>
            <w:shd w:val="clear" w:color="auto" w:fill="E7E6E6"/>
          </w:tcPr>
          <w:p w14:paraId="6B2B1F10">
            <w:pPr>
              <w:spacing w:before="120" w:after="120" w:line="240" w:lineRule="auto"/>
              <w:rPr>
                <w:b/>
                <w:bCs/>
              </w:rPr>
            </w:pPr>
            <w:r>
              <w:rPr>
                <w:b/>
                <w:bCs/>
              </w:rPr>
              <w:t xml:space="preserve">Requirement</w:t>
            </w:r>
          </w:p>
        </w:tc>
        <w:tc>
          <w:tcPr>
            <w:tcW w:type="dxa" w:w="4675"/>
            <w:tcBorders>
              <w:bottom w:color="7030A0" w:space="0" w:sz="18" w:val="single"/>
            </w:tcBorders>
            <w:shd w:val="clear" w:color="auto" w:fill="E7E6E6"/>
          </w:tcPr>
          <w:p w14:paraId="7053977B">
            <w:pPr>
              <w:spacing w:before="120" w:after="120" w:line="240" w:lineRule="auto"/>
              <w:rPr>
                <w:b/>
                <w:bCs/>
              </w:rPr>
            </w:pPr>
            <w:r>
              <w:rPr>
                <w:b/>
                <w:bCs/>
              </w:rPr>
              <w:t xml:space="preserve">CSTL Compliance evidence / justification</w:t>
            </w:r>
          </w:p>
        </w:tc>
      </w:tr>
      <w:tr>
        <w:tc>
          <w:tcPr>
            <w:tcW w:type="dxa" w:w="9350"/>
            <w:gridSpan w:val="2"/>
            <w:tcBorders>
              <w:top w:color="7030A0" w:space="0" w:sz="18" w:val="single"/>
              <w:left w:color="7030A0" w:space="0" w:sz="18" w:val="single"/>
              <w:bottom w:color="7030A0" w:space="0" w:sz="18" w:val="single"/>
              <w:right w:color="7030A0" w:space="0" w:sz="18" w:val="single"/>
            </w:tcBorders>
          </w:tcPr>
          <w:p w14:paraId="4CAEA2FE">
            <w:pPr>
              <w:spacing w:before="120" w:after="120" w:line="240" w:lineRule="auto"/>
              <w:jc w:val="center"/>
              <w:rPr>
                <w:b/>
                <w:bCs/>
              </w:rPr>
            </w:pPr>
            <w:r>
              <w:rPr>
                <w:b/>
                <w:bCs/>
              </w:rPr>
              <w:t xml:space="preserve">Option 1</w:t>
            </w:r>
          </w:p>
        </w:tc>
      </w:tr>
      <w:tr>
        <w:tc>
          <w:tcPr>
            <w:tcW w:type="dxa" w:w="4675"/>
            <w:tcBorders>
              <w:top w:color="7030A0" w:space="0" w:sz="18" w:val="single"/>
              <w:left w:color="7030A0" w:space="0" w:sz="18" w:val="single"/>
              <w:bottom w:color="7030A0" w:space="0" w:sz="18" w:val="single"/>
              <w:right w:color="7030A0" w:space="0" w:sz="18" w:val="single"/>
            </w:tcBorders>
          </w:tcPr>
          <w:p w14:paraId="0D5597D5">
            <w:pPr>
              <w:spacing w:before="120" w:after="120" w:line="240" w:lineRule="auto"/>
            </w:pPr>
            <w:r>
              <w:t xml:space="preserve">Services or functionality were </w:t>
            </w:r>
            <w:r>
              <w:rPr>
                <w:u w:val="single"/>
              </w:rPr>
              <w:t xml:space="preserve">not</w:t>
            </w:r>
            <w:r>
              <w:t xml:space="preserve"> moved to or from the approved mode to remain compliant (e.g., services remain in the approved mode but are updated to demonstrate compliance to the applicable algorithm standard rather than moved into non-approved mode), then the vendor may pursue a Scenario ALG revalidation.</w:t>
            </w:r>
          </w:p>
        </w:tc>
        <w:tc>
          <w:tcPr>
            <w:tcW w:type="dxa" w:w="4675"/>
            <w:tcBorders>
              <w:top w:color="7030A0" w:space="0" w:sz="18" w:val="single"/>
              <w:left w:color="7030A0" w:space="0" w:sz="18" w:val="single"/>
              <w:bottom w:color="7030A0" w:space="0" w:sz="18" w:val="single"/>
              <w:right w:color="7030A0" w:space="0" w:sz="18" w:val="single"/>
            </w:tcBorders>
          </w:tcPr>
          <w:p w14:paraId="27AE7570">
            <w:pPr>
              <w:spacing w:before="120" w:after="120" w:line="240" w:lineRule="auto"/>
            </w:pPr>
            <w:r>
              <w:t xml:space="preserve">[Submitted as a Scenario ALG]</w:t>
            </w:r>
          </w:p>
        </w:tc>
      </w:tr>
      <w:tr>
        <w:trPr>
          <w:trHeight w:val="29" w:hRule="exact"/>
        </w:trPr>
        <w:tc>
          <w:tcPr>
            <w:tcW w:type="dxa" w:w="4675"/>
            <w:tcBorders>
              <w:top w:color="7030A0" w:space="0" w:sz="18" w:val="single"/>
              <w:bottom w:color="538135" w:space="0" w:sz="18" w:themeColor="accent6" w:themeShade="BF" w:val="single"/>
            </w:tcBorders>
          </w:tcPr>
          <w:p w14:paraId="1E1187B4">
            <w:pPr>
              <w:spacing w:before="120" w:after="120" w:line="240" w:lineRule="auto"/>
            </w:pPr>
          </w:p>
        </w:tc>
        <w:tc>
          <w:tcPr>
            <w:tcW w:type="dxa" w:w="4675"/>
            <w:tcBorders>
              <w:top w:color="7030A0" w:space="0" w:sz="18" w:val="single"/>
              <w:bottom w:color="538135" w:space="0" w:sz="18" w:themeColor="accent6" w:themeShade="BF" w:val="single"/>
            </w:tcBorders>
          </w:tcPr>
          <w:p w14:paraId="218FC85A">
            <w:pPr>
              <w:spacing w:before="120" w:after="120" w:line="240" w:lineRule="auto"/>
            </w:pPr>
          </w:p>
        </w:tc>
      </w:tr>
      <w:tr>
        <w:tc>
          <w:tcPr>
            <w:tcW w:type="dxa" w:w="9350"/>
            <w:gridSpan w:val="2"/>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0A2F5921">
            <w:pPr>
              <w:spacing w:before="120" w:after="120" w:line="240" w:lineRule="auto"/>
              <w:jc w:val="center"/>
              <w:rPr>
                <w:b/>
                <w:bCs/>
              </w:rPr>
            </w:pPr>
            <w:r>
              <w:rPr>
                <w:b/>
                <w:bCs/>
              </w:rPr>
              <w:t xml:space="preserve">Option 2:</w:t>
            </w:r>
          </w:p>
          <w:p w14:paraId="415435AA">
            <w:pPr>
              <w:spacing w:before="120" w:after="120" w:line="240" w:lineRule="auto"/>
              <w:jc w:val="center"/>
            </w:pPr>
            <w:r>
              <w:t xml:space="preserve">The vendor moves all non-compliant functionality into the non-approved mode of operation from the approved mode of operation.</w:t>
            </w:r>
          </w:p>
          <w:p w14:paraId="7B7C5CAA">
            <w:pPr>
              <w:spacing w:before="120" w:after="120" w:line="240" w:lineRule="auto"/>
              <w:rPr>
                <w:b/>
                <w:bCs/>
              </w:rPr>
            </w:pPr>
          </w:p>
          <w:p w14:paraId="73A2FD5D">
            <w:pPr>
              <w:spacing w:before="120" w:after="120" w:line="240" w:lineRule="auto"/>
              <w:jc w:val="center"/>
              <w:rPr>
                <w:b/>
                <w:bCs/>
              </w:rPr>
            </w:pPr>
            <w:r>
              <w:rPr>
                <w:b/>
                <w:bCs/>
              </w:rPr>
              <w:t xml:space="preserve">Option 3: </w:t>
            </w:r>
          </w:p>
          <w:p w14:paraId="7FA430EB">
            <w:pPr>
              <w:spacing w:before="120" w:after="120" w:line="240" w:lineRule="auto"/>
              <w:jc w:val="center"/>
            </w:pPr>
            <w:r>
              <w:t xml:space="preserve">The vendor recategorizes the non-compliant functionality as claiming no security per </w:t>
            </w:r>
            <w:hyperlink w:anchor="_1.23_Definition_and">
              <w:r>
                <w:rPr>
                  <w:rStyle w:val="Hyperlink"/>
                  <w:u w:val="single"/>
                  <w:color w:val="0000FF"/>
                </w:rPr>
                <w:t xml:space="preserve">IG 2.4.A</w:t>
              </w:r>
            </w:hyperlink>
            <w:r>
              <w:t xml:space="preserve">, and this functionality remains in the approved mode of operation.</w:t>
            </w: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0C1A5D2D">
            <w:pPr>
              <w:spacing w:before="120" w:after="120" w:line="240" w:lineRule="auto"/>
            </w:pPr>
            <w:r>
              <w:t xml:space="preserve">The CSTL </w:t>
            </w:r>
            <w:r>
              <w:rPr>
                <w:b/>
                <w:bCs/>
                <w:color w:val="FF0000"/>
              </w:rPr>
              <w:t xml:space="preserve">shall</w:t>
            </w:r>
            <w:r>
              <w:rPr>
                <w:color w:val="FF0000"/>
              </w:rPr>
              <w:t xml:space="preserve"> </w:t>
            </w:r>
            <w:r>
              <w:t xml:space="preserve">state that the change to address the transition is purely documentational and which option applies.</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6A753FC4">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405ABD2B">
            <w:pPr>
              <w:spacing w:before="120" w:after="120" w:line="240" w:lineRule="auto"/>
            </w:pPr>
            <w:r>
              <w:t xml:space="preserve">The CSTL </w:t>
            </w:r>
            <w:r>
              <w:rPr>
                <w:b/>
                <w:bCs/>
                <w:color w:val="FF0000"/>
              </w:rPr>
              <w:t xml:space="preserve">shall</w:t>
            </w:r>
            <w:r>
              <w:t xml:space="preserve"> determine that security relevant changes to the module are only to address a specific CMVP </w:t>
            </w:r>
            <w:r>
              <w:rPr>
                <w:color w:val="000000"/>
              </w:rPr>
              <w:t xml:space="preserve">transition</w:t>
            </w:r>
            <w:r>
              <w:t xml:space="preserve">.</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7417E373">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545B2480">
            <w:pPr>
              <w:spacing w:before="120" w:after="120" w:line="240" w:lineRule="auto"/>
            </w:pPr>
            <w:r>
              <w:t xml:space="preserve">The CSTL </w:t>
            </w:r>
            <w:r>
              <w:rPr>
                <w:b/>
                <w:bCs/>
                <w:color w:val="FF0000"/>
              </w:rPr>
              <w:t xml:space="preserve">shall</w:t>
            </w:r>
            <w:r>
              <w:t xml:space="preserve"> examine each modification and confirm that the change does not conflict with the requirements of FIPS 140-3.</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4794203C">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68E1D053">
            <w:pPr>
              <w:spacing w:before="120" w:after="120" w:line="240" w:lineRule="auto"/>
            </w:pPr>
            <w:r>
              <w:t xml:space="preserve">The CSTL </w:t>
            </w:r>
            <w:r>
              <w:rPr>
                <w:b/>
                <w:bCs/>
                <w:color w:val="FF0000"/>
              </w:rPr>
              <w:t xml:space="preserve">shall</w:t>
            </w:r>
            <w:r>
              <w:t xml:space="preserve"> determine that no other modifications have been made.  The vendor is not required to address IGs or guidance that have been published since submission of the original module, unless directly applicable to the transitioning algorithm (e.g., CAVP testing or self-test requirements).</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1E803AB7">
            <w:pPr>
              <w:spacing w:before="120" w:after="120" w:line="240" w:lineRule="auto"/>
            </w:pPr>
          </w:p>
          <w:p w14:paraId="53149C33">
            <w:pPr>
              <w:spacing w:before="120" w:after="120" w:line="240" w:lineRule="auto"/>
            </w:pPr>
          </w:p>
          <w:p w14:paraId="519B5554">
            <w:pPr>
              <w:spacing w:before="120" w:after="120" w:line="240" w:lineRule="auto"/>
            </w:pPr>
          </w:p>
          <w:p w14:paraId="68D69D63">
            <w:pPr>
              <w:spacing w:before="120" w:after="120" w:line="240" w:lineRule="auto"/>
            </w:pPr>
          </w:p>
          <w:p w14:paraId="3A01E71B">
            <w:pPr>
              <w:tabs>
                <w:tab w:val="left" w:pos="2880"/>
              </w:tabs>
              <w:spacing w:before="120" w:after="120" w:line="240" w:lineRule="auto"/>
            </w:pPr>
            <w:r>
              <w:tab/>
            </w: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3BDD9E2C">
            <w:pPr>
              <w:spacing w:before="120" w:after="120" w:line="240" w:lineRule="auto"/>
            </w:pPr>
            <w:r>
              <w:t xml:space="preserve">The CSTL </w:t>
            </w:r>
            <w:r>
              <w:rPr>
                <w:b/>
                <w:bCs/>
                <w:color w:val="FF0000"/>
              </w:rPr>
              <w:t xml:space="preserve">shall</w:t>
            </w:r>
            <w:r>
              <w:rPr>
                <w:color w:val="FF0000"/>
              </w:rPr>
              <w:t xml:space="preserve"> </w:t>
            </w:r>
            <w:r>
              <w:t xml:space="preserve">identify the assertions affected by the security-relevant documentation modification and </w:t>
            </w:r>
            <w:r>
              <w:rPr>
                <w:b/>
                <w:bCs/>
                <w:color w:val="FF0000"/>
              </w:rPr>
              <w:t xml:space="preserve">shall</w:t>
            </w:r>
            <w:r>
              <w:rPr>
                <w:color w:val="FF0000"/>
              </w:rPr>
              <w:t xml:space="preserve"> </w:t>
            </w:r>
            <w:r>
              <w:t xml:space="preserve">perform the tests associated with those assertions.</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4009C10C">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13B509C9">
            <w:pPr>
              <w:spacing w:before="120" w:after="120" w:line="240" w:lineRule="auto"/>
            </w:pPr>
            <w:r>
              <w:t xml:space="preserve">The CSTL </w:t>
            </w:r>
            <w:r>
              <w:rPr>
                <w:b/>
                <w:bCs/>
                <w:color w:val="FF0000"/>
              </w:rPr>
              <w:t xml:space="preserve">shall</w:t>
            </w:r>
            <w:r>
              <w:t xml:space="preserve"> demonstrate how the module still meets </w:t>
            </w:r>
            <w:hyperlink r:id="rIdLink1">
              <w:r>
                <w:rPr>
                  <w:rStyle w:val="Hyperlink"/>
                  <w:u w:val="single"/>
                  <w:color w:val="0000FF"/>
                  <w:lang w:val="en"/>
                </w:rPr>
                <w:t xml:space="preserve">IG 2.4.C</w:t>
              </w:r>
            </w:hyperlink>
            <w:r>
              <w:t xml:space="preserve"> after the reclassification of non-compliant functionality into a non-approved mode of operation. Due to this FIPS 140-3 requirement that all approved security services have an unambiguous indicator (AS02.24), </w:t>
            </w:r>
            <w:r>
              <w:rPr>
                <w:b/>
                <w:bCs/>
              </w:rPr>
              <w:t xml:space="preserve">it does not seem likely/possible that a FIPS 140-3 validation fall under this Option 2</w:t>
            </w:r>
            <w:r>
              <w:t xml:space="preserve">, where code is unchanged yet a previously approved service is moved to the non-approved mode, as that would surely invalidate the approved indicator for this service.</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23450D15">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66E753FF">
            <w:pPr>
              <w:spacing w:before="120" w:after="120" w:line="240" w:lineRule="auto"/>
            </w:pPr>
            <w:r>
              <w:t xml:space="preserve">In addition to the tests performed against the affected assertions, the CSTL </w:t>
            </w:r>
            <w:r>
              <w:rPr>
                <w:b/>
                <w:bCs/>
                <w:color w:val="FF0000"/>
              </w:rPr>
              <w:t xml:space="preserve">shall</w:t>
            </w:r>
            <w:r>
              <w:rPr>
                <w:color w:val="FF0000"/>
              </w:rPr>
              <w:t xml:space="preserve"> </w:t>
            </w:r>
            <w:r>
              <w:t xml:space="preserve">also perform the </w:t>
            </w:r>
            <w:r>
              <w:rPr>
                <w:lang w:val="en"/>
              </w:rPr>
              <w:t xml:space="preserve">predefined regression tests shown on the </w:t>
            </w:r>
            <w:hyperlink r:id="rIdLink4">
              <w:r>
                <w:rPr>
                  <w:rStyle w:val="Hyperlink"/>
                  <w:u w:val="single"/>
                  <w:color w:val="0000FF"/>
                  <w:lang w:val="en"/>
                </w:rPr>
                <w:t xml:space="preserve">CMVP website</w:t>
              </w:r>
            </w:hyperlink>
            <w:r>
              <w:rPr>
                <w:lang w:val="en"/>
              </w:rPr>
              <w:t xml:space="preserve"> under TRNS </w:t>
            </w:r>
            <w:r>
              <w:t xml:space="preserve">on all versions listed on the module’s certificate and on at least one of the listed OEs for hybrid or software/firmware modules (if the module binary image is identical across all OEs; if not, testing on at least every binary image is required).  </w:t>
            </w:r>
          </w:p>
          <w:p w14:paraId="2BF243CA">
            <w:pPr>
              <w:spacing w:before="120" w:after="120" w:line="240" w:lineRule="auto"/>
            </w:pPr>
            <w:r>
              <w:t xml:space="preserve">The only exception to this requirement is if the algorithm being transitioned is part of a standalone service and is not used by any other module service (e.g., cryptographic library where the module only provides the algorithm as an API service to a calling application as a stand-alone service).  In this case, the CSTL </w:t>
            </w:r>
            <w:r>
              <w:rPr>
                <w:b/>
                <w:bCs/>
                <w:color w:val="FF0000"/>
              </w:rPr>
              <w:t xml:space="preserve">shall</w:t>
            </w:r>
            <w:r>
              <w:t xml:space="preserve"> provide justification on why regression testing is not necessary at all.</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081F5CE6">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30C2BB3B">
            <w:pPr>
              <w:spacing w:before="120" w:after="120" w:line="240" w:lineRule="auto"/>
              <w:rPr>
                <w:rFonts w:eastAsia="Calibri"/>
              </w:rPr>
            </w:pPr>
            <w:r>
              <w:t xml:space="preserve">The CSTL </w:t>
            </w:r>
            <w:r>
              <w:rPr>
                <w:b/>
                <w:bCs/>
                <w:color w:val="FF0000"/>
              </w:rPr>
              <w:t xml:space="preserve">shall</w:t>
            </w:r>
            <w:r>
              <w:rPr>
                <w:color w:val="FF0000"/>
              </w:rPr>
              <w:t xml:space="preserve"> </w:t>
            </w:r>
            <w:r>
              <w:t xml:space="preserve">provide justification on why regression testing is not necessary for the untested OEs.  With proper justification, these may remain on the module’s certificate.  </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3995A033">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2D003A41">
            <w:pPr>
              <w:spacing w:before="120" w:after="120" w:line="240" w:lineRule="auto"/>
              <w:rPr>
                <w:rFonts w:eastAsia="Calibri"/>
              </w:rPr>
            </w:pPr>
            <w:r>
              <w:t xml:space="preserve">If regression testing is not performed on some versions, then those </w:t>
            </w:r>
            <w:r>
              <w:rPr>
                <w:b/>
                <w:bCs/>
                <w:color w:val="FF0000"/>
              </w:rPr>
              <w:t xml:space="preserve">shall</w:t>
            </w:r>
            <w:r>
              <w:rPr>
                <w:color w:val="FF0000"/>
              </w:rPr>
              <w:t xml:space="preserve"> </w:t>
            </w:r>
            <w:r>
              <w:t xml:space="preserve">be removed from the module’s certificate. OEs without proper justification or regression testing </w:t>
            </w:r>
            <w:r>
              <w:rPr>
                <w:b/>
                <w:bCs/>
                <w:color w:val="FF0000"/>
              </w:rPr>
              <w:t xml:space="preserve">shall</w:t>
            </w:r>
            <w:r>
              <w:rPr>
                <w:color w:val="FF0000"/>
              </w:rPr>
              <w:t xml:space="preserve"> </w:t>
            </w:r>
            <w:r>
              <w:t xml:space="preserve">be removed from the module’s certificate.</w:t>
            </w:r>
          </w:p>
        </w:tc>
        <w:tc>
          <w:tcPr>
            <w:tcW w:type="dxa" w:w="4675"/>
            <w:tcBorders>
              <w:top w:color="538135" w:space="0" w:sz="18" w:themeColor="accent6" w:themeShade="BF" w:val="single"/>
              <w:left w:color="538135" w:space="0" w:sz="18" w:themeColor="accent6" w:themeShade="BF" w:val="single"/>
              <w:bottom w:color="538135" w:space="0" w:sz="18" w:themeColor="accent6" w:themeShade="BF" w:val="single"/>
              <w:right w:color="538135" w:space="0" w:sz="18" w:themeColor="accent6" w:themeShade="BF" w:val="single"/>
            </w:tcBorders>
          </w:tcPr>
          <w:p w14:paraId="7CC78A94">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auto" w:space="0" w:sz="4" w:val="single"/>
              <w:right w:color="538135" w:space="0" w:sz="18" w:themeColor="accent6" w:themeShade="BF" w:val="single"/>
            </w:tcBorders>
          </w:tcPr>
          <w:p w14:paraId="0C177A7B">
            <w:pPr>
              <w:spacing w:before="120" w:after="120" w:line="240" w:lineRule="auto"/>
              <w:rPr>
                <w:rFonts w:eastAsia="Calibri"/>
              </w:rPr>
            </w:pPr>
            <w:r>
              <w:t xml:space="preserve">The CSTL </w:t>
            </w:r>
            <w:r>
              <w:rPr>
                <w:b/>
                <w:bCs/>
                <w:color w:val="FF0000"/>
              </w:rPr>
              <w:t xml:space="preserve">shall</w:t>
            </w:r>
            <w:r>
              <w:rPr>
                <w:color w:val="FF0000"/>
              </w:rPr>
              <w:t xml:space="preserve"> </w:t>
            </w:r>
            <w:r>
              <w:t xml:space="preserve">provide assurance that the non-compliant functionality is not used to meet any FIPS 140-3 requirements (key/CSP establishment, generation, storage, etc.).</w:t>
            </w:r>
          </w:p>
        </w:tc>
        <w:tc>
          <w:tcPr>
            <w:tcW w:type="dxa" w:w="4675"/>
            <w:tcBorders>
              <w:top w:color="538135" w:space="0" w:sz="18" w:themeColor="accent6" w:themeShade="BF" w:val="single"/>
              <w:left w:color="538135" w:space="0" w:sz="18" w:themeColor="accent6" w:themeShade="BF" w:val="single"/>
              <w:bottom w:color="auto" w:space="0" w:sz="4" w:val="single"/>
              <w:right w:color="538135" w:space="0" w:sz="18" w:themeColor="accent6" w:themeShade="BF" w:val="single"/>
            </w:tcBorders>
          </w:tcPr>
          <w:p w14:paraId="7BC27AE6">
            <w:pPr>
              <w:spacing w:before="120" w:after="120" w:line="240" w:lineRule="auto"/>
            </w:pPr>
          </w:p>
        </w:tc>
      </w:tr>
      <w:tr>
        <w:tc>
          <w:tcPr>
            <w:tcW w:type="dxa" w:w="4675"/>
            <w:tcBorders>
              <w:top w:color="538135" w:space="0" w:sz="18" w:themeColor="accent6" w:themeShade="BF" w:val="single"/>
              <w:left w:color="538135" w:space="0" w:sz="18" w:themeColor="accent6" w:themeShade="BF" w:val="single"/>
              <w:bottom w:color="auto" w:space="0" w:sz="4" w:val="single"/>
              <w:right w:color="538135" w:space="0" w:sz="18" w:themeColor="accent6" w:themeShade="BF" w:val="single"/>
            </w:tcBorders>
          </w:tcPr>
          <w:p w14:paraId="0D57B3FE">
            <w:pPr>
              <w:spacing w:before="120" w:after="120" w:line="240" w:lineRule="auto"/>
            </w:pPr>
            <w:r>
              <w:t xml:space="preserve">In order to accommodate vendors who are updating their validation to prepare for an algorithm transition, fully compliant TRNS or ALG revalidations that have addressed the transition and are</w:t>
            </w:r>
            <w:r>
              <w:rPr>
                <w:u w:val="single"/>
              </w:rPr>
              <w:t xml:space="preserve"> submitted to the CMVP before the date the transition is to take effect</w:t>
            </w:r>
            <w:r>
              <w:t xml:space="preserve">, will remain on the active list through the completion of the revalidation, even if it is not completed until after the transition date, unless the algorithm transition is to address a security concern that is deemed unacceptable by the CMVP.  For newly submitted ALG submissions that address the transition, the CSTL </w:t>
            </w:r>
            <w:r>
              <w:rPr>
                <w:b/>
                <w:bCs/>
                <w:color w:val="FF0000"/>
              </w:rPr>
              <w:t xml:space="preserve">shall</w:t>
            </w:r>
            <w:r>
              <w:t xml:space="preserve"> include in the Special Instructions field the text “algorithm_transition” (with or without the underscore) in order for the CMVP not to move this submission to the historical list come the algorithm transition date.</w:t>
            </w:r>
          </w:p>
        </w:tc>
        <w:tc>
          <w:tcPr>
            <w:tcW w:type="dxa" w:w="4675"/>
            <w:tcBorders>
              <w:top w:color="538135" w:space="0" w:sz="18" w:themeColor="accent6" w:themeShade="BF" w:val="single"/>
              <w:left w:color="538135" w:space="0" w:sz="18" w:themeColor="accent6" w:themeShade="BF" w:val="single"/>
              <w:bottom w:color="auto" w:space="0" w:sz="4" w:val="single"/>
              <w:right w:color="538135" w:space="0" w:sz="18" w:themeColor="accent6" w:themeShade="BF" w:val="single"/>
            </w:tcBorders>
          </w:tcPr>
          <w:p w14:paraId="78A0E280">
            <w:pPr>
              <w:spacing w:before="120" w:after="120" w:line="240" w:lineRule="auto"/>
            </w:pPr>
          </w:p>
        </w:tc>
      </w:tr>
      <w:tr>
        <w:trPr>
          <w:trHeight w:val="29" w:hRule="exact"/>
        </w:trPr>
        <w:tc>
          <w:tcPr>
            <w:tcW w:type="dxa" w:w="9350"/>
            <w:gridSpan w:val="2"/>
            <w:tcBorders>
              <w:top w:color="auto" w:space="0" w:sz="4" w:val="single"/>
              <w:bottom w:color="2F5496" w:space="0" w:sz="18" w:themeColor="accent1" w:themeShade="BF" w:val="single"/>
            </w:tcBorders>
          </w:tcPr>
          <w:p w14:paraId="43C560E4">
            <w:pPr>
              <w:spacing w:before="120" w:after="120" w:line="240" w:lineRule="auto"/>
              <w:jc w:val="center"/>
              <w:rPr>
                <w:rFonts w:eastAsia="Calibri"/>
                <w:b/>
                <w:bCs/>
              </w:rPr>
            </w:pPr>
          </w:p>
        </w:tc>
      </w:tr>
      <w:tr>
        <w:tc>
          <w:tcPr>
            <w:tcW w:type="dxa" w:w="9350"/>
            <w:gridSpan w:val="2"/>
            <w:tcBorders>
              <w:top w:color="2F5496" w:space="0" w:sz="18" w:themeColor="accent1" w:themeShade="BF" w:val="single"/>
              <w:left w:color="2F5496" w:space="0" w:sz="18" w:themeColor="accent1" w:themeShade="BF" w:val="single"/>
              <w:bottom w:color="2F5496" w:space="0" w:sz="18" w:themeColor="accent1" w:themeShade="BF" w:val="single"/>
              <w:right w:color="2F5496" w:space="0" w:sz="18" w:themeColor="accent1" w:themeShade="BF" w:val="single"/>
            </w:tcBorders>
          </w:tcPr>
          <w:p w14:paraId="39CA7D0A">
            <w:pPr>
              <w:spacing w:before="120" w:after="120" w:line="240" w:lineRule="auto"/>
              <w:jc w:val="center"/>
              <w:rPr>
                <w:rFonts w:eastAsia="Calibri"/>
                <w:b/>
                <w:bCs/>
              </w:rPr>
            </w:pPr>
            <w:r>
              <w:rPr>
                <w:rFonts w:eastAsia="Calibri"/>
                <w:b/>
                <w:bCs/>
              </w:rPr>
              <w:t xml:space="preserve">Option 2</w:t>
            </w:r>
          </w:p>
        </w:tc>
      </w:tr>
      <w:tr>
        <w:tc>
          <w:tcPr>
            <w:tcW w:type="dxa" w:w="4675"/>
            <w:tcBorders>
              <w:top w:color="2F5496" w:space="0" w:sz="18" w:themeColor="accent1" w:themeShade="BF" w:val="single"/>
              <w:left w:color="2F5496" w:space="0" w:sz="18" w:themeColor="accent1" w:themeShade="BF" w:val="single"/>
              <w:bottom w:color="2F5496" w:space="0" w:sz="18" w:themeColor="accent1" w:themeShade="BF" w:val="single"/>
              <w:right w:color="2F5496" w:space="0" w:sz="18" w:themeColor="accent1" w:themeShade="BF" w:val="single"/>
            </w:tcBorders>
          </w:tcPr>
          <w:p w14:paraId="5BD31F7E">
            <w:pPr>
              <w:spacing w:before="120" w:after="120" w:line="240" w:lineRule="auto"/>
              <w:rPr>
                <w:rFonts w:eastAsia="Calibri"/>
              </w:rPr>
            </w:pPr>
            <w:r>
              <w:t xml:space="preserve">The CSTL </w:t>
            </w:r>
            <w:r>
              <w:rPr>
                <w:b/>
                <w:bCs/>
                <w:color w:val="FF0000"/>
              </w:rPr>
              <w:t xml:space="preserve">shall</w:t>
            </w:r>
            <w:r>
              <w:rPr>
                <w:color w:val="FF0000"/>
              </w:rPr>
              <w:t xml:space="preserve"> </w:t>
            </w:r>
            <w:r>
              <w:t xml:space="preserve">provide assurance, upon module examination, that no service, algorithm or CSP that relied on or used the non-compliant functionality, parameters, keys, etc. remain in the approved mode.  The approved mode </w:t>
            </w:r>
            <w:r>
              <w:rPr>
                <w:b/>
                <w:bCs/>
                <w:color w:val="FF0000"/>
              </w:rPr>
              <w:t xml:space="preserve">shall</w:t>
            </w:r>
            <w:r>
              <w:rPr>
                <w:color w:val="FF0000"/>
              </w:rPr>
              <w:t xml:space="preserve"> </w:t>
            </w:r>
            <w:r>
              <w:t xml:space="preserve">only contain approved services.</w:t>
            </w:r>
          </w:p>
        </w:tc>
        <w:tc>
          <w:tcPr>
            <w:tcW w:type="dxa" w:w="4675"/>
            <w:tcBorders>
              <w:top w:color="2F5496" w:space="0" w:sz="18" w:themeColor="accent1" w:themeShade="BF" w:val="single"/>
              <w:left w:color="2F5496" w:space="0" w:sz="18" w:themeColor="accent1" w:themeShade="BF" w:val="single"/>
              <w:bottom w:color="2F5496" w:space="0" w:sz="18" w:themeColor="accent1" w:themeShade="BF" w:val="single"/>
              <w:right w:color="2F5496" w:space="0" w:sz="18" w:themeColor="accent1" w:themeShade="BF" w:val="single"/>
            </w:tcBorders>
          </w:tcPr>
          <w:p w14:paraId="4D6C0488">
            <w:pPr>
              <w:spacing w:before="120" w:after="120" w:line="240" w:lineRule="auto"/>
            </w:pPr>
          </w:p>
        </w:tc>
      </w:tr>
      <w:tr>
        <w:tc>
          <w:tcPr>
            <w:tcW w:type="dxa" w:w="4675"/>
            <w:tcBorders>
              <w:top w:color="2F5496" w:space="0" w:sz="18" w:themeColor="accent1" w:themeShade="BF" w:val="single"/>
              <w:left w:color="2F5496" w:space="0" w:sz="18" w:themeColor="accent1" w:themeShade="BF" w:val="single"/>
              <w:bottom w:color="2F5496" w:space="0" w:sz="18" w:themeColor="accent1" w:themeShade="BF" w:val="single"/>
              <w:right w:color="2F5496" w:space="0" w:sz="18" w:themeColor="accent1" w:themeShade="BF" w:val="single"/>
            </w:tcBorders>
          </w:tcPr>
          <w:p w14:paraId="1001844B">
            <w:pPr>
              <w:spacing w:before="120" w:after="120" w:line="240" w:lineRule="auto"/>
              <w:rPr>
                <w:rFonts w:eastAsia="Calibri"/>
              </w:rPr>
            </w:pPr>
            <w:r>
              <w:t xml:space="preserve">Documentation </w:t>
            </w:r>
            <w:r>
              <w:rPr>
                <w:b/>
                <w:bCs/>
                <w:color w:val="FF0000"/>
              </w:rPr>
              <w:t xml:space="preserve">shall</w:t>
            </w:r>
            <w:r>
              <w:rPr>
                <w:color w:val="FF0000"/>
              </w:rPr>
              <w:t xml:space="preserve"> </w:t>
            </w:r>
            <w:r>
              <w:t xml:space="preserve">be updated to indicate the module does not utilize non-compliant functionality in the approved mode of operation.</w:t>
            </w:r>
          </w:p>
        </w:tc>
        <w:tc>
          <w:tcPr>
            <w:tcW w:type="dxa" w:w="4675"/>
            <w:tcBorders>
              <w:top w:color="2F5496" w:space="0" w:sz="18" w:themeColor="accent1" w:themeShade="BF" w:val="single"/>
              <w:left w:color="2F5496" w:space="0" w:sz="18" w:themeColor="accent1" w:themeShade="BF" w:val="single"/>
              <w:bottom w:color="2F5496" w:space="0" w:sz="18" w:themeColor="accent1" w:themeShade="BF" w:val="single"/>
              <w:right w:color="2F5496" w:space="0" w:sz="18" w:themeColor="accent1" w:themeShade="BF" w:val="single"/>
            </w:tcBorders>
          </w:tcPr>
          <w:p w14:paraId="253CE7B9">
            <w:pPr>
              <w:spacing w:before="120" w:after="120" w:line="240" w:lineRule="auto"/>
            </w:pPr>
          </w:p>
        </w:tc>
      </w:tr>
      <w:tr>
        <w:trPr>
          <w:trHeight w:val="29" w:hRule="exact"/>
        </w:trPr>
        <w:tc>
          <w:tcPr>
            <w:tcW w:type="dxa" w:w="9350"/>
            <w:gridSpan w:val="2"/>
            <w:tcBorders>
              <w:top w:color="2F5496" w:space="0" w:sz="18" w:themeColor="accent1" w:themeShade="BF" w:val="single"/>
              <w:bottom w:color="C45911" w:space="0" w:sz="18" w:themeColor="accent2" w:themeShade="BF" w:val="single"/>
            </w:tcBorders>
          </w:tcPr>
          <w:p w14:paraId="390ADFD7">
            <w:pPr>
              <w:spacing w:before="120" w:after="120" w:line="240" w:lineRule="auto"/>
              <w:jc w:val="center"/>
              <w:rPr>
                <w:b/>
                <w:bCs/>
              </w:rPr>
            </w:pPr>
          </w:p>
        </w:tc>
      </w:tr>
      <w:tr>
        <w:tc>
          <w:tcPr>
            <w:tcW w:type="dxa" w:w="9350"/>
            <w:gridSpan w:val="2"/>
            <w:tcBorders>
              <w:top w:color="C45911" w:space="0" w:sz="18" w:themeColor="accent2" w:themeShade="BF" w:val="single"/>
              <w:left w:color="C45911" w:space="0" w:sz="18" w:themeColor="accent2" w:themeShade="BF" w:val="single"/>
              <w:bottom w:color="C45911" w:space="0" w:sz="18" w:themeColor="accent2" w:themeShade="BF" w:val="single"/>
              <w:right w:color="C45911" w:space="0" w:sz="18" w:themeColor="accent2" w:themeShade="BF" w:val="single"/>
            </w:tcBorders>
          </w:tcPr>
          <w:p w14:paraId="7B1A833C">
            <w:pPr>
              <w:spacing w:before="120" w:after="120" w:line="240" w:lineRule="auto"/>
              <w:jc w:val="center"/>
              <w:rPr>
                <w:rFonts w:eastAsia="Calibri"/>
                <w:b/>
                <w:bCs/>
              </w:rPr>
            </w:pPr>
            <w:r>
              <w:rPr>
                <w:rFonts w:eastAsia="Calibri"/>
                <w:b/>
                <w:bCs/>
              </w:rPr>
              <w:t xml:space="preserve">Option 3</w:t>
            </w:r>
          </w:p>
        </w:tc>
      </w:tr>
      <w:tr>
        <w:tc>
          <w:tcPr>
            <w:tcW w:type="dxa" w:w="4675"/>
            <w:tcBorders>
              <w:top w:color="C45911" w:space="0" w:sz="18" w:themeColor="accent2" w:themeShade="BF" w:val="single"/>
              <w:left w:color="C45911" w:space="0" w:sz="18" w:themeColor="accent2" w:themeShade="BF" w:val="single"/>
              <w:bottom w:color="C45911" w:space="0" w:sz="18" w:themeColor="accent2" w:themeShade="BF" w:val="single"/>
              <w:right w:color="C45911" w:space="0" w:sz="18" w:themeColor="accent2" w:themeShade="BF" w:val="single"/>
            </w:tcBorders>
          </w:tcPr>
          <w:p w14:paraId="5B9ACEAE">
            <w:pPr>
              <w:spacing w:before="120" w:after="120" w:line="240" w:lineRule="auto"/>
              <w:rPr>
                <w:rFonts w:eastAsia="Calibri"/>
              </w:rPr>
            </w:pPr>
            <w:r>
              <w:t xml:space="preserve">The CSTL </w:t>
            </w:r>
            <w:r>
              <w:rPr>
                <w:b/>
                <w:bCs/>
                <w:color w:val="FF0000"/>
              </w:rPr>
              <w:t xml:space="preserve">shall</w:t>
            </w:r>
            <w:r>
              <w:rPr>
                <w:color w:val="FF0000"/>
              </w:rPr>
              <w:t xml:space="preserve"> </w:t>
            </w:r>
            <w:r>
              <w:t xml:space="preserve">provide justification on how the requirements of </w:t>
            </w:r>
            <w:hyperlink w:anchor="_1.23_Definition_and">
              <w:r>
                <w:rPr>
                  <w:rStyle w:val="Hyperlink"/>
                  <w:u w:val="single"/>
                  <w:color w:val="0000FF"/>
                </w:rPr>
                <w:t xml:space="preserve">IG 2.4.A</w:t>
              </w:r>
            </w:hyperlink>
            <w:r>
              <w:t xml:space="preserve"> are met. This scenario is intended to be rarely used/accepted and depends on the purpose or use of the service that utilizes the non-approved algorithms. For example, a software library implementing three-key Triple-DES Encryption as one of its approved services cannot simply state this algorithm does not claim any security (per </w:t>
            </w:r>
            <w:hyperlink w:anchor="_1.23_Definition_and">
              <w:r>
                <w:rPr>
                  <w:rStyle w:val="Hyperlink"/>
                  <w:u w:val="single"/>
                  <w:color w:val="0000FF"/>
                </w:rPr>
                <w:t xml:space="preserve">IG 2.4.A</w:t>
              </w:r>
            </w:hyperlink>
            <w:r>
              <w:t xml:space="preserve">) and be used in the approved mode, as this does not meet 3) or 4) in </w:t>
            </w:r>
            <w:hyperlink w:anchor="_1.23_Definition_and">
              <w:r>
                <w:rPr>
                  <w:rStyle w:val="Hyperlink"/>
                  <w:u w:val="single"/>
                  <w:color w:val="0000FF"/>
                </w:rPr>
                <w:t xml:space="preserve">IG 2.4.A</w:t>
              </w:r>
            </w:hyperlink>
            <w:r>
              <w:t xml:space="preserve"> Additional Comment #2. </w:t>
            </w:r>
          </w:p>
        </w:tc>
        <w:tc>
          <w:tcPr>
            <w:tcW w:type="dxa" w:w="4675"/>
            <w:tcBorders>
              <w:top w:color="C45911" w:space="0" w:sz="18" w:themeColor="accent2" w:themeShade="BF" w:val="single"/>
              <w:left w:color="C45911" w:space="0" w:sz="18" w:themeColor="accent2" w:themeShade="BF" w:val="single"/>
              <w:bottom w:color="C45911" w:space="0" w:sz="18" w:themeColor="accent2" w:themeShade="BF" w:val="single"/>
              <w:right w:color="C45911" w:space="0" w:sz="18" w:themeColor="accent2" w:themeShade="BF" w:val="single"/>
            </w:tcBorders>
          </w:tcPr>
          <w:p w14:paraId="5CF7BE67">
            <w:pPr>
              <w:spacing w:before="120" w:after="120" w:line="240" w:lineRule="auto"/>
            </w:pPr>
          </w:p>
        </w:tc>
      </w:tr>
      <w:tr>
        <w:trPr>
          <w:trHeight w:val="29" w:hRule="exact"/>
        </w:trPr>
        <w:tc>
          <w:tcPr>
            <w:tcW w:type="dxa" w:w="4675"/>
            <w:tcBorders>
              <w:top w:color="C45911" w:space="0" w:sz="18" w:themeColor="accent2" w:themeShade="BF" w:val="single"/>
              <w:bottom w:color="BF8F00" w:space="0" w:sz="18" w:themeColor="accent4" w:themeShade="BF" w:val="single"/>
            </w:tcBorders>
          </w:tcPr>
          <w:p w14:paraId="58EB8C37">
            <w:pPr>
              <w:spacing w:before="120" w:after="120" w:line="240" w:lineRule="auto"/>
              <w:rPr>
                <w:rFonts w:eastAsia="Calibri"/>
              </w:rPr>
            </w:pPr>
          </w:p>
        </w:tc>
        <w:tc>
          <w:tcPr>
            <w:tcW w:type="dxa" w:w="4675"/>
            <w:tcBorders>
              <w:top w:color="C45911" w:space="0" w:sz="18" w:themeColor="accent2" w:themeShade="BF" w:val="single"/>
              <w:bottom w:color="BF8F00" w:space="0" w:sz="18" w:themeColor="accent4" w:themeShade="BF" w:val="single"/>
            </w:tcBorders>
          </w:tcPr>
          <w:p w14:paraId="5F6EFF35">
            <w:pPr>
              <w:spacing w:before="120" w:after="120" w:line="240" w:lineRule="auto"/>
            </w:pPr>
          </w:p>
        </w:tc>
      </w:tr>
      <w:tr>
        <w:tc>
          <w:tcPr>
            <w:tcW w:type="dxa" w:w="9350"/>
            <w:gridSpan w:val="2"/>
            <w:tcBorders>
              <w:top w:color="BF8F00" w:space="0" w:sz="18" w:themeColor="accent4" w:themeShade="BF" w:val="single"/>
              <w:left w:color="BF8F00" w:space="0" w:sz="18" w:themeColor="accent4" w:themeShade="BF" w:val="single"/>
              <w:bottom w:color="BF8F00" w:space="0" w:sz="18" w:themeColor="accent4" w:themeShade="BF" w:val="single"/>
              <w:right w:color="BF8F00" w:space="0" w:sz="18" w:themeColor="accent4" w:themeShade="BF" w:val="single"/>
            </w:tcBorders>
          </w:tcPr>
          <w:p w14:paraId="36D13655">
            <w:pPr>
              <w:spacing w:before="120" w:after="120" w:line="240" w:lineRule="auto"/>
              <w:jc w:val="center"/>
              <w:rPr>
                <w:b/>
                <w:bCs/>
              </w:rPr>
            </w:pPr>
            <w:r>
              <w:rPr>
                <w:b/>
                <w:bCs/>
              </w:rPr>
              <w:t xml:space="preserve">Option 4 </w:t>
            </w:r>
          </w:p>
          <w:p w14:paraId="7B83A8E6">
            <w:pPr>
              <w:spacing w:before="120" w:after="120" w:line="240" w:lineRule="auto"/>
              <w:jc w:val="center"/>
              <w:rPr>
                <w:b/>
                <w:bCs/>
              </w:rPr>
            </w:pPr>
            <w:r>
              <w:t xml:space="preserve">A combination of any of three options above (ALG, moving non-compliant functionality into the non-approved mode, and/or recategorized per </w:t>
            </w:r>
            <w:hyperlink w:anchor="_1.23_Definition_and">
              <w:r>
                <w:rPr>
                  <w:rStyle w:val="Hyperlink"/>
                  <w:u w:val="single"/>
                  <w:color w:val="0000FF"/>
                </w:rPr>
                <w:t xml:space="preserve">IG 2.4.A</w:t>
              </w:r>
            </w:hyperlink>
            <w:r>
              <w:t xml:space="preserve">), in which case, requirements of each option apply.</w:t>
            </w:r>
          </w:p>
        </w:tc>
      </w:tr>
      <w:tr>
        <w:tc>
          <w:tcPr>
            <w:tcW w:type="dxa" w:w="4675"/>
            <w:tcBorders>
              <w:top w:color="BF8F00" w:space="0" w:sz="18" w:themeColor="accent4" w:themeShade="BF" w:val="single"/>
              <w:left w:color="BF8F00" w:space="0" w:sz="18" w:themeColor="accent4" w:themeShade="BF" w:val="single"/>
              <w:bottom w:color="BF8F00" w:space="0" w:sz="18" w:themeColor="accent4" w:themeShade="BF" w:val="single"/>
              <w:right w:color="BF8F00" w:space="0" w:sz="18" w:themeColor="accent4" w:themeShade="BF" w:val="single"/>
            </w:tcBorders>
          </w:tcPr>
          <w:p w14:paraId="09DB8547">
            <w:pPr>
              <w:spacing w:before="120" w:after="120" w:line="240" w:lineRule="auto"/>
              <w:rPr>
                <w:rFonts w:eastAsia="Calibri"/>
              </w:rPr>
            </w:pPr>
            <w:r>
              <w:t xml:space="preserve">Each option </w:t>
            </w:r>
            <w:r>
              <w:rPr>
                <w:b/>
                <w:bCs/>
                <w:color w:val="FF0000"/>
              </w:rPr>
              <w:t xml:space="preserve">shall</w:t>
            </w:r>
            <w:r>
              <w:rPr>
                <w:color w:val="FF0000"/>
              </w:rPr>
              <w:t xml:space="preserve"> </w:t>
            </w:r>
            <w:r>
              <w:t xml:space="preserve">be listed/indicated in the Change Document under Option 4 (e.g. under Option 4, the following are claimed: Options 1 and 2) and note how each of the applicable ‘shall’ statements for each option are met).</w:t>
            </w:r>
          </w:p>
        </w:tc>
        <w:tc>
          <w:tcPr>
            <w:tcW w:type="dxa" w:w="4675"/>
            <w:tcBorders>
              <w:top w:color="BF8F00" w:space="0" w:sz="18" w:themeColor="accent4" w:themeShade="BF" w:val="single"/>
              <w:left w:color="BF8F00" w:space="0" w:sz="18" w:themeColor="accent4" w:themeShade="BF" w:val="single"/>
              <w:bottom w:color="BF8F00" w:space="0" w:sz="18" w:themeColor="accent4" w:themeShade="BF" w:val="single"/>
              <w:right w:color="BF8F00" w:space="0" w:sz="18" w:themeColor="accent4" w:themeShade="BF" w:val="single"/>
            </w:tcBorders>
          </w:tcPr>
          <w:p w14:paraId="4594B8FA">
            <w:pPr>
              <w:spacing w:before="120" w:after="120" w:line="240" w:lineRule="auto"/>
            </w:pPr>
          </w:p>
        </w:tc>
      </w:tr>
    </w:tbl>
    <w:p w14:paraId="4DF19DAC">
      <w:pPr>
        <w:spacing w:before="120" w:after="120" w:line="240" w:lineRule="auto"/>
        <w:rPr>
          <w:rFonts w:ascii="Times New Roman" w:hAnsi="Times New Roman" w:cs="Times New Roman" w:eastAsia="Times New Roman"/>
          <w:sz w:val="20"/>
          <w:szCs w:val="20"/>
        </w:rPr>
      </w:pPr>
    </w:p>
    <w:p w14:paraId="5DE9886A">
      <w:pPr>
        <w:spacing w:after="160" w:line="259" w:lineRule="auto"/>
        <w:rPr>
          <w:rFonts w:ascii="Calibri Light" w:hAnsi="Calibri Light" w:cs="Calibri Light" w:eastAsia="Times New Roman"/>
          <w:color w:val="2F5496"/>
          <w:sz w:val="26"/>
          <w:szCs w:val="26"/>
        </w:rPr>
      </w:pPr>
      <w:r>
        <w:rPr>
          <w:rFonts w:eastAsia="Times New Roman"/>
        </w:rPr>
        <w:br w:type="page"/>
      </w:r>
    </w:p>
    <w:p w14:paraId="208E7B74">
      <w:pPr>
        <w:pStyle w:val="Heading2"/>
        <w:keepNext/>
        <w:keepLines/>
        <w:numPr>
          <w:ilvl w:val="1"/>
          <w:numId w:val="12"/>
        </w:numPr>
        <w:spacing w:before="120" w:after="120" w:line="240" w:lineRule="auto"/>
        <w:rPr>
          <w:rFonts w:eastAsia="Times New Roman"/>
        </w:rPr>
      </w:pPr>
      <w:bookmarkStart w:id="100014" w:name="_Toc226628120"/>
      <w:bookmarkEnd w:id="100014"/>
      <w:r>
        <w:rPr>
          <w:rFonts w:eastAsia="Times New Roman"/>
        </w:rPr>
        <w:t xml:space="preserve">PHYS (MM 7.1.13)</w:t>
      </w:r>
    </w:p>
    <w:p w14:paraId="41E5480C">
      <w:pPr>
        <w:spacing w:after="160" w:line="259" w:lineRule="auto"/>
        <w:rPr>
          <w:rFonts w:ascii="Times New Roman" w:hAnsi="Times New Roman" w:cs="Times New Roman"/>
          <w:sz w:val="20"/>
          <w:szCs w:val="20"/>
        </w:rPr>
      </w:pPr>
      <w:r>
        <w:rPr>
          <w:rFonts w:ascii="Times New Roman" w:hAnsi="Times New Roman" w:cs="Times New Roman"/>
          <w:sz w:val="20"/>
          <w:szCs w:val="20"/>
        </w:rPr>
        <w:t xml:space="preserve">Modifications are made only </w:t>
      </w:r>
      <w:r>
        <w:rPr>
          <w:rFonts w:ascii="Times New Roman" w:hAnsi="Times New Roman" w:cs="Times New Roman"/>
          <w:b/>
          <w:bCs/>
          <w:sz w:val="20"/>
          <w:szCs w:val="20"/>
        </w:rPr>
        <w:t xml:space="preserve">to the physical enclosure of the cryptographic module that provides its protection and involves no operational changes to the module</w:t>
      </w:r>
      <w:r>
        <w:rPr>
          <w:rFonts w:ascii="Times New Roman" w:hAnsi="Times New Roman" w:cs="Times New Roman"/>
          <w:sz w:val="20"/>
          <w:szCs w:val="20"/>
        </w:rPr>
        <w:t xml:space="preser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4675"/>
        <w:gridCol w:w="4675"/>
      </w:tblGrid>
      <w:tr>
        <w:tc>
          <w:tcPr>
            <w:tcW w:type="dxa" w:w="4675"/>
            <w:shd w:val="clear" w:color="auto" w:fill="E7E6E6"/>
          </w:tcPr>
          <w:p w14:paraId="1522E0DE">
            <w:pPr>
              <w:spacing w:before="120" w:after="120" w:line="240" w:lineRule="auto"/>
              <w:rPr>
                <w:b/>
                <w:bCs/>
              </w:rPr>
            </w:pPr>
            <w:r>
              <w:rPr>
                <w:b/>
                <w:bCs/>
              </w:rPr>
              <w:t xml:space="preserve">Requirement</w:t>
            </w:r>
          </w:p>
        </w:tc>
        <w:tc>
          <w:tcPr>
            <w:tcW w:type="dxa" w:w="4675"/>
            <w:shd w:val="clear" w:color="auto" w:fill="E7E6E6"/>
          </w:tcPr>
          <w:p w14:paraId="76196250">
            <w:pPr>
              <w:spacing w:before="120" w:after="120" w:line="240" w:lineRule="auto"/>
              <w:rPr>
                <w:b/>
                <w:bCs/>
              </w:rPr>
            </w:pPr>
            <w:r>
              <w:rPr>
                <w:b/>
                <w:bCs/>
              </w:rPr>
              <w:t xml:space="preserve">CSTL Compliance evidence / justification</w:t>
            </w:r>
          </w:p>
        </w:tc>
      </w:tr>
      <w:tr>
        <w:tc>
          <w:tcPr>
            <w:tcW w:type="dxa" w:w="4675"/>
          </w:tcPr>
          <w:p w14:paraId="3B129F48">
            <w:pPr>
              <w:spacing w:before="120" w:after="120" w:line="240" w:lineRule="auto"/>
            </w:pPr>
            <w:r>
              <w:rPr>
                <w:color w:val="000000"/>
              </w:rPr>
              <w:t xml:space="preserve">The CSTL is responsible for ensuring that the change only affects the physical enclosure (integrity) and has no operational impact on the module.</w:t>
            </w:r>
          </w:p>
        </w:tc>
        <w:tc>
          <w:tcPr>
            <w:tcW w:type="dxa" w:w="4675"/>
          </w:tcPr>
          <w:p w14:paraId="54754F8B">
            <w:pPr>
              <w:spacing w:before="120" w:after="120" w:line="240" w:lineRule="auto"/>
            </w:pPr>
          </w:p>
        </w:tc>
      </w:tr>
      <w:tr>
        <w:tc>
          <w:tcPr>
            <w:tcW w:type="dxa" w:w="4675"/>
          </w:tcPr>
          <w:p w14:paraId="5236364F">
            <w:pPr>
              <w:spacing w:before="120" w:after="120" w:line="240" w:lineRule="auto"/>
            </w:pPr>
            <w:r>
              <w:t xml:space="preserve">The CSTL </w:t>
            </w:r>
            <w:r>
              <w:rPr>
                <w:b/>
                <w:bCs/>
                <w:color w:val="FF0000"/>
              </w:rPr>
              <w:t xml:space="preserve">shall</w:t>
            </w:r>
            <w:r>
              <w:t xml:space="preserve"> fully test the physical security features of the new enclosure to ensure its compliance to the applicable requirements of the standard.</w:t>
            </w:r>
          </w:p>
        </w:tc>
        <w:tc>
          <w:tcPr>
            <w:tcW w:type="dxa" w:w="4675"/>
          </w:tcPr>
          <w:p w14:paraId="04CE671E">
            <w:pPr>
              <w:spacing w:before="120" w:after="120" w:line="240" w:lineRule="auto"/>
            </w:pPr>
          </w:p>
        </w:tc>
      </w:tr>
      <w:tr>
        <w:tc>
          <w:tcPr>
            <w:tcW w:type="dxa" w:w="4675"/>
          </w:tcPr>
          <w:p w14:paraId="57471EB2">
            <w:pPr>
              <w:spacing w:before="120" w:after="120" w:line="240" w:lineRule="auto"/>
            </w:pPr>
            <w:r>
              <w:rPr>
                <w:rFonts w:eastAsia="Calibri"/>
                <w:color w:val="000000"/>
              </w:rPr>
              <w:t xml:space="preserve">Describe the change (pictures may be required) </w:t>
            </w:r>
          </w:p>
        </w:tc>
        <w:tc>
          <w:tcPr>
            <w:tcW w:type="dxa" w:w="4675"/>
          </w:tcPr>
          <w:p w14:paraId="5E716921">
            <w:pPr>
              <w:spacing w:before="120" w:after="120" w:line="240" w:lineRule="auto"/>
            </w:pPr>
          </w:p>
        </w:tc>
      </w:tr>
      <w:tr>
        <w:tc>
          <w:tcPr>
            <w:tcW w:type="dxa" w:w="4675"/>
          </w:tcPr>
          <w:p w14:paraId="4FB8AA20">
            <w:pPr>
              <w:spacing w:before="120" w:after="120" w:line="240" w:lineRule="auto"/>
            </w:pPr>
            <w:r>
              <w:rPr>
                <w:color w:val="000000"/>
              </w:rPr>
              <w:t xml:space="preserve">State that it is a security relevant change</w:t>
            </w:r>
          </w:p>
        </w:tc>
        <w:tc>
          <w:tcPr>
            <w:tcW w:type="dxa" w:w="4675"/>
          </w:tcPr>
          <w:p w14:paraId="7A637612">
            <w:pPr>
              <w:spacing w:before="120" w:after="120" w:line="240" w:lineRule="auto"/>
            </w:pPr>
          </w:p>
        </w:tc>
      </w:tr>
      <w:tr>
        <w:tc>
          <w:tcPr>
            <w:tcW w:type="dxa" w:w="4675"/>
          </w:tcPr>
          <w:p w14:paraId="0ABBC969">
            <w:pPr>
              <w:spacing w:before="120" w:after="120" w:line="240" w:lineRule="auto"/>
            </w:pPr>
            <w:r>
              <w:rPr>
                <w:color w:val="000000"/>
              </w:rPr>
              <w:t xml:space="preserve">Provide sufficient information supporting that the physical only change has no operational impact</w:t>
            </w:r>
          </w:p>
        </w:tc>
        <w:tc>
          <w:tcPr>
            <w:tcW w:type="dxa" w:w="4675"/>
          </w:tcPr>
          <w:p w14:paraId="612A731F">
            <w:pPr>
              <w:spacing w:before="120" w:after="120" w:line="240" w:lineRule="auto"/>
            </w:pPr>
          </w:p>
        </w:tc>
      </w:tr>
      <w:tr>
        <w:tc>
          <w:tcPr>
            <w:tcW w:type="dxa" w:w="4675"/>
          </w:tcPr>
          <w:p w14:paraId="75113111">
            <w:pPr>
              <w:spacing w:before="120" w:after="120" w:line="240" w:lineRule="auto"/>
            </w:pPr>
            <w:r>
              <w:rPr>
                <w:color w:val="000000"/>
              </w:rPr>
              <w:t xml:space="preserve">Describe the tests performed by the CSTL that confirm that the modified enclosure still provides the same physical protection attributes as the previously validated module. For physical security levels 2, 3 and 4, the CSTL </w:t>
            </w:r>
            <w:r>
              <w:rPr>
                <w:b/>
                <w:bCs/>
                <w:color w:val="FF0000"/>
              </w:rPr>
              <w:t xml:space="preserve">shall </w:t>
            </w:r>
            <w:r>
              <w:rPr>
                <w:color w:val="000000"/>
              </w:rPr>
              <w:t xml:space="preserve">submit an updated Physical Security Test Report.</w:t>
            </w:r>
          </w:p>
        </w:tc>
        <w:tc>
          <w:tcPr>
            <w:tcW w:type="dxa" w:w="4675"/>
          </w:tcPr>
          <w:p w14:paraId="2F94534F">
            <w:pPr>
              <w:spacing w:before="120" w:after="120" w:line="240" w:lineRule="auto"/>
            </w:pPr>
          </w:p>
        </w:tc>
      </w:tr>
      <w:tr>
        <w:tc>
          <w:tcPr>
            <w:tcW w:type="dxa" w:w="4675"/>
          </w:tcPr>
          <w:p w14:paraId="36A3E84D">
            <w:pPr>
              <w:spacing w:before="120" w:after="120" w:line="240" w:lineRule="auto"/>
              <w:rPr>
                <w:color w:val="000000"/>
              </w:rPr>
            </w:pPr>
            <w:r>
              <w:rPr>
                <w:color w:val="000000"/>
              </w:rPr>
              <w:t xml:space="preserve">The only time code changes are allowed as part of an PHYS is if they are non-security relevant and </w:t>
            </w:r>
            <w:r>
              <w:rPr>
                <w:i/>
                <w:iCs/>
                <w:color w:val="000000"/>
              </w:rPr>
              <w:t xml:space="preserve">necessary</w:t>
            </w:r>
            <w:r>
              <w:rPr>
                <w:color w:val="000000"/>
              </w:rPr>
              <w:t xml:space="preserve"> to correctly run the module on the new/modified physical enclosure (e.g., changes to the enclosure that also requires moving internal components so that they still fit, requiring minor changes to the internal board and firmware). No other changes are permitted (even to incorporate other non-security relevant changes such as bug fixes).</w:t>
            </w:r>
          </w:p>
        </w:tc>
        <w:tc>
          <w:tcPr>
            <w:tcW w:type="dxa" w:w="4675"/>
          </w:tcPr>
          <w:p w14:paraId="4913B614">
            <w:pPr>
              <w:spacing w:before="120" w:after="120" w:line="240" w:lineRule="auto"/>
            </w:pPr>
          </w:p>
        </w:tc>
      </w:tr>
    </w:tbl>
    <w:p w14:paraId="781C5C5A">
      <w:pPr>
        <w:spacing w:before="120" w:after="120" w:line="240" w:lineRule="auto"/>
        <w:rPr>
          <w:rFonts w:ascii="Times New Roman" w:hAnsi="Times New Roman" w:cs="Times New Roman" w:eastAsia="Times New Roman"/>
          <w:color w:val="000000"/>
          <w:sz w:val="20"/>
          <w:szCs w:val="20"/>
        </w:rPr>
      </w:pPr>
    </w:p>
    <w:p w14:paraId="57B1AAEF">
      <w:pPr>
        <w:spacing w:after="160" w:line="259" w:lineRule="auto"/>
        <w:rPr>
          <w:rFonts w:ascii="Times New Roman" w:hAnsi="Times New Roman" w:cs="Times New Roman" w:eastAsia="Times New Roman"/>
          <w:color w:val="2F5496"/>
          <w:sz w:val="32"/>
          <w:szCs w:val="32"/>
        </w:rPr>
      </w:pPr>
      <w:r>
        <w:rPr>
          <w:rFonts w:ascii="Times New Roman" w:cs="Times New Roman" w:eastAsia="Times New Roman" w:hAnsi="Times New Roman"/>
        </w:rPr>
        <w:br w:type="page"/>
      </w:r>
    </w:p>
    <w:p w14:paraId="3ECEA124">
      <w:pPr>
        <w:pStyle w:val="Heading1"/>
        <w:keepNext/>
        <w:keepLines/>
        <w:numPr>
          <w:ilvl w:val="0"/>
          <w:numId w:val="12"/>
        </w:numPr>
        <w:spacing w:before="120" w:after="120" w:line="240" w:lineRule="auto"/>
        <w:rPr>
          <w:rFonts w:ascii="Times New Roman" w:hAnsi="Times New Roman" w:cs="Times New Roman" w:eastAsia="Times New Roman"/>
        </w:rPr>
      </w:pPr>
      <w:bookmarkStart w:id="100015" w:name="_Toc226628121"/>
      <w:bookmarkEnd w:id="100015"/>
      <w:r>
        <w:rPr>
          <w:rFonts w:ascii="Times New Roman" w:hAnsi="Times New Roman" w:cs="Times New Roman" w:eastAsia="Times New Roman"/>
        </w:rPr>
        <w:t xml:space="preserve">Certificate Modification Tables</w:t>
      </w:r>
    </w:p>
    <w:p w14:paraId="0BF824A8">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For all revalidation scenarios the CSTL </w:t>
      </w:r>
      <w:r>
        <w:rPr>
          <w:rFonts w:ascii="Times New Roman" w:hAnsi="Times New Roman" w:cs="Times New Roman" w:eastAsia="Times New Roman"/>
          <w:b/>
          <w:bCs/>
          <w:color w:val="FF0000"/>
          <w:sz w:val="20"/>
          <w:szCs w:val="20"/>
        </w:rPr>
        <w:t xml:space="preserve">shall</w:t>
      </w:r>
      <w:r>
        <w:rPr>
          <w:rFonts w:ascii="Times New Roman" w:hAnsi="Times New Roman" w:cs="Times New Roman" w:eastAsia="Times New Roman"/>
          <w:color w:val="FF0000"/>
          <w:sz w:val="20"/>
          <w:szCs w:val="20"/>
        </w:rPr>
        <w:t xml:space="preserve"> </w:t>
      </w:r>
      <w:r>
        <w:rPr>
          <w:rFonts w:ascii="Times New Roman" w:hAnsi="Times New Roman" w:cs="Times New Roman" w:eastAsia="Times New Roman"/>
          <w:sz w:val="20"/>
          <w:szCs w:val="20"/>
        </w:rPr>
        <w:t xml:space="preserve">use the following format to cover all updated fields (e.g., vendor, CSTL, and module changes). Deletions </w:t>
      </w:r>
      <w:r>
        <w:rPr>
          <w:rFonts w:ascii="Times New Roman" w:hAnsi="Times New Roman" w:cs="Times New Roman" w:eastAsia="Times New Roman"/>
          <w:b/>
          <w:bCs/>
          <w:color w:val="FF0000"/>
          <w:sz w:val="20"/>
          <w:szCs w:val="20"/>
        </w:rPr>
        <w:t xml:space="preserve">shall</w:t>
      </w:r>
      <w:r>
        <w:rPr>
          <w:rFonts w:ascii="Times New Roman" w:hAnsi="Times New Roman" w:cs="Times New Roman" w:eastAsia="Times New Roman"/>
          <w:color w:val="FF0000"/>
          <w:sz w:val="20"/>
          <w:szCs w:val="20"/>
        </w:rPr>
        <w:t xml:space="preserve"> </w:t>
      </w:r>
      <w:r>
        <w:rPr>
          <w:rFonts w:ascii="Times New Roman" w:hAnsi="Times New Roman" w:cs="Times New Roman" w:eastAsia="Times New Roman"/>
          <w:sz w:val="20"/>
          <w:szCs w:val="20"/>
        </w:rPr>
        <w:t xml:space="preserve">be marked using red </w:t>
      </w:r>
      <w:r>
        <w:rPr>
          <w:rFonts w:ascii="Times New Roman" w:hAnsi="Times New Roman" w:cs="Times New Roman" w:eastAsia="Times New Roman"/>
          <w:strike/>
          <w:color w:val="FF0000"/>
          <w:sz w:val="20"/>
          <w:szCs w:val="20"/>
        </w:rPr>
        <w:t xml:space="preserve">strikethrough</w:t>
      </w:r>
      <w:r>
        <w:rPr>
          <w:rFonts w:ascii="Times New Roman" w:hAnsi="Times New Roman" w:cs="Times New Roman" w:eastAsia="Times New Roman"/>
          <w:color w:val="FF0000"/>
          <w:sz w:val="20"/>
          <w:szCs w:val="20"/>
        </w:rPr>
        <w:t xml:space="preserve"> </w:t>
      </w:r>
      <w:r>
        <w:rPr>
          <w:rFonts w:ascii="Times New Roman" w:hAnsi="Times New Roman" w:cs="Times New Roman" w:eastAsia="Times New Roman"/>
          <w:sz w:val="20"/>
          <w:szCs w:val="20"/>
        </w:rPr>
        <w:t xml:space="preserve">and additions </w:t>
      </w:r>
      <w:r>
        <w:rPr>
          <w:rFonts w:ascii="Times New Roman" w:hAnsi="Times New Roman" w:cs="Times New Roman" w:eastAsia="Times New Roman"/>
          <w:b/>
          <w:bCs/>
          <w:color w:val="FF0000"/>
          <w:sz w:val="20"/>
          <w:szCs w:val="20"/>
        </w:rPr>
        <w:t xml:space="preserve">shall</w:t>
      </w:r>
      <w:r>
        <w:rPr>
          <w:rFonts w:ascii="Times New Roman" w:hAnsi="Times New Roman" w:cs="Times New Roman" w:eastAsia="Times New Roman"/>
          <w:sz w:val="20"/>
          <w:szCs w:val="20"/>
        </w:rPr>
        <w:t xml:space="preserve"> be highlighted in </w:t>
      </w:r>
      <w:r>
        <w:rPr>
          <w:rFonts w:ascii="Times New Roman" w:hAnsi="Times New Roman" w:cs="Times New Roman" w:eastAsia="Times New Roman"/>
          <w:sz w:val="20"/>
          <w:szCs w:val="20"/>
          <w:highlight w:val="yellow"/>
        </w:rPr>
        <w:t xml:space="preserve">yellow</w:t>
      </w:r>
      <w:r>
        <w:rPr>
          <w:rFonts w:ascii="Times New Roman" w:hAnsi="Times New Roman" w:cs="Times New Roman" w:eastAsia="Times New Roman"/>
          <w:sz w:val="20"/>
          <w:szCs w:val="20"/>
        </w:rPr>
        <w:t xml:space="preserve">.</w:t>
      </w:r>
    </w:p>
    <w:p w14:paraId="010A92D9">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For example: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2133"/>
        <w:gridCol w:w="1855"/>
        <w:gridCol w:w="3955"/>
      </w:tblGrid>
      <w:tr>
        <w:tc>
          <w:tcPr>
            <w:tcW w:type="auto" w:w="0"/>
            <w:shd w:val="clear" w:color="auto" w:fill="D9D9D9"/>
          </w:tcPr>
          <w:p w14:paraId="13900982">
            <w:pPr>
              <w:spacing w:before="120" w:after="120" w:line="240" w:lineRule="auto"/>
              <w:rPr>
                <w:b/>
                <w:bCs/>
              </w:rPr>
            </w:pPr>
            <w:bookmarkStart w:id="100016" w:name="_Hlk178876582"/>
            <w:bookmarkEnd w:id="100016"/>
            <w:r>
              <w:rPr>
                <w:b/>
                <w:bCs/>
              </w:rPr>
              <w:t xml:space="preserve">Field(s)</w:t>
            </w:r>
          </w:p>
        </w:tc>
        <w:tc>
          <w:tcPr>
            <w:tcW w:type="auto" w:w="0"/>
            <w:shd w:val="clear" w:color="auto" w:fill="D9D9D9"/>
          </w:tcPr>
          <w:p w14:paraId="3A91EAF3">
            <w:pPr>
              <w:spacing w:before="120" w:after="120" w:line="240" w:lineRule="auto"/>
              <w:rPr>
                <w:b/>
                <w:bCs/>
              </w:rPr>
            </w:pPr>
            <w:r>
              <w:rPr>
                <w:b/>
                <w:bCs/>
              </w:rPr>
              <w:t xml:space="preserve">Current Cert. #999</w:t>
            </w:r>
          </w:p>
        </w:tc>
        <w:tc>
          <w:tcPr>
            <w:tcW w:type="auto" w:w="0"/>
            <w:shd w:val="clear" w:color="auto" w:fill="D9D9D9"/>
          </w:tcPr>
          <w:p w14:paraId="17C97188">
            <w:pPr>
              <w:spacing w:before="120" w:after="120" w:line="240" w:lineRule="auto"/>
              <w:rPr>
                <w:b/>
                <w:bCs/>
              </w:rPr>
            </w:pPr>
            <w:r>
              <w:rPr>
                <w:b/>
                <w:bCs/>
              </w:rPr>
              <w:t xml:space="preserve">Change Requested Cert. [#999 or new Cert]</w:t>
            </w:r>
          </w:p>
        </w:tc>
      </w:tr>
      <w:tr>
        <w:tc>
          <w:tcPr>
            <w:tcW w:type="auto" w:w="0"/>
            <w:shd w:val="clear" w:color="auto" w:fill="FFFFFF"/>
          </w:tcPr>
          <w:p w14:paraId="16BE4A60">
            <w:pPr>
              <w:spacing w:before="120" w:after="120" w:line="240" w:lineRule="auto"/>
            </w:pPr>
            <w:r>
              <w:t xml:space="preserve">Hardware Version</w:t>
            </w:r>
          </w:p>
        </w:tc>
        <w:tc>
          <w:tcPr>
            <w:tcW w:type="auto" w:w="0"/>
            <w:shd w:val="clear" w:color="auto" w:fill="FFFFFF"/>
          </w:tcPr>
          <w:p w14:paraId="5E6814BF">
            <w:pPr>
              <w:spacing w:before="120" w:after="120" w:line="240" w:lineRule="auto"/>
            </w:pPr>
            <w:r>
              <w:t xml:space="preserve">3.1</w:t>
            </w:r>
          </w:p>
        </w:tc>
        <w:tc>
          <w:tcPr>
            <w:tcW w:type="auto" w:w="0"/>
            <w:shd w:val="clear" w:color="auto" w:fill="FFFFFF"/>
          </w:tcPr>
          <w:p w14:paraId="1D38083D">
            <w:pPr>
              <w:spacing w:before="120" w:after="120" w:line="240" w:lineRule="auto"/>
            </w:pPr>
            <w:r>
              <w:t xml:space="preserve">3.1</w:t>
            </w:r>
            <w:r>
              <w:rPr>
                <w:highlight w:val="yellow"/>
              </w:rPr>
              <w:t xml:space="preserve">, 3.2</w:t>
            </w:r>
          </w:p>
        </w:tc>
      </w:tr>
      <w:tr>
        <w:tc>
          <w:tcPr>
            <w:tcW w:type="auto" w:w="0"/>
            <w:shd w:val="clear" w:color="auto" w:fill="FFFFFF"/>
          </w:tcPr>
          <w:p w14:paraId="0E45DBC3">
            <w:pPr>
              <w:spacing w:before="120" w:after="120" w:line="240" w:lineRule="auto"/>
            </w:pPr>
            <w:r>
              <w:t xml:space="preserve">Firmware Version</w:t>
            </w:r>
          </w:p>
        </w:tc>
        <w:tc>
          <w:tcPr>
            <w:tcW w:type="auto" w:w="0"/>
            <w:shd w:val="clear" w:color="auto" w:fill="FFFFFF"/>
          </w:tcPr>
          <w:p w14:paraId="5C39ACCB">
            <w:pPr>
              <w:spacing w:before="120" w:after="120" w:line="240" w:lineRule="auto"/>
            </w:pPr>
            <w:r>
              <w:rPr>
                <w:strike/>
                <w:color w:val="FF0000"/>
              </w:rPr>
              <w:t xml:space="preserve">a.1, b.1</w:t>
            </w:r>
          </w:p>
        </w:tc>
        <w:tc>
          <w:tcPr>
            <w:tcW w:type="auto" w:w="0"/>
            <w:shd w:val="clear" w:color="auto" w:fill="FFFFFF"/>
          </w:tcPr>
          <w:p w14:paraId="290C8E93">
            <w:pPr>
              <w:spacing w:before="120" w:after="120" w:line="240" w:lineRule="auto"/>
            </w:pPr>
            <w:r>
              <w:rPr>
                <w:highlight w:val="yellow"/>
              </w:rPr>
              <w:t xml:space="preserve">c.1</w:t>
            </w:r>
          </w:p>
        </w:tc>
      </w:tr>
      <w:tr>
        <w:tc>
          <w:tcPr>
            <w:tcW w:type="auto" w:w="0"/>
            <w:shd w:val="clear" w:color="auto" w:fill="FFFFFF"/>
          </w:tcPr>
          <w:p w14:paraId="7B3AC8A8">
            <w:pPr>
              <w:spacing w:before="120" w:after="120" w:line="240" w:lineRule="auto"/>
            </w:pPr>
            <w:r>
              <w:t xml:space="preserve">Product Link</w:t>
            </w:r>
          </w:p>
        </w:tc>
        <w:tc>
          <w:tcPr>
            <w:tcW w:type="auto" w:w="0"/>
            <w:shd w:val="clear" w:color="auto" w:fill="FFFFFF"/>
          </w:tcPr>
          <w:p w14:paraId="1F6BFC74">
            <w:pPr>
              <w:spacing w:before="120" w:after="120" w:line="240" w:lineRule="auto"/>
            </w:pPr>
            <w:hyperlink r:id="rIdLink11">
              <w:r>
                <w:rPr>
                  <w:rStyle w:val="Hyperlink"/>
                  <w:u w:val="single"/>
                  <w:color w:val="0000FF"/>
                </w:rPr>
                <w:t xml:space="preserve">www.product</w:t>
              </w:r>
            </w:hyperlink>
            <w:hyperlink r:id="rIdLink11">
              <w:r>
                <w:rPr>
                  <w:rStyle w:val="Hyperlink"/>
                  <w:u w:val="single"/>
                  <w:strike/>
                  <w:color w:val="FF0000"/>
                </w:rPr>
                <w:t xml:space="preserve">A</w:t>
              </w:r>
            </w:hyperlink>
            <w:hyperlink r:id="rIdLink11">
              <w:r>
                <w:rPr>
                  <w:rStyle w:val="Hyperlink"/>
                  <w:u w:val="single"/>
                  <w:color w:val="0000FF"/>
                </w:rPr>
                <w:t xml:space="preserve">.com</w:t>
              </w:r>
            </w:hyperlink>
          </w:p>
        </w:tc>
        <w:tc>
          <w:tcPr>
            <w:tcW w:type="auto" w:w="0"/>
            <w:shd w:val="clear" w:color="auto" w:fill="FFFFFF"/>
          </w:tcPr>
          <w:p w14:paraId="1930C5F3">
            <w:pPr>
              <w:spacing w:before="120" w:after="120" w:line="240" w:lineRule="auto"/>
            </w:pPr>
            <w:hyperlink r:id="rIdLink12">
              <w:r>
                <w:rPr>
                  <w:rStyle w:val="Hyperlink"/>
                  <w:u w:val="single"/>
                  <w:color w:val="0000FF"/>
                </w:rPr>
                <w:t xml:space="preserve">www.product</w:t>
              </w:r>
            </w:hyperlink>
            <w:hyperlink r:id="rIdLink12">
              <w:r>
                <w:rPr>
                  <w:rStyle w:val="Hyperlink"/>
                  <w:u w:val="single"/>
                  <w:color w:val="0000FF"/>
                  <w:highlight w:val="yellow"/>
                </w:rPr>
                <w:t xml:space="preserve">B</w:t>
              </w:r>
            </w:hyperlink>
            <w:hyperlink r:id="rIdLink12">
              <w:r>
                <w:rPr>
                  <w:rStyle w:val="Hyperlink"/>
                  <w:u w:val="single"/>
                  <w:color w:val="0000FF"/>
                </w:rPr>
                <w:t xml:space="preserve">.com</w:t>
              </w:r>
            </w:hyperlink>
          </w:p>
        </w:tc>
      </w:tr>
      <w:tr>
        <w:tc>
          <w:tcPr>
            <w:tcW w:type="auto" w:w="0"/>
            <w:shd w:val="clear" w:color="auto" w:fill="FFFFFF"/>
          </w:tcPr>
          <w:p w14:paraId="7896AE5B">
            <w:pPr>
              <w:spacing w:before="120" w:after="120" w:line="240" w:lineRule="auto"/>
            </w:pPr>
            <w:r>
              <w:t xml:space="preserve">Vendor Name</w:t>
            </w:r>
          </w:p>
        </w:tc>
        <w:tc>
          <w:tcPr>
            <w:tcW w:type="auto" w:w="0"/>
            <w:shd w:val="clear" w:color="auto" w:fill="FFFFFF"/>
          </w:tcPr>
          <w:p w14:paraId="1C0D1154">
            <w:pPr>
              <w:spacing w:before="120" w:after="120" w:line="240" w:lineRule="auto"/>
            </w:pPr>
            <w:r>
              <w:t xml:space="preserve">Vendor </w:t>
            </w:r>
            <w:r>
              <w:rPr>
                <w:strike/>
                <w:color w:val="FF0000"/>
              </w:rPr>
              <w:t xml:space="preserve">ABC</w:t>
            </w:r>
          </w:p>
        </w:tc>
        <w:tc>
          <w:tcPr>
            <w:tcW w:type="auto" w:w="0"/>
            <w:shd w:val="clear" w:color="auto" w:fill="FFFFFF"/>
          </w:tcPr>
          <w:p w14:paraId="47ABD058">
            <w:pPr>
              <w:spacing w:before="120" w:after="120" w:line="240" w:lineRule="auto"/>
            </w:pPr>
            <w:r>
              <w:t xml:space="preserve">Vendor </w:t>
            </w:r>
            <w:r>
              <w:rPr>
                <w:highlight w:val="yellow"/>
              </w:rPr>
              <w:t xml:space="preserve">DEF</w:t>
            </w:r>
          </w:p>
        </w:tc>
      </w:tr>
      <w:tr>
        <w:tc>
          <w:tcPr>
            <w:tcW w:type="auto" w:w="0"/>
            <w:shd w:val="clear" w:color="auto" w:fill="FFFFFF"/>
          </w:tcPr>
          <w:p w14:paraId="6DAF817A">
            <w:pPr>
              <w:spacing w:before="120" w:after="120" w:line="240" w:lineRule="auto"/>
            </w:pPr>
            <w:r>
              <w:t xml:space="preserve">Description</w:t>
            </w:r>
          </w:p>
        </w:tc>
        <w:tc>
          <w:tcPr>
            <w:tcW w:type="auto" w:w="0"/>
            <w:shd w:val="clear" w:color="auto" w:fill="FFFFFF"/>
          </w:tcPr>
          <w:p w14:paraId="0107169E">
            <w:pPr>
              <w:spacing w:before="120" w:after="120" w:line="240" w:lineRule="auto"/>
            </w:pPr>
          </w:p>
        </w:tc>
        <w:tc>
          <w:tcPr>
            <w:tcW w:type="auto" w:w="0"/>
            <w:shd w:val="clear" w:color="auto" w:fill="FFFFFF"/>
          </w:tcPr>
          <w:p w14:paraId="07FB5117">
            <w:pPr>
              <w:spacing w:before="120" w:after="120" w:line="240" w:lineRule="auto"/>
            </w:pPr>
          </w:p>
        </w:tc>
      </w:tr>
      <w:tr>
        <w:tc>
          <w:tcPr>
            <w:tcW w:type="auto" w:w="0"/>
            <w:shd w:val="clear" w:color="auto" w:fill="FFFFFF"/>
          </w:tcPr>
          <w:p w14:paraId="2B28BC8B">
            <w:pPr>
              <w:spacing w:before="120" w:after="120" w:line="240" w:lineRule="auto"/>
            </w:pPr>
            <w:r>
              <w:t xml:space="preserve">Caveat</w:t>
            </w:r>
          </w:p>
        </w:tc>
        <w:tc>
          <w:tcPr>
            <w:tcW w:type="auto" w:w="0"/>
            <w:shd w:val="clear" w:color="auto" w:fill="FFFFFF"/>
          </w:tcPr>
          <w:p w14:paraId="54D5E13C">
            <w:pPr>
              <w:spacing w:before="120" w:after="120" w:line="240" w:lineRule="auto"/>
            </w:pPr>
          </w:p>
        </w:tc>
        <w:tc>
          <w:tcPr>
            <w:tcW w:type="auto" w:w="0"/>
            <w:shd w:val="clear" w:color="auto" w:fill="FFFFFF"/>
          </w:tcPr>
          <w:p w14:paraId="2C2E923D">
            <w:pPr>
              <w:spacing w:before="120" w:after="120" w:line="240" w:lineRule="auto"/>
            </w:pPr>
          </w:p>
        </w:tc>
      </w:tr>
      <w:tr>
        <w:tc>
          <w:tcPr>
            <w:tcW w:type="auto" w:w="0"/>
            <w:shd w:val="clear" w:color="auto" w:fill="FFFFFF"/>
          </w:tcPr>
          <w:p w14:paraId="6BAB9F5B">
            <w:pPr>
              <w:spacing w:before="120" w:after="120" w:line="240" w:lineRule="auto"/>
            </w:pPr>
            <w:r>
              <w:t xml:space="preserve">Tested Configuration(s)</w:t>
            </w:r>
          </w:p>
        </w:tc>
        <w:tc>
          <w:tcPr>
            <w:tcW w:type="auto" w:w="0"/>
            <w:shd w:val="clear" w:color="auto" w:fill="FFFFFF"/>
          </w:tcPr>
          <w:p w14:paraId="320D5C5F">
            <w:pPr>
              <w:spacing w:before="120" w:after="120" w:line="240" w:lineRule="auto"/>
            </w:pPr>
          </w:p>
        </w:tc>
        <w:tc>
          <w:tcPr>
            <w:tcW w:type="auto" w:w="0"/>
            <w:shd w:val="clear" w:color="auto" w:fill="FFFFFF"/>
          </w:tcPr>
          <w:p w14:paraId="459D7B28">
            <w:pPr>
              <w:spacing w:before="120" w:after="120" w:line="240" w:lineRule="auto"/>
            </w:pPr>
          </w:p>
        </w:tc>
      </w:tr>
      <w:tr>
        <w:tc>
          <w:tcPr>
            <w:tcW w:type="auto" w:w="0"/>
            <w:shd w:val="clear" w:color="auto" w:fill="FFFFFF"/>
          </w:tcPr>
          <w:p w14:paraId="36B8B1AF">
            <w:pPr>
              <w:spacing w:before="120" w:after="120" w:line="240" w:lineRule="auto"/>
            </w:pPr>
            <w:r>
              <w:t xml:space="preserve">Etc.</w:t>
            </w:r>
          </w:p>
        </w:tc>
        <w:tc>
          <w:tcPr>
            <w:tcW w:type="auto" w:w="0"/>
            <w:shd w:val="clear" w:color="auto" w:fill="FFFFFF"/>
          </w:tcPr>
          <w:p w14:paraId="66856116">
            <w:pPr>
              <w:spacing w:before="120" w:after="120" w:line="240" w:lineRule="auto"/>
            </w:pPr>
          </w:p>
        </w:tc>
        <w:tc>
          <w:tcPr>
            <w:tcW w:type="auto" w:w="0"/>
            <w:shd w:val="clear" w:color="auto" w:fill="FFFFFF"/>
          </w:tcPr>
          <w:p w14:paraId="25EA7305">
            <w:pPr>
              <w:spacing w:before="120" w:after="120" w:line="240" w:lineRule="auto"/>
            </w:pPr>
          </w:p>
        </w:tc>
      </w:tr>
    </w:tbl>
    <w:p w14:paraId="3F43F4B7">
      <w:pPr>
        <w:spacing w:before="120" w:after="120" w:line="240" w:lineRule="auto"/>
        <w:rPr>
          <w:rFonts w:ascii="Times New Roman" w:hAnsi="Times New Roman" w:cs="Times New Roman" w:eastAsia="Times New Roman"/>
          <w:color w:val="000000"/>
          <w:sz w:val="20"/>
          <w:szCs w:val="20"/>
        </w:rPr>
      </w:pPr>
    </w:p>
    <w:p w14:paraId="610433E1">
      <w:pPr>
        <w:pStyle w:val="Heading2"/>
        <w:keepNext/>
        <w:keepLines/>
        <w:numPr>
          <w:ilvl w:val="1"/>
          <w:numId w:val="12"/>
        </w:numPr>
        <w:spacing w:before="120" w:after="120" w:line="240" w:lineRule="auto"/>
        <w:rPr>
          <w:rFonts w:eastAsia="Times New Roman"/>
        </w:rPr>
      </w:pPr>
      <w:bookmarkStart w:id="100017" w:name="_Toc226628122"/>
      <w:bookmarkEnd w:id="100017"/>
      <w:r>
        <w:rPr>
          <w:rFonts w:eastAsia="Times New Roman"/>
        </w:rPr>
        <w:t xml:space="preserve">Non-Br1 algorithm updates</w:t>
      </w:r>
    </w:p>
    <w:p w14:paraId="79471E6B">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Table 5 Approved Algorithms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004"/>
        <w:gridCol w:w="1759"/>
        <w:gridCol w:w="1677"/>
        <w:gridCol w:w="2512"/>
        <w:gridCol w:w="2038"/>
      </w:tblGrid>
      <w:tr>
        <w:tc>
          <w:tcPr>
            <w:tcW w:type="auto" w:w="0"/>
            <w:shd w:val="clear" w:color="auto" w:fill="D9D9D9"/>
          </w:tcPr>
          <w:p w14:paraId="3866ED5A">
            <w:pPr>
              <w:spacing w:before="120" w:after="120" w:line="240" w:lineRule="auto"/>
              <w:rPr>
                <w:b/>
                <w:bCs/>
              </w:rPr>
            </w:pPr>
            <w:r>
              <w:t xml:space="preserve">CAVP Cert</w:t>
            </w:r>
          </w:p>
        </w:tc>
        <w:tc>
          <w:tcPr>
            <w:tcW w:type="auto" w:w="0"/>
            <w:shd w:val="clear" w:color="auto" w:fill="D9D9D9"/>
          </w:tcPr>
          <w:p w14:paraId="5FAC608C">
            <w:pPr>
              <w:spacing w:before="120" w:after="120" w:line="240" w:lineRule="auto"/>
              <w:rPr>
                <w:b/>
                <w:bCs/>
              </w:rPr>
            </w:pPr>
            <w:r>
              <w:t xml:space="preserve">Algorithm and Standard</w:t>
            </w:r>
          </w:p>
        </w:tc>
        <w:tc>
          <w:tcPr>
            <w:tcW w:type="auto" w:w="0"/>
            <w:shd w:val="clear" w:color="auto" w:fill="D9D9D9"/>
          </w:tcPr>
          <w:p w14:paraId="7300C64E">
            <w:pPr>
              <w:spacing w:before="120" w:after="120" w:line="240" w:lineRule="auto"/>
              <w:rPr>
                <w:b/>
                <w:bCs/>
              </w:rPr>
            </w:pPr>
            <w:r>
              <w:t xml:space="preserve">Mode / Method</w:t>
            </w:r>
          </w:p>
        </w:tc>
        <w:tc>
          <w:tcPr>
            <w:tcW w:type="auto" w:w="0"/>
            <w:shd w:val="clear" w:color="auto" w:fill="D9D9D9"/>
          </w:tcPr>
          <w:p w14:paraId="7FC48A4E">
            <w:pPr>
              <w:spacing w:before="120" w:after="120" w:line="240" w:lineRule="auto"/>
              <w:rPr>
                <w:b/>
                <w:bCs/>
              </w:rPr>
            </w:pPr>
            <w:r>
              <w:t xml:space="preserve">Description/Key Size/Key Strength</w:t>
            </w:r>
          </w:p>
        </w:tc>
        <w:tc>
          <w:tcPr>
            <w:tcW w:type="auto" w:w="0"/>
            <w:shd w:val="clear" w:color="auto" w:fill="D9D9D9"/>
          </w:tcPr>
          <w:p w14:paraId="31FAC8CC">
            <w:pPr>
              <w:spacing w:before="120" w:after="120" w:line="240" w:lineRule="auto"/>
              <w:rPr>
                <w:b/>
                <w:bCs/>
              </w:rPr>
            </w:pPr>
            <w:r>
              <w:t xml:space="preserve">Use/Function</w:t>
            </w:r>
          </w:p>
        </w:tc>
      </w:tr>
      <w:tr>
        <w:tc>
          <w:tcPr>
            <w:tcW w:type="auto" w:w="0"/>
            <w:shd w:val="clear" w:color="auto" w:fill="FFFFFF"/>
          </w:tcPr>
          <w:p w14:paraId="086AD750">
            <w:pPr>
              <w:spacing w:before="120" w:after="120" w:line="240" w:lineRule="auto"/>
              <w:rPr>
                <w:strike/>
                <w:color w:val="FF0000"/>
              </w:rPr>
            </w:pPr>
            <w:r>
              <w:rPr>
                <w:strike/>
                <w:color w:val="FF0000"/>
              </w:rPr>
              <w:t xml:space="preserve">A99</w:t>
            </w:r>
          </w:p>
          <w:p w14:paraId="05D2D7D5">
            <w:pPr>
              <w:spacing w:before="120" w:after="120" w:line="240" w:lineRule="auto"/>
            </w:pPr>
            <w:r>
              <w:rPr>
                <w:highlight w:val="yellow"/>
              </w:rPr>
              <w:t xml:space="preserve">A100</w:t>
            </w:r>
          </w:p>
        </w:tc>
        <w:tc>
          <w:tcPr>
            <w:tcW w:type="auto" w:w="0"/>
            <w:shd w:val="clear" w:color="auto" w:fill="FFFFFF"/>
          </w:tcPr>
          <w:p w14:paraId="04AEA999">
            <w:pPr>
              <w:spacing w:before="120" w:after="120" w:line="240" w:lineRule="auto"/>
            </w:pPr>
            <w:r>
              <w:t xml:space="preserve">HMAC DRBG</w:t>
            </w:r>
          </w:p>
        </w:tc>
        <w:tc>
          <w:tcPr>
            <w:tcW w:type="auto" w:w="0"/>
            <w:shd w:val="clear" w:color="auto" w:fill="FFFFFF"/>
          </w:tcPr>
          <w:p w14:paraId="3BAD144B">
            <w:pPr>
              <w:spacing w:before="120" w:after="120" w:line="240" w:lineRule="auto"/>
            </w:pPr>
            <w:r>
              <w:t xml:space="preserve">HMAC with SHA2-256</w:t>
            </w:r>
          </w:p>
        </w:tc>
        <w:tc>
          <w:tcPr>
            <w:tcW w:type="auto" w:w="0"/>
            <w:shd w:val="clear" w:color="auto" w:fill="FFFFFF"/>
          </w:tcPr>
          <w:p w14:paraId="79F0668C">
            <w:pPr>
              <w:spacing w:before="120" w:after="120" w:line="240" w:lineRule="auto"/>
            </w:pPr>
            <w:r>
              <w:t xml:space="preserve">Key strength of 256 bits</w:t>
            </w:r>
          </w:p>
        </w:tc>
        <w:tc>
          <w:tcPr>
            <w:tcW w:type="auto" w:w="0"/>
            <w:shd w:val="clear" w:color="auto" w:fill="FFFFFF"/>
          </w:tcPr>
          <w:p w14:paraId="169AF8E1">
            <w:pPr>
              <w:spacing w:before="120" w:after="120" w:line="240" w:lineRule="auto"/>
            </w:pPr>
            <w:r>
              <w:t xml:space="preserve">Random number generation</w:t>
            </w:r>
          </w:p>
        </w:tc>
      </w:tr>
      <w:tr>
        <w:tc>
          <w:tcPr>
            <w:tcW w:type="auto" w:w="0"/>
            <w:gridSpan w:val="5"/>
            <w:shd w:val="clear" w:color="auto" w:fill="FFFFFF"/>
          </w:tcPr>
          <w:p w14:paraId="12C901ED">
            <w:pPr>
              <w:spacing w:before="120" w:after="120" w:line="240" w:lineRule="auto"/>
              <w:jc w:val="center"/>
            </w:pPr>
            <w:r>
              <w:rPr>
                <w:b/>
                <w:bCs/>
              </w:rPr>
              <w:t xml:space="preserve">OR</w:t>
            </w:r>
            <w:r>
              <w:t xml:space="preserve"> </w:t>
            </w:r>
          </w:p>
          <w:p w14:paraId="445BA701">
            <w:pPr>
              <w:spacing w:before="120" w:after="120" w:line="240" w:lineRule="auto"/>
              <w:jc w:val="center"/>
              <w:rPr>
                <w:b/>
                <w:bCs/>
                <w:highlight w:val="yellow"/>
              </w:rPr>
            </w:pPr>
            <w:r>
              <w:t xml:space="preserve">(which ever method is clearer for the given changes)</w:t>
            </w:r>
          </w:p>
        </w:tc>
      </w:tr>
      <w:tr>
        <w:tc>
          <w:tcPr>
            <w:tcW w:type="auto" w:w="0"/>
            <w:shd w:val="clear" w:color="auto" w:fill="FFFFFF"/>
          </w:tcPr>
          <w:p w14:paraId="4EC37C65">
            <w:pPr>
              <w:spacing w:before="120" w:after="120" w:line="240" w:lineRule="auto"/>
              <w:rPr>
                <w:strike/>
                <w:color w:val="FF0000"/>
              </w:rPr>
            </w:pPr>
            <w:r>
              <w:rPr>
                <w:strike/>
                <w:color w:val="FF0000"/>
              </w:rPr>
              <w:t xml:space="preserve">A99</w:t>
            </w:r>
          </w:p>
        </w:tc>
        <w:tc>
          <w:tcPr>
            <w:tcW w:type="auto" w:w="0"/>
            <w:shd w:val="clear" w:color="auto" w:fill="FFFFFF"/>
          </w:tcPr>
          <w:p w14:paraId="3C880C5A">
            <w:pPr>
              <w:spacing w:before="120" w:after="120" w:line="240" w:lineRule="auto"/>
              <w:rPr>
                <w:strike/>
                <w:color w:val="FF0000"/>
                <w:highlight w:val="yellow"/>
              </w:rPr>
            </w:pPr>
            <w:r>
              <w:rPr>
                <w:strike/>
                <w:color w:val="FF0000"/>
              </w:rPr>
              <w:t xml:space="preserve">HMAC DRBG</w:t>
            </w:r>
          </w:p>
        </w:tc>
        <w:tc>
          <w:tcPr>
            <w:tcW w:type="auto" w:w="0"/>
            <w:shd w:val="clear" w:color="auto" w:fill="FFFFFF"/>
          </w:tcPr>
          <w:p w14:paraId="4A4EB47B">
            <w:pPr>
              <w:spacing w:before="120" w:after="120" w:line="240" w:lineRule="auto"/>
              <w:rPr>
                <w:strike/>
                <w:color w:val="FF0000"/>
                <w:highlight w:val="yellow"/>
              </w:rPr>
            </w:pPr>
            <w:r>
              <w:rPr>
                <w:strike/>
                <w:color w:val="FF0000"/>
              </w:rPr>
              <w:t xml:space="preserve">HMAC with SHA2-256</w:t>
            </w:r>
          </w:p>
        </w:tc>
        <w:tc>
          <w:tcPr>
            <w:tcW w:type="auto" w:w="0"/>
            <w:shd w:val="clear" w:color="auto" w:fill="FFFFFF"/>
          </w:tcPr>
          <w:p w14:paraId="486EC014">
            <w:pPr>
              <w:spacing w:before="120" w:after="120" w:line="240" w:lineRule="auto"/>
              <w:rPr>
                <w:strike/>
                <w:color w:val="FF0000"/>
                <w:highlight w:val="yellow"/>
              </w:rPr>
            </w:pPr>
            <w:r>
              <w:rPr>
                <w:strike/>
                <w:color w:val="FF0000"/>
              </w:rPr>
              <w:t xml:space="preserve">Key strength of 256 bits</w:t>
            </w:r>
          </w:p>
        </w:tc>
        <w:tc>
          <w:tcPr>
            <w:tcW w:type="auto" w:w="0"/>
            <w:shd w:val="clear" w:color="auto" w:fill="FFFFFF"/>
          </w:tcPr>
          <w:p w14:paraId="5BCBA099">
            <w:pPr>
              <w:spacing w:before="120" w:after="120" w:line="240" w:lineRule="auto"/>
              <w:rPr>
                <w:strike/>
                <w:color w:val="FF0000"/>
                <w:highlight w:val="yellow"/>
              </w:rPr>
            </w:pPr>
            <w:r>
              <w:rPr>
                <w:strike/>
                <w:color w:val="FF0000"/>
              </w:rPr>
              <w:t xml:space="preserve">Random number generation</w:t>
            </w:r>
          </w:p>
        </w:tc>
      </w:tr>
      <w:tr>
        <w:tc>
          <w:tcPr>
            <w:tcW w:type="auto" w:w="0"/>
            <w:shd w:val="clear" w:color="auto" w:fill="FFFFFF"/>
          </w:tcPr>
          <w:p w14:paraId="0E5F0F25">
            <w:pPr>
              <w:spacing w:before="120" w:after="120" w:line="240" w:lineRule="auto"/>
              <w:rPr>
                <w:highlight w:val="yellow"/>
              </w:rPr>
            </w:pPr>
            <w:r>
              <w:rPr>
                <w:highlight w:val="yellow"/>
              </w:rPr>
              <w:t xml:space="preserve">A100</w:t>
            </w:r>
          </w:p>
        </w:tc>
        <w:tc>
          <w:tcPr>
            <w:tcW w:type="auto" w:w="0"/>
            <w:shd w:val="clear" w:color="auto" w:fill="FFFFFF"/>
          </w:tcPr>
          <w:p w14:paraId="6FD4A567">
            <w:pPr>
              <w:spacing w:before="120" w:after="120" w:line="240" w:lineRule="auto"/>
              <w:rPr>
                <w:highlight w:val="yellow"/>
              </w:rPr>
            </w:pPr>
            <w:r>
              <w:rPr>
                <w:highlight w:val="yellow"/>
              </w:rPr>
              <w:t xml:space="preserve">HMAC DRBG</w:t>
            </w:r>
          </w:p>
        </w:tc>
        <w:tc>
          <w:tcPr>
            <w:tcW w:type="auto" w:w="0"/>
            <w:shd w:val="clear" w:color="auto" w:fill="FFFFFF"/>
          </w:tcPr>
          <w:p w14:paraId="4BDA4BA4">
            <w:pPr>
              <w:spacing w:before="120" w:after="120" w:line="240" w:lineRule="auto"/>
              <w:rPr>
                <w:highlight w:val="yellow"/>
              </w:rPr>
            </w:pPr>
            <w:r>
              <w:rPr>
                <w:highlight w:val="yellow"/>
              </w:rPr>
              <w:t xml:space="preserve">HMAC with SHA2-256</w:t>
            </w:r>
          </w:p>
        </w:tc>
        <w:tc>
          <w:tcPr>
            <w:tcW w:type="auto" w:w="0"/>
            <w:shd w:val="clear" w:color="auto" w:fill="FFFFFF"/>
          </w:tcPr>
          <w:p w14:paraId="1094A9B9">
            <w:pPr>
              <w:spacing w:before="120" w:after="120" w:line="240" w:lineRule="auto"/>
              <w:rPr>
                <w:highlight w:val="yellow"/>
              </w:rPr>
            </w:pPr>
            <w:r>
              <w:rPr>
                <w:highlight w:val="yellow"/>
              </w:rPr>
              <w:t xml:space="preserve">Key strength of 256 bits</w:t>
            </w:r>
          </w:p>
        </w:tc>
        <w:tc>
          <w:tcPr>
            <w:tcW w:type="auto" w:w="0"/>
            <w:shd w:val="clear" w:color="auto" w:fill="FFFFFF"/>
          </w:tcPr>
          <w:p w14:paraId="323FDB33">
            <w:pPr>
              <w:spacing w:before="120" w:after="120" w:line="240" w:lineRule="auto"/>
              <w:rPr>
                <w:highlight w:val="yellow"/>
              </w:rPr>
            </w:pPr>
            <w:r>
              <w:rPr>
                <w:highlight w:val="yellow"/>
              </w:rPr>
              <w:t xml:space="preserve">Random number generation</w:t>
            </w:r>
          </w:p>
        </w:tc>
      </w:tr>
    </w:tbl>
    <w:p w14:paraId="793DEA63">
      <w:pPr>
        <w:spacing w:after="160" w:line="259" w:lineRule="auto"/>
        <w:rPr>
          <w:rFonts w:ascii="Times New Roman" w:hAnsi="Times New Roman" w:cs="Times New Roman" w:eastAsia="Times New Roman"/>
        </w:rPr>
      </w:pPr>
    </w:p>
    <w:p w14:paraId="5755D5C5">
      <w:pPr>
        <w:spacing w:after="160" w:line="259" w:lineRule="auto"/>
        <w:rPr>
          <w:rFonts w:ascii="Times New Roman" w:hAnsi="Times New Roman" w:cs="Times New Roman" w:eastAsia="Times New Roman"/>
        </w:rPr>
      </w:pPr>
    </w:p>
    <w:p w14:paraId="12F6BF82">
      <w:pPr>
        <w:spacing w:after="160" w:line="259" w:lineRule="auto"/>
        <w:rPr>
          <w:rFonts w:ascii="Times New Roman" w:hAnsi="Times New Roman" w:cs="Times New Roman" w:eastAsia="Times New Roman"/>
          <w:u w:val="single"/>
        </w:rPr>
      </w:pPr>
      <w:r>
        <w:rPr>
          <w:rFonts w:ascii="Times New Roman" w:hAnsi="Times New Roman" w:cs="Times New Roman" w:eastAsia="Times New Roman"/>
          <w:u w:val="single"/>
        </w:rPr>
        <w:t xml:space="preserve">Same rules apply for other algorithm tables:</w:t>
      </w:r>
    </w:p>
    <w:p w14:paraId="1F1DA902">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Table 6: Vendor affirmed approved algorithms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050"/>
        <w:gridCol w:w="772"/>
        <w:gridCol w:w="1294"/>
      </w:tblGrid>
      <w:tr>
        <w:tc>
          <w:tcPr>
            <w:tcW w:type="auto" w:w="0"/>
            <w:shd w:val="clear" w:color="auto" w:fill="D9D9D9"/>
          </w:tcPr>
          <w:p w14:paraId="4FE96FD7">
            <w:pPr>
              <w:spacing w:before="120" w:after="120" w:line="240" w:lineRule="auto"/>
              <w:rPr>
                <w:b/>
                <w:bCs/>
              </w:rPr>
            </w:pPr>
            <w:r>
              <w:t xml:space="preserve">Algorithm</w:t>
            </w:r>
          </w:p>
        </w:tc>
        <w:tc>
          <w:tcPr>
            <w:tcW w:type="auto" w:w="0"/>
            <w:shd w:val="clear" w:color="auto" w:fill="D9D9D9"/>
          </w:tcPr>
          <w:p w14:paraId="49747B33">
            <w:pPr>
              <w:spacing w:before="120" w:after="120" w:line="240" w:lineRule="auto"/>
              <w:rPr>
                <w:b/>
                <w:bCs/>
              </w:rPr>
            </w:pPr>
            <w:r>
              <w:t xml:space="preserve">Caveat</w:t>
            </w:r>
          </w:p>
        </w:tc>
        <w:tc>
          <w:tcPr>
            <w:tcW w:type="auto" w:w="0"/>
            <w:shd w:val="clear" w:color="auto" w:fill="D9D9D9"/>
          </w:tcPr>
          <w:p w14:paraId="14A7232E">
            <w:pPr>
              <w:spacing w:before="120" w:after="120" w:line="240" w:lineRule="auto"/>
            </w:pPr>
            <w:r>
              <w:t xml:space="preserve">Use/Function</w:t>
            </w:r>
          </w:p>
        </w:tc>
      </w:tr>
      <w:tr>
        <w:tc>
          <w:tcPr>
            <w:tcW w:type="auto" w:w="0"/>
            <w:shd w:val="clear" w:color="auto" w:fill="FFFFFF"/>
          </w:tcPr>
          <w:p w14:paraId="134F508D">
            <w:pPr>
              <w:spacing w:before="120" w:after="120" w:line="240" w:lineRule="auto"/>
            </w:pPr>
          </w:p>
        </w:tc>
        <w:tc>
          <w:tcPr>
            <w:tcW w:type="auto" w:w="0"/>
            <w:shd w:val="clear" w:color="auto" w:fill="FFFFFF"/>
          </w:tcPr>
          <w:p w14:paraId="64D1F2EF">
            <w:pPr>
              <w:spacing w:before="120" w:after="120" w:line="240" w:lineRule="auto"/>
            </w:pPr>
          </w:p>
        </w:tc>
        <w:tc>
          <w:tcPr>
            <w:tcW w:type="auto" w:w="0"/>
            <w:shd w:val="clear" w:color="auto" w:fill="FFFFFF"/>
          </w:tcPr>
          <w:p w14:paraId="6561A020">
            <w:pPr>
              <w:spacing w:before="120" w:after="120" w:line="240" w:lineRule="auto"/>
            </w:pPr>
          </w:p>
        </w:tc>
      </w:tr>
    </w:tbl>
    <w:p w14:paraId="1F1F11A0">
      <w:pPr>
        <w:spacing w:after="160" w:line="259" w:lineRule="auto"/>
        <w:rPr>
          <w:rFonts w:ascii="Times New Roman" w:hAnsi="Times New Roman" w:cs="Times New Roman" w:eastAsia="Times New Roman"/>
        </w:rPr>
      </w:pPr>
    </w:p>
    <w:p w14:paraId="05F3E219">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Table 7: Non-Approved Algorithms Allowed in the Approved Mode of Operation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133"/>
        <w:gridCol w:w="827"/>
        <w:gridCol w:w="1402"/>
      </w:tblGrid>
      <w:tr>
        <w:tc>
          <w:tcPr>
            <w:tcW w:type="auto" w:w="0"/>
            <w:shd w:val="clear" w:color="auto" w:fill="D9D9D9"/>
          </w:tcPr>
          <w:p w14:paraId="78358AAE">
            <w:pPr>
              <w:spacing w:after="160" w:line="259" w:lineRule="auto"/>
              <w:rPr>
                <w:b/>
                <w:bCs/>
                <w:sz w:val="22"/>
                <w:szCs w:val="22"/>
              </w:rPr>
            </w:pPr>
            <w:r>
              <w:rPr>
                <w:sz w:val="22"/>
                <w:szCs w:val="22"/>
              </w:rPr>
              <w:t xml:space="preserve">Algorithm</w:t>
            </w:r>
          </w:p>
        </w:tc>
        <w:tc>
          <w:tcPr>
            <w:tcW w:type="auto" w:w="0"/>
            <w:shd w:val="clear" w:color="auto" w:fill="D9D9D9"/>
          </w:tcPr>
          <w:p w14:paraId="39163EDB">
            <w:pPr>
              <w:spacing w:after="160" w:line="259" w:lineRule="auto"/>
              <w:rPr>
                <w:b/>
                <w:bCs/>
                <w:sz w:val="22"/>
                <w:szCs w:val="22"/>
              </w:rPr>
            </w:pPr>
            <w:r>
              <w:rPr>
                <w:sz w:val="22"/>
                <w:szCs w:val="22"/>
              </w:rPr>
              <w:t xml:space="preserve">Caveat</w:t>
            </w:r>
          </w:p>
        </w:tc>
        <w:tc>
          <w:tcPr>
            <w:tcW w:type="auto" w:w="0"/>
            <w:shd w:val="clear" w:color="auto" w:fill="D9D9D9"/>
          </w:tcPr>
          <w:p w14:paraId="257624F6">
            <w:pPr>
              <w:spacing w:after="160" w:line="259" w:lineRule="auto"/>
              <w:rPr>
                <w:sz w:val="22"/>
                <w:szCs w:val="22"/>
              </w:rPr>
            </w:pPr>
            <w:r>
              <w:rPr>
                <w:sz w:val="22"/>
                <w:szCs w:val="22"/>
              </w:rPr>
              <w:t xml:space="preserve">Use/Function</w:t>
            </w:r>
          </w:p>
        </w:tc>
      </w:tr>
      <w:tr>
        <w:tc>
          <w:tcPr>
            <w:tcW w:type="auto" w:w="0"/>
            <w:shd w:val="clear" w:color="auto" w:fill="FFFFFF"/>
          </w:tcPr>
          <w:p w14:paraId="598AFA1C">
            <w:pPr>
              <w:spacing w:after="160" w:line="259" w:lineRule="auto"/>
              <w:rPr>
                <w:sz w:val="22"/>
                <w:szCs w:val="22"/>
              </w:rPr>
            </w:pPr>
          </w:p>
        </w:tc>
        <w:tc>
          <w:tcPr>
            <w:tcW w:type="auto" w:w="0"/>
            <w:shd w:val="clear" w:color="auto" w:fill="FFFFFF"/>
          </w:tcPr>
          <w:p w14:paraId="43A9E0EF">
            <w:pPr>
              <w:spacing w:after="160" w:line="259" w:lineRule="auto"/>
              <w:rPr>
                <w:sz w:val="22"/>
                <w:szCs w:val="22"/>
              </w:rPr>
            </w:pPr>
          </w:p>
        </w:tc>
        <w:tc>
          <w:tcPr>
            <w:tcW w:type="auto" w:w="0"/>
            <w:shd w:val="clear" w:color="auto" w:fill="FFFFFF"/>
          </w:tcPr>
          <w:p w14:paraId="672705B7">
            <w:pPr>
              <w:spacing w:after="160" w:line="259" w:lineRule="auto"/>
              <w:rPr>
                <w:sz w:val="22"/>
                <w:szCs w:val="22"/>
              </w:rPr>
            </w:pPr>
          </w:p>
        </w:tc>
      </w:tr>
    </w:tbl>
    <w:p w14:paraId="7F0A2190">
      <w:pPr>
        <w:spacing w:after="160" w:line="259" w:lineRule="auto"/>
        <w:rPr>
          <w:rFonts w:ascii="Times New Roman" w:hAnsi="Times New Roman" w:cs="Times New Roman" w:eastAsia="Times New Roman"/>
        </w:rPr>
      </w:pPr>
    </w:p>
    <w:p w14:paraId="42B6938A">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Table 9: Security function implementation (SFI)</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694"/>
        <w:gridCol w:w="627"/>
        <w:gridCol w:w="1150"/>
        <w:gridCol w:w="1628"/>
        <w:gridCol w:w="2111"/>
      </w:tblGrid>
      <w:tr>
        <w:tc>
          <w:tcPr>
            <w:tcW w:type="auto" w:w="0"/>
            <w:shd w:val="clear" w:color="auto" w:fill="D9D9D9"/>
          </w:tcPr>
          <w:p w14:paraId="7146E348">
            <w:pPr>
              <w:spacing w:before="120" w:after="120" w:line="240" w:lineRule="auto"/>
              <w:rPr>
                <w:b/>
                <w:bCs/>
              </w:rPr>
            </w:pPr>
            <w:r>
              <w:t xml:space="preserve">Name</w:t>
            </w:r>
          </w:p>
        </w:tc>
        <w:tc>
          <w:tcPr>
            <w:tcW w:type="auto" w:w="0"/>
            <w:shd w:val="clear" w:color="auto" w:fill="D9D9D9"/>
          </w:tcPr>
          <w:p w14:paraId="478A2C4E">
            <w:pPr>
              <w:spacing w:before="120" w:after="120" w:line="240" w:lineRule="auto"/>
              <w:rPr>
                <w:b/>
                <w:bCs/>
              </w:rPr>
            </w:pPr>
            <w:r>
              <w:t xml:space="preserve">Type</w:t>
            </w:r>
          </w:p>
        </w:tc>
        <w:tc>
          <w:tcPr>
            <w:tcW w:type="auto" w:w="0"/>
            <w:shd w:val="clear" w:color="auto" w:fill="D9D9D9"/>
          </w:tcPr>
          <w:p w14:paraId="1AD27C96">
            <w:pPr>
              <w:spacing w:before="120" w:after="120" w:line="240" w:lineRule="auto"/>
              <w:rPr>
                <w:b/>
                <w:bCs/>
              </w:rPr>
            </w:pPr>
            <w:r>
              <w:t xml:space="preserve">Description</w:t>
            </w:r>
          </w:p>
        </w:tc>
        <w:tc>
          <w:tcPr>
            <w:tcW w:type="auto" w:w="0"/>
            <w:shd w:val="clear" w:color="auto" w:fill="D9D9D9"/>
          </w:tcPr>
          <w:p w14:paraId="18024E93">
            <w:pPr>
              <w:spacing w:before="120" w:after="120" w:line="240" w:lineRule="auto"/>
              <w:rPr>
                <w:b/>
                <w:bCs/>
              </w:rPr>
            </w:pPr>
            <w:r>
              <w:t xml:space="preserve">SF Properties [O]</w:t>
            </w:r>
          </w:p>
        </w:tc>
        <w:tc>
          <w:tcPr>
            <w:tcW w:type="auto" w:w="0"/>
            <w:shd w:val="clear" w:color="auto" w:fill="D9D9D9"/>
          </w:tcPr>
          <w:p w14:paraId="2B8D2D34">
            <w:pPr>
              <w:spacing w:before="120" w:after="120" w:line="240" w:lineRule="auto"/>
              <w:rPr>
                <w:b/>
                <w:bCs/>
              </w:rPr>
            </w:pPr>
            <w:r>
              <w:t xml:space="preserve">Algorithms/CAVP Cert</w:t>
            </w:r>
          </w:p>
        </w:tc>
      </w:tr>
      <w:tr>
        <w:tc>
          <w:tcPr>
            <w:tcW w:type="auto" w:w="0"/>
            <w:shd w:val="clear" w:color="auto" w:fill="FFFFFF"/>
          </w:tcPr>
          <w:p w14:paraId="7DE44534">
            <w:pPr>
              <w:spacing w:before="120" w:after="120" w:line="240" w:lineRule="auto"/>
            </w:pPr>
          </w:p>
        </w:tc>
        <w:tc>
          <w:tcPr>
            <w:tcW w:type="auto" w:w="0"/>
            <w:shd w:val="clear" w:color="auto" w:fill="FFFFFF"/>
          </w:tcPr>
          <w:p w14:paraId="393FC4A4">
            <w:pPr>
              <w:spacing w:before="120" w:after="120" w:line="240" w:lineRule="auto"/>
            </w:pPr>
          </w:p>
        </w:tc>
        <w:tc>
          <w:tcPr>
            <w:tcW w:type="auto" w:w="0"/>
            <w:shd w:val="clear" w:color="auto" w:fill="FFFFFF"/>
          </w:tcPr>
          <w:p w14:paraId="5E679F05">
            <w:pPr>
              <w:spacing w:before="120" w:after="120" w:line="240" w:lineRule="auto"/>
            </w:pPr>
          </w:p>
        </w:tc>
        <w:tc>
          <w:tcPr>
            <w:tcW w:type="auto" w:w="0"/>
            <w:shd w:val="clear" w:color="auto" w:fill="FFFFFF"/>
          </w:tcPr>
          <w:p w14:paraId="484C5BAE">
            <w:pPr>
              <w:spacing w:before="120" w:after="120" w:line="240" w:lineRule="auto"/>
            </w:pPr>
          </w:p>
        </w:tc>
        <w:tc>
          <w:tcPr>
            <w:tcW w:type="auto" w:w="0"/>
            <w:shd w:val="clear" w:color="auto" w:fill="FFFFFF"/>
          </w:tcPr>
          <w:p w14:paraId="34660C63">
            <w:pPr>
              <w:spacing w:before="120" w:after="120" w:line="240" w:lineRule="auto"/>
            </w:pPr>
          </w:p>
        </w:tc>
      </w:tr>
      <w:tr>
        <w:tc>
          <w:tcPr>
            <w:tcW w:type="auto" w:w="0"/>
            <w:shd w:val="clear" w:color="auto" w:fill="FFFFFF"/>
          </w:tcPr>
          <w:p w14:paraId="7BA6383E">
            <w:pPr>
              <w:spacing w:before="120" w:after="120" w:line="240" w:lineRule="auto"/>
            </w:pPr>
          </w:p>
        </w:tc>
        <w:tc>
          <w:tcPr>
            <w:tcW w:type="auto" w:w="0"/>
            <w:shd w:val="clear" w:color="auto" w:fill="FFFFFF"/>
          </w:tcPr>
          <w:p w14:paraId="32C89C0F">
            <w:pPr>
              <w:spacing w:before="120" w:after="120" w:line="240" w:lineRule="auto"/>
            </w:pPr>
          </w:p>
        </w:tc>
        <w:tc>
          <w:tcPr>
            <w:tcW w:type="auto" w:w="0"/>
            <w:shd w:val="clear" w:color="auto" w:fill="FFFFFF"/>
          </w:tcPr>
          <w:p w14:paraId="5517B6E7">
            <w:pPr>
              <w:spacing w:before="120" w:after="120" w:line="240" w:lineRule="auto"/>
            </w:pPr>
          </w:p>
        </w:tc>
        <w:tc>
          <w:tcPr>
            <w:tcW w:type="auto" w:w="0"/>
            <w:shd w:val="clear" w:color="auto" w:fill="FFFFFF"/>
          </w:tcPr>
          <w:p w14:paraId="09D09264">
            <w:pPr>
              <w:spacing w:before="120" w:after="120" w:line="240" w:lineRule="auto"/>
            </w:pPr>
          </w:p>
        </w:tc>
        <w:tc>
          <w:tcPr>
            <w:tcW w:type="auto" w:w="0"/>
            <w:shd w:val="clear" w:color="auto" w:fill="FFFFFF"/>
          </w:tcPr>
          <w:p w14:paraId="218CAAF8">
            <w:pPr>
              <w:spacing w:before="120" w:after="120" w:line="240" w:lineRule="auto"/>
            </w:pPr>
          </w:p>
        </w:tc>
      </w:tr>
    </w:tbl>
    <w:p w14:paraId="6EBB9F43">
      <w:pPr>
        <w:spacing w:after="160" w:line="259" w:lineRule="auto"/>
        <w:rPr>
          <w:rFonts w:ascii="Times New Roman" w:hAnsi="Times New Roman" w:cs="Times New Roman" w:eastAsia="Times New Roman"/>
        </w:rPr>
      </w:pPr>
    </w:p>
    <w:p w14:paraId="2ED9C47A">
      <w:pPr>
        <w:pStyle w:val="Heading2"/>
        <w:keepNext/>
        <w:keepLines/>
        <w:numPr>
          <w:ilvl w:val="1"/>
          <w:numId w:val="12"/>
        </w:numPr>
        <w:spacing w:before="120" w:after="120" w:line="240" w:lineRule="auto"/>
        <w:rPr>
          <w:rFonts w:eastAsia="Times New Roman"/>
        </w:rPr>
      </w:pPr>
      <w:bookmarkStart w:id="100018" w:name="_Toc226628123"/>
      <w:bookmarkEnd w:id="100018"/>
      <w:r>
        <w:rPr>
          <w:rFonts w:eastAsia="Times New Roman"/>
        </w:rPr>
        <w:t xml:space="preserve">Br1 algorithm updates</w:t>
      </w:r>
    </w:p>
    <w:p w14:paraId="73534EF7">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Approved Algorithms (Security Policy section 2.5)</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061"/>
        <w:gridCol w:w="1144"/>
        <w:gridCol w:w="4782"/>
        <w:gridCol w:w="1200"/>
      </w:tblGrid>
      <w:tr>
        <w:tc>
          <w:tcPr>
            <w:tcW w:type="auto" w:w="0"/>
            <w:shd w:val="clear" w:color="auto" w:fill="D9D9D9"/>
          </w:tcPr>
          <w:p w14:paraId="5E0940FB">
            <w:pPr>
              <w:spacing w:before="120" w:after="120" w:line="240" w:lineRule="auto"/>
              <w:rPr>
                <w:b/>
                <w:bCs/>
              </w:rPr>
            </w:pPr>
            <w:r>
              <w:t xml:space="preserve">Algorithm</w:t>
            </w:r>
          </w:p>
        </w:tc>
        <w:tc>
          <w:tcPr>
            <w:tcW w:type="auto" w:w="0"/>
            <w:shd w:val="clear" w:color="auto" w:fill="D9D9D9"/>
          </w:tcPr>
          <w:p w14:paraId="240EC2B7">
            <w:pPr>
              <w:spacing w:before="120" w:after="120" w:line="240" w:lineRule="auto"/>
              <w:rPr>
                <w:b/>
                <w:bCs/>
              </w:rPr>
            </w:pPr>
            <w:r>
              <w:t xml:space="preserve">CAVP Cert</w:t>
            </w:r>
          </w:p>
        </w:tc>
        <w:tc>
          <w:tcPr>
            <w:tcW w:type="auto" w:w="0"/>
            <w:shd w:val="clear" w:color="auto" w:fill="D9D9D9"/>
          </w:tcPr>
          <w:p w14:paraId="65509EAD">
            <w:pPr>
              <w:spacing w:before="120" w:after="120" w:line="240" w:lineRule="auto"/>
            </w:pPr>
            <w:r>
              <w:t xml:space="preserve">Properties</w:t>
            </w:r>
          </w:p>
        </w:tc>
        <w:tc>
          <w:tcPr>
            <w:tcW w:type="auto" w:w="0"/>
            <w:shd w:val="clear" w:color="auto" w:fill="D9D9D9"/>
          </w:tcPr>
          <w:p w14:paraId="60E43587">
            <w:pPr>
              <w:spacing w:before="120" w:after="120" w:line="240" w:lineRule="auto"/>
              <w:rPr>
                <w:b/>
                <w:bCs/>
              </w:rPr>
            </w:pPr>
            <w:r>
              <w:t xml:space="preserve">Reference</w:t>
            </w:r>
          </w:p>
        </w:tc>
      </w:tr>
      <w:tr>
        <w:tc>
          <w:tcPr>
            <w:tcW w:type="auto" w:w="0"/>
            <w:shd w:val="clear" w:color="auto" w:fill="FFFFFF"/>
          </w:tcPr>
          <w:p w14:paraId="79BE6228">
            <w:pPr>
              <w:spacing w:before="120" w:after="120" w:line="240" w:lineRule="auto"/>
            </w:pPr>
            <w:r>
              <w:t xml:space="preserve">AES-CBC</w:t>
            </w:r>
          </w:p>
        </w:tc>
        <w:tc>
          <w:tcPr>
            <w:tcW w:type="auto" w:w="0"/>
            <w:shd w:val="clear" w:color="auto" w:fill="FFFFFF"/>
          </w:tcPr>
          <w:p w14:paraId="17C892F8">
            <w:pPr>
              <w:spacing w:before="120" w:after="120" w:line="240" w:lineRule="auto"/>
              <w:rPr>
                <w:strike/>
                <w:color w:val="FF0000"/>
              </w:rPr>
            </w:pPr>
            <w:r>
              <w:rPr>
                <w:strike/>
                <w:color w:val="FF0000"/>
              </w:rPr>
              <w:t xml:space="preserve">A99</w:t>
            </w:r>
          </w:p>
          <w:p w14:paraId="04BAE015">
            <w:pPr>
              <w:spacing w:before="120" w:after="120" w:line="240" w:lineRule="auto"/>
            </w:pPr>
            <w:r>
              <w:rPr>
                <w:highlight w:val="yellow"/>
              </w:rPr>
              <w:t xml:space="preserve">A100</w:t>
            </w:r>
          </w:p>
        </w:tc>
        <w:tc>
          <w:tcPr>
            <w:tcW w:type="auto" w:w="0"/>
            <w:shd w:val="clear" w:color="auto" w:fill="FFFFFF"/>
          </w:tcPr>
          <w:p w14:paraId="10332AA6">
            <w:pPr>
              <w:spacing w:before="120" w:after="120" w:line="240" w:lineRule="auto"/>
            </w:pPr>
            <w:r>
              <w:t xml:space="preserve">Direction - Decrypt, Encrypt Key Length - 128, 192, 256</w:t>
            </w:r>
          </w:p>
        </w:tc>
        <w:tc>
          <w:tcPr>
            <w:tcW w:type="auto" w:w="0"/>
            <w:shd w:val="clear" w:color="auto" w:fill="FFFFFF"/>
          </w:tcPr>
          <w:p w14:paraId="15F7CB71">
            <w:pPr>
              <w:spacing w:before="120" w:after="120" w:line="240" w:lineRule="auto"/>
            </w:pPr>
            <w:r>
              <w:t xml:space="preserve">SP 800-38A</w:t>
            </w:r>
          </w:p>
        </w:tc>
      </w:tr>
      <w:tr>
        <w:tc>
          <w:tcPr>
            <w:tcW w:type="auto" w:w="0"/>
            <w:gridSpan w:val="4"/>
            <w:shd w:val="clear" w:color="auto" w:fill="FFFFFF"/>
          </w:tcPr>
          <w:p w14:paraId="0482F9FF">
            <w:pPr>
              <w:spacing w:before="120" w:after="120" w:line="240" w:lineRule="auto"/>
              <w:jc w:val="center"/>
            </w:pPr>
            <w:r>
              <w:rPr>
                <w:b/>
                <w:bCs/>
              </w:rPr>
              <w:t xml:space="preserve">OR</w:t>
            </w:r>
          </w:p>
          <w:p w14:paraId="2FBD6C87">
            <w:pPr>
              <w:spacing w:before="120" w:after="120" w:line="240" w:lineRule="auto"/>
              <w:jc w:val="center"/>
              <w:rPr>
                <w:strike/>
                <w:color w:val="FF0000"/>
              </w:rPr>
            </w:pPr>
            <w:r>
              <w:t xml:space="preserve">(which ever method is clearer for the given changes)</w:t>
            </w:r>
          </w:p>
        </w:tc>
      </w:tr>
      <w:tr>
        <w:tc>
          <w:tcPr>
            <w:tcW w:type="auto" w:w="0"/>
            <w:shd w:val="clear" w:color="auto" w:fill="FFFFFF"/>
          </w:tcPr>
          <w:p w14:paraId="439BAE12">
            <w:pPr>
              <w:spacing w:before="120" w:after="120" w:line="240" w:lineRule="auto"/>
              <w:rPr>
                <w:strike/>
                <w:color w:val="FF0000"/>
                <w:highlight w:val="yellow"/>
              </w:rPr>
            </w:pPr>
            <w:r>
              <w:rPr>
                <w:strike/>
                <w:color w:val="FF0000"/>
              </w:rPr>
              <w:t xml:space="preserve">AES-CBC</w:t>
            </w:r>
          </w:p>
        </w:tc>
        <w:tc>
          <w:tcPr>
            <w:tcW w:type="auto" w:w="0"/>
            <w:shd w:val="clear" w:color="auto" w:fill="FFFFFF"/>
          </w:tcPr>
          <w:p w14:paraId="4671D376">
            <w:pPr>
              <w:spacing w:before="120" w:after="120" w:line="240" w:lineRule="auto"/>
              <w:rPr>
                <w:strike/>
                <w:color w:val="FF0000"/>
              </w:rPr>
            </w:pPr>
            <w:r>
              <w:rPr>
                <w:strike/>
                <w:color w:val="FF0000"/>
              </w:rPr>
              <w:t xml:space="preserve">A99</w:t>
            </w:r>
          </w:p>
        </w:tc>
        <w:tc>
          <w:tcPr>
            <w:tcW w:type="auto" w:w="0"/>
            <w:shd w:val="clear" w:color="auto" w:fill="FFFFFF"/>
          </w:tcPr>
          <w:p w14:paraId="17CA376D">
            <w:pPr>
              <w:spacing w:before="120" w:after="120" w:line="240" w:lineRule="auto"/>
              <w:rPr>
                <w:strike/>
                <w:color w:val="FF0000"/>
                <w:highlight w:val="yellow"/>
              </w:rPr>
            </w:pPr>
            <w:r>
              <w:rPr>
                <w:strike/>
                <w:color w:val="FF0000"/>
              </w:rPr>
              <w:t xml:space="preserve">Direction - Decrypt, Encrypt Key Length - 128, 192, 256</w:t>
            </w:r>
          </w:p>
        </w:tc>
        <w:tc>
          <w:tcPr>
            <w:tcW w:type="auto" w:w="0"/>
            <w:shd w:val="clear" w:color="auto" w:fill="FFFFFF"/>
          </w:tcPr>
          <w:p w14:paraId="43BD171B">
            <w:pPr>
              <w:spacing w:before="120" w:after="120" w:line="240" w:lineRule="auto"/>
              <w:rPr>
                <w:strike/>
                <w:color w:val="FF0000"/>
                <w:highlight w:val="yellow"/>
              </w:rPr>
            </w:pPr>
            <w:r>
              <w:rPr>
                <w:strike/>
                <w:color w:val="FF0000"/>
              </w:rPr>
              <w:t xml:space="preserve">SP 800-38A</w:t>
            </w:r>
          </w:p>
        </w:tc>
      </w:tr>
      <w:tr>
        <w:tc>
          <w:tcPr>
            <w:tcW w:type="auto" w:w="0"/>
            <w:shd w:val="clear" w:color="auto" w:fill="FFFFFF"/>
          </w:tcPr>
          <w:p w14:paraId="6448D705">
            <w:pPr>
              <w:spacing w:before="120" w:after="120" w:line="240" w:lineRule="auto"/>
              <w:rPr>
                <w:highlight w:val="yellow"/>
              </w:rPr>
            </w:pPr>
            <w:r>
              <w:t xml:space="preserve">AES-CBC</w:t>
            </w:r>
          </w:p>
        </w:tc>
        <w:tc>
          <w:tcPr>
            <w:tcW w:type="auto" w:w="0"/>
            <w:shd w:val="clear" w:color="auto" w:fill="FFFFFF"/>
          </w:tcPr>
          <w:p w14:paraId="596DBB79">
            <w:pPr>
              <w:spacing w:before="120" w:after="120" w:line="240" w:lineRule="auto"/>
              <w:rPr>
                <w:highlight w:val="yellow"/>
              </w:rPr>
            </w:pPr>
            <w:r>
              <w:rPr>
                <w:highlight w:val="yellow"/>
              </w:rPr>
              <w:t xml:space="preserve">A100</w:t>
            </w:r>
          </w:p>
        </w:tc>
        <w:tc>
          <w:tcPr>
            <w:tcW w:type="auto" w:w="0"/>
            <w:shd w:val="clear" w:color="auto" w:fill="FFFFFF"/>
          </w:tcPr>
          <w:p w14:paraId="61BDF6EF">
            <w:pPr>
              <w:spacing w:before="120" w:after="120" w:line="240" w:lineRule="auto"/>
              <w:rPr>
                <w:highlight w:val="yellow"/>
              </w:rPr>
            </w:pPr>
            <w:r>
              <w:t xml:space="preserve">Direction - Decrypt, Encrypt Key Length - 128, 192, 256</w:t>
            </w:r>
          </w:p>
        </w:tc>
        <w:tc>
          <w:tcPr>
            <w:tcW w:type="auto" w:w="0"/>
            <w:shd w:val="clear" w:color="auto" w:fill="FFFFFF"/>
          </w:tcPr>
          <w:p w14:paraId="4FB710D4">
            <w:pPr>
              <w:spacing w:before="120" w:after="120" w:line="240" w:lineRule="auto"/>
              <w:rPr>
                <w:highlight w:val="yellow"/>
              </w:rPr>
            </w:pPr>
            <w:r>
              <w:t xml:space="preserve">SP 800-38A</w:t>
            </w:r>
          </w:p>
        </w:tc>
      </w:tr>
    </w:tbl>
    <w:p w14:paraId="4AC0F26F">
      <w:pPr>
        <w:spacing w:after="160" w:line="259" w:lineRule="auto"/>
        <w:rPr>
          <w:rFonts w:ascii="Times New Roman" w:hAnsi="Times New Roman" w:cs="Times New Roman" w:eastAsia="Times New Roman"/>
        </w:rPr>
      </w:pPr>
    </w:p>
    <w:p w14:paraId="67215D05">
      <w:pPr>
        <w:spacing w:after="160" w:line="259" w:lineRule="auto"/>
        <w:rPr>
          <w:rFonts w:ascii="Times New Roman" w:hAnsi="Times New Roman" w:cs="Times New Roman" w:eastAsia="Times New Roman"/>
          <w:u w:val="single"/>
        </w:rPr>
      </w:pPr>
      <w:r>
        <w:rPr>
          <w:rFonts w:ascii="Times New Roman" w:hAnsi="Times New Roman" w:cs="Times New Roman" w:eastAsia="Times New Roman"/>
          <w:u w:val="single"/>
        </w:rPr>
        <w:t xml:space="preserve">Same rules apply for other algorithm tables:</w:t>
      </w:r>
    </w:p>
    <w:p w14:paraId="05FA7AB6">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Vendor Affirmed Algorithms (2.5)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694"/>
        <w:gridCol w:w="1027"/>
        <w:gridCol w:w="1483"/>
        <w:gridCol w:w="1027"/>
      </w:tblGrid>
      <w:tr>
        <w:tc>
          <w:tcPr>
            <w:tcW w:type="auto" w:w="0"/>
            <w:shd w:val="clear" w:color="auto" w:fill="D9D9D9"/>
          </w:tcPr>
          <w:p w14:paraId="75424F30">
            <w:pPr>
              <w:spacing w:before="120" w:after="120" w:line="240" w:lineRule="auto"/>
              <w:rPr>
                <w:b/>
                <w:bCs/>
              </w:rPr>
            </w:pPr>
            <w:r>
              <w:t xml:space="preserve">Name</w:t>
            </w:r>
          </w:p>
        </w:tc>
        <w:tc>
          <w:tcPr>
            <w:tcW w:type="auto" w:w="0"/>
            <w:shd w:val="clear" w:color="auto" w:fill="D9D9D9"/>
          </w:tcPr>
          <w:p w14:paraId="0BE4D1B0">
            <w:pPr>
              <w:spacing w:before="120" w:after="120" w:line="240" w:lineRule="auto"/>
              <w:rPr>
                <w:b/>
                <w:bCs/>
              </w:rPr>
            </w:pPr>
            <w:r>
              <w:t xml:space="preserve">Properties</w:t>
            </w:r>
          </w:p>
        </w:tc>
        <w:tc>
          <w:tcPr>
            <w:tcW w:type="auto" w:w="0"/>
            <w:shd w:val="clear" w:color="auto" w:fill="D9D9D9"/>
          </w:tcPr>
          <w:p w14:paraId="644CFA1E">
            <w:pPr>
              <w:spacing w:before="120" w:after="120" w:line="240" w:lineRule="auto"/>
            </w:pPr>
            <w:r>
              <w:t xml:space="preserve">Implementation</w:t>
            </w:r>
          </w:p>
        </w:tc>
        <w:tc>
          <w:tcPr>
            <w:tcW w:type="auto" w:w="0"/>
            <w:shd w:val="clear" w:color="auto" w:fill="D9D9D9"/>
          </w:tcPr>
          <w:p w14:paraId="78243F0A">
            <w:pPr>
              <w:spacing w:before="120" w:after="120" w:line="240" w:lineRule="auto"/>
            </w:pPr>
            <w:r>
              <w:t xml:space="preserve">Reference</w:t>
            </w:r>
          </w:p>
        </w:tc>
      </w:tr>
      <w:tr>
        <w:tc>
          <w:tcPr>
            <w:tcW w:type="auto" w:w="0"/>
            <w:shd w:val="clear" w:color="auto" w:fill="FFFFFF"/>
          </w:tcPr>
          <w:p w14:paraId="2E54BCB7">
            <w:pPr>
              <w:spacing w:before="120" w:after="120" w:line="240" w:lineRule="auto"/>
            </w:pPr>
          </w:p>
        </w:tc>
        <w:tc>
          <w:tcPr>
            <w:tcW w:type="auto" w:w="0"/>
            <w:shd w:val="clear" w:color="auto" w:fill="FFFFFF"/>
          </w:tcPr>
          <w:p w14:paraId="03D8801E">
            <w:pPr>
              <w:spacing w:before="120" w:after="120" w:line="240" w:lineRule="auto"/>
            </w:pPr>
          </w:p>
        </w:tc>
        <w:tc>
          <w:tcPr>
            <w:tcW w:type="auto" w:w="0"/>
            <w:shd w:val="clear" w:color="auto" w:fill="FFFFFF"/>
          </w:tcPr>
          <w:p w14:paraId="23B7A4E4">
            <w:pPr>
              <w:spacing w:before="120" w:after="120" w:line="240" w:lineRule="auto"/>
            </w:pPr>
          </w:p>
        </w:tc>
        <w:tc>
          <w:tcPr>
            <w:tcW w:type="auto" w:w="0"/>
            <w:shd w:val="clear" w:color="auto" w:fill="FFFFFF"/>
          </w:tcPr>
          <w:p w14:paraId="573D75D3">
            <w:pPr>
              <w:spacing w:before="120" w:after="120" w:line="240" w:lineRule="auto"/>
            </w:pPr>
          </w:p>
        </w:tc>
      </w:tr>
    </w:tbl>
    <w:p w14:paraId="3F9652FA">
      <w:pPr>
        <w:spacing w:after="160" w:line="259" w:lineRule="auto"/>
        <w:rPr>
          <w:rFonts w:ascii="Times New Roman" w:hAnsi="Times New Roman" w:cs="Times New Roman" w:eastAsia="Times New Roman"/>
        </w:rPr>
      </w:pPr>
    </w:p>
    <w:p w14:paraId="04FA20A8">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Non-Approved, Allowed Algorithms (2.5)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742"/>
        <w:gridCol w:w="1109"/>
        <w:gridCol w:w="1609"/>
        <w:gridCol w:w="1108"/>
      </w:tblGrid>
      <w:tr>
        <w:tc>
          <w:tcPr>
            <w:tcW w:type="auto" w:w="0"/>
            <w:shd w:val="clear" w:color="auto" w:fill="D9D9D9"/>
          </w:tcPr>
          <w:p w14:paraId="0AC38CB9">
            <w:pPr>
              <w:spacing w:after="160" w:line="259" w:lineRule="auto"/>
              <w:rPr>
                <w:b/>
                <w:bCs/>
                <w:sz w:val="22"/>
                <w:szCs w:val="22"/>
              </w:rPr>
            </w:pPr>
            <w:r>
              <w:rPr>
                <w:sz w:val="22"/>
                <w:szCs w:val="22"/>
              </w:rPr>
              <w:t xml:space="preserve">Name</w:t>
            </w:r>
          </w:p>
        </w:tc>
        <w:tc>
          <w:tcPr>
            <w:tcW w:type="auto" w:w="0"/>
            <w:shd w:val="clear" w:color="auto" w:fill="D9D9D9"/>
          </w:tcPr>
          <w:p w14:paraId="0AFA57D2">
            <w:pPr>
              <w:spacing w:after="160" w:line="259" w:lineRule="auto"/>
              <w:rPr>
                <w:b/>
                <w:bCs/>
                <w:sz w:val="22"/>
                <w:szCs w:val="22"/>
              </w:rPr>
            </w:pPr>
            <w:r>
              <w:rPr>
                <w:sz w:val="22"/>
                <w:szCs w:val="22"/>
              </w:rPr>
              <w:t xml:space="preserve">Properties</w:t>
            </w:r>
          </w:p>
        </w:tc>
        <w:tc>
          <w:tcPr>
            <w:tcW w:type="auto" w:w="0"/>
            <w:shd w:val="clear" w:color="auto" w:fill="D9D9D9"/>
          </w:tcPr>
          <w:p w14:paraId="4107D91F">
            <w:pPr>
              <w:spacing w:after="160" w:line="259" w:lineRule="auto"/>
              <w:rPr>
                <w:sz w:val="22"/>
                <w:szCs w:val="22"/>
              </w:rPr>
            </w:pPr>
            <w:r>
              <w:rPr>
                <w:sz w:val="22"/>
                <w:szCs w:val="22"/>
              </w:rPr>
              <w:t xml:space="preserve">Implementation</w:t>
            </w:r>
          </w:p>
        </w:tc>
        <w:tc>
          <w:tcPr>
            <w:tcW w:type="auto" w:w="0"/>
            <w:shd w:val="clear" w:color="auto" w:fill="D9D9D9"/>
          </w:tcPr>
          <w:p w14:paraId="65215F30">
            <w:pPr>
              <w:spacing w:after="160" w:line="259" w:lineRule="auto"/>
              <w:rPr>
                <w:sz w:val="22"/>
                <w:szCs w:val="22"/>
              </w:rPr>
            </w:pPr>
            <w:r>
              <w:rPr>
                <w:sz w:val="22"/>
                <w:szCs w:val="22"/>
              </w:rPr>
              <w:t xml:space="preserve">Reference</w:t>
            </w:r>
          </w:p>
        </w:tc>
      </w:tr>
      <w:tr>
        <w:tc>
          <w:tcPr>
            <w:tcW w:type="auto" w:w="0"/>
            <w:shd w:val="clear" w:color="auto" w:fill="FFFFFF"/>
          </w:tcPr>
          <w:p w14:paraId="5A31FF1B">
            <w:pPr>
              <w:spacing w:after="160" w:line="259" w:lineRule="auto"/>
              <w:rPr>
                <w:sz w:val="22"/>
                <w:szCs w:val="22"/>
              </w:rPr>
            </w:pPr>
          </w:p>
        </w:tc>
        <w:tc>
          <w:tcPr>
            <w:tcW w:type="auto" w:w="0"/>
            <w:shd w:val="clear" w:color="auto" w:fill="FFFFFF"/>
          </w:tcPr>
          <w:p w14:paraId="4B148E1E">
            <w:pPr>
              <w:spacing w:after="160" w:line="259" w:lineRule="auto"/>
              <w:rPr>
                <w:sz w:val="22"/>
                <w:szCs w:val="22"/>
              </w:rPr>
            </w:pPr>
          </w:p>
        </w:tc>
        <w:tc>
          <w:tcPr>
            <w:tcW w:type="auto" w:w="0"/>
            <w:shd w:val="clear" w:color="auto" w:fill="FFFFFF"/>
          </w:tcPr>
          <w:p w14:paraId="6E9CF089">
            <w:pPr>
              <w:spacing w:after="160" w:line="259" w:lineRule="auto"/>
              <w:rPr>
                <w:sz w:val="22"/>
                <w:szCs w:val="22"/>
              </w:rPr>
            </w:pPr>
          </w:p>
        </w:tc>
        <w:tc>
          <w:tcPr>
            <w:tcW w:type="auto" w:w="0"/>
            <w:shd w:val="clear" w:color="auto" w:fill="FFFFFF"/>
          </w:tcPr>
          <w:p w14:paraId="15C4973B">
            <w:pPr>
              <w:spacing w:after="160" w:line="259" w:lineRule="auto"/>
              <w:rPr>
                <w:sz w:val="22"/>
                <w:szCs w:val="22"/>
              </w:rPr>
            </w:pPr>
          </w:p>
        </w:tc>
      </w:tr>
    </w:tbl>
    <w:p w14:paraId="0AB5D1E7">
      <w:pPr>
        <w:spacing w:after="160" w:line="259" w:lineRule="auto"/>
        <w:rPr>
          <w:rFonts w:ascii="Times New Roman" w:hAnsi="Times New Roman" w:cs="Times New Roman" w:eastAsia="Times New Roman"/>
        </w:rPr>
      </w:pPr>
    </w:p>
    <w:p w14:paraId="7C4246A2">
      <w:pPr>
        <w:spacing w:after="160" w:line="259" w:lineRule="auto"/>
        <w:rPr>
          <w:rFonts w:ascii="Times New Roman" w:hAnsi="Times New Roman" w:cs="Times New Roman" w:eastAsia="Times New Roman"/>
        </w:rPr>
      </w:pPr>
      <w:r>
        <w:rPr>
          <w:rFonts w:ascii="Times New Roman" w:hAnsi="Times New Roman" w:cs="Times New Roman" w:eastAsia="Times New Roman"/>
        </w:rPr>
        <w:t xml:space="preserve">Security Function Implementations (2.6)</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694"/>
        <w:gridCol w:w="627"/>
        <w:gridCol w:w="1150"/>
        <w:gridCol w:w="1027"/>
        <w:gridCol w:w="1128"/>
      </w:tblGrid>
      <w:tr>
        <w:tc>
          <w:tcPr>
            <w:tcW w:type="auto" w:w="0"/>
            <w:shd w:val="clear" w:color="auto" w:fill="D9D9D9"/>
          </w:tcPr>
          <w:p w14:paraId="159CAC24">
            <w:pPr>
              <w:spacing w:after="160" w:line="259" w:lineRule="auto"/>
              <w:rPr>
                <w:b/>
                <w:bCs/>
                <w:sz w:val="22"/>
                <w:szCs w:val="22"/>
              </w:rPr>
            </w:pPr>
            <w:r>
              <w:t xml:space="preserve">Name</w:t>
            </w:r>
          </w:p>
        </w:tc>
        <w:tc>
          <w:tcPr>
            <w:tcW w:type="auto" w:w="0"/>
            <w:shd w:val="clear" w:color="auto" w:fill="D9D9D9"/>
          </w:tcPr>
          <w:p w14:paraId="36849B26">
            <w:pPr>
              <w:spacing w:after="160" w:line="259" w:lineRule="auto"/>
              <w:rPr>
                <w:b/>
                <w:bCs/>
                <w:sz w:val="22"/>
                <w:szCs w:val="22"/>
              </w:rPr>
            </w:pPr>
            <w:r>
              <w:t xml:space="preserve">Type</w:t>
            </w:r>
          </w:p>
        </w:tc>
        <w:tc>
          <w:tcPr>
            <w:tcW w:type="auto" w:w="0"/>
            <w:shd w:val="clear" w:color="auto" w:fill="D9D9D9"/>
          </w:tcPr>
          <w:p w14:paraId="1840D1E1">
            <w:pPr>
              <w:spacing w:after="0" w:line="240" w:lineRule="auto"/>
            </w:pPr>
            <w:r>
              <w:t xml:space="preserve">Description</w:t>
            </w:r>
          </w:p>
        </w:tc>
        <w:tc>
          <w:tcPr>
            <w:tcW w:type="auto" w:w="0"/>
            <w:shd w:val="clear" w:color="auto" w:fill="D9D9D9"/>
          </w:tcPr>
          <w:p w14:paraId="09C06CBF">
            <w:pPr>
              <w:spacing w:after="160" w:line="259" w:lineRule="auto"/>
              <w:rPr>
                <w:sz w:val="22"/>
                <w:szCs w:val="22"/>
              </w:rPr>
            </w:pPr>
            <w:r>
              <w:t xml:space="preserve">Properties</w:t>
            </w:r>
          </w:p>
        </w:tc>
        <w:tc>
          <w:tcPr>
            <w:tcW w:type="auto" w:w="0"/>
            <w:shd w:val="clear" w:color="auto" w:fill="D9D9D9"/>
          </w:tcPr>
          <w:p w14:paraId="3618A438">
            <w:pPr>
              <w:spacing w:after="160" w:line="259" w:lineRule="auto"/>
              <w:rPr>
                <w:sz w:val="22"/>
                <w:szCs w:val="22"/>
              </w:rPr>
            </w:pPr>
            <w:r>
              <w:t xml:space="preserve">Algorithms</w:t>
            </w:r>
          </w:p>
        </w:tc>
      </w:tr>
      <w:tr>
        <w:tc>
          <w:tcPr>
            <w:tcW w:type="auto" w:w="0"/>
          </w:tcPr>
          <w:p w14:paraId="1CDCC43C">
            <w:pPr>
              <w:spacing w:after="0" w:line="240" w:lineRule="auto"/>
            </w:pPr>
          </w:p>
        </w:tc>
        <w:tc>
          <w:tcPr>
            <w:tcW w:type="auto" w:w="0"/>
          </w:tcPr>
          <w:p w14:paraId="5C60F7B4">
            <w:pPr>
              <w:spacing w:after="0" w:line="240" w:lineRule="auto"/>
            </w:pPr>
          </w:p>
        </w:tc>
        <w:tc>
          <w:tcPr>
            <w:tcW w:type="auto" w:w="0"/>
          </w:tcPr>
          <w:p w14:paraId="0F0BA04A">
            <w:pPr>
              <w:spacing w:after="0" w:line="240" w:lineRule="auto"/>
            </w:pPr>
          </w:p>
        </w:tc>
        <w:tc>
          <w:tcPr>
            <w:tcW w:type="auto" w:w="0"/>
          </w:tcPr>
          <w:p w14:paraId="4C10FFF0">
            <w:pPr>
              <w:spacing w:after="0" w:line="240" w:lineRule="auto"/>
            </w:pPr>
          </w:p>
        </w:tc>
        <w:tc>
          <w:tcPr>
            <w:tcW w:type="auto" w:w="0"/>
          </w:tcPr>
          <w:p w14:paraId="433777D9">
            <w:pPr>
              <w:spacing w:after="0" w:line="240" w:lineRule="auto"/>
            </w:pPr>
          </w:p>
        </w:tc>
      </w:tr>
    </w:tbl>
    <w:p w14:paraId="4F4045CC">
      <w:pPr>
        <w:spacing w:after="160" w:line="259" w:lineRule="auto"/>
      </w:pPr>
    </w:p>
    <w:p w14:paraId="7B773F73">
      <w:pPr>
        <w:pStyle w:val="Heading1"/>
        <w:keepNext/>
        <w:keepLines/>
        <w:numPr>
          <w:ilvl w:val="0"/>
          <w:numId w:val="12"/>
        </w:numPr>
        <w:spacing w:before="120" w:after="120" w:line="240" w:lineRule="auto"/>
        <w:rPr>
          <w:rFonts w:ascii="Times New Roman" w:hAnsi="Times New Roman" w:cs="Times New Roman" w:eastAsia="Times New Roman"/>
        </w:rPr>
      </w:pPr>
      <w:bookmarkStart w:id="100019" w:name="_Toc226628124"/>
      <w:bookmarkEnd w:id="100019"/>
      <w:r>
        <w:rPr>
          <w:rFonts w:ascii="Times New Roman" w:hAnsi="Times New Roman" w:cs="Times New Roman" w:eastAsia="Times New Roman"/>
        </w:rPr>
        <w:t xml:space="preserve">Affected TEs and Security Policy Changes</w:t>
      </w:r>
    </w:p>
    <w:p w14:paraId="0DD8C079">
      <w:pPr>
        <w:spacing w:before="120" w:after="120" w:line="240" w:lineRule="auto"/>
        <w:rPr>
          <w:rFonts w:ascii="Times New Roman" w:hAnsi="Times New Roman" w:cs="Times New Roman" w:eastAsia="Times New Roman"/>
          <w:sz w:val="20"/>
          <w:szCs w:val="20"/>
        </w:rPr>
      </w:pPr>
    </w:p>
    <w:p w14:paraId="6D6C70FE">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The CSTL </w:t>
      </w:r>
      <w:r>
        <w:rPr>
          <w:rFonts w:ascii="Times New Roman" w:hAnsi="Times New Roman" w:cs="Times New Roman" w:eastAsia="Times New Roman"/>
          <w:b/>
          <w:bCs/>
          <w:color w:val="FF0000"/>
          <w:sz w:val="20"/>
          <w:szCs w:val="20"/>
        </w:rPr>
        <w:t xml:space="preserve">shall</w:t>
      </w:r>
      <w:r>
        <w:rPr>
          <w:rFonts w:ascii="Times New Roman" w:hAnsi="Times New Roman" w:cs="Times New Roman" w:eastAsia="Times New Roman"/>
          <w:sz w:val="20"/>
          <w:szCs w:val="20"/>
        </w:rPr>
        <w:t xml:space="preserve"> list the affected TEs, and a summary of the changes performed in their associated CSTL assessment.</w:t>
      </w:r>
    </w:p>
    <w:p w14:paraId="5FE99DCF">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For example:</w:t>
      </w:r>
    </w:p>
    <w:tbl>
      <w:tblPr>
        <w:tblW w:w="899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991"/>
        <w:gridCol w:w="7004"/>
      </w:tblGrid>
      <w:tr>
        <w:tc>
          <w:tcPr>
            <w:tcW w:type="dxa" w:w="1991"/>
            <w:shd w:val="clear" w:color="auto" w:fill="D9D9D9"/>
          </w:tcPr>
          <w:p w14:paraId="1D8EBE18">
            <w:pPr>
              <w:spacing w:before="120" w:after="120" w:line="240" w:lineRule="auto"/>
              <w:rPr>
                <w:b/>
                <w:bCs/>
              </w:rPr>
            </w:pPr>
            <w:r>
              <w:rPr>
                <w:b/>
                <w:bCs/>
              </w:rPr>
              <w:t xml:space="preserve">TR/SP Section</w:t>
            </w:r>
          </w:p>
        </w:tc>
        <w:tc>
          <w:tcPr>
            <w:tcW w:type="dxa" w:w="7004"/>
            <w:shd w:val="clear" w:color="auto" w:fill="D9D9D9"/>
          </w:tcPr>
          <w:p w14:paraId="081F6DC6">
            <w:pPr>
              <w:spacing w:before="120" w:after="120" w:line="240" w:lineRule="auto"/>
              <w:rPr>
                <w:b/>
                <w:bCs/>
              </w:rPr>
            </w:pPr>
            <w:r>
              <w:rPr>
                <w:b/>
                <w:bCs/>
              </w:rPr>
              <w:t xml:space="preserve">Affected TE/SP and Assessment</w:t>
            </w:r>
          </w:p>
        </w:tc>
      </w:tr>
      <w:tr>
        <w:tc>
          <w:tcPr>
            <w:tcW w:type="dxa" w:w="1991"/>
            <w:shd w:val="clear" w:color="auto" w:fill="FFFFFF"/>
          </w:tcPr>
          <w:p w14:paraId="28A137E6">
            <w:pPr>
              <w:numPr>
                <w:ilvl w:val="0"/>
                <w:numId w:val="1"/>
              </w:numPr>
              <w:spacing w:before="120" w:after="120" w:line="240" w:lineRule="auto"/>
              <w:ind w:left="576"/>
            </w:pPr>
            <w:r>
              <w:t xml:space="preserve">General</w:t>
            </w:r>
          </w:p>
        </w:tc>
        <w:tc>
          <w:tcPr>
            <w:tcW w:type="dxa" w:w="7004"/>
            <w:shd w:val="clear" w:color="auto" w:fill="FFFFFF"/>
          </w:tcPr>
          <w:p w14:paraId="01986D3D">
            <w:pPr>
              <w:spacing w:before="120" w:after="120" w:line="240" w:lineRule="auto"/>
            </w:pPr>
            <w:r>
              <w:t xml:space="preserve">The module’s name has been changed from ModuleA to ModuleB</w:t>
            </w:r>
          </w:p>
          <w:p w14:paraId="599DFD80">
            <w:pPr>
              <w:spacing w:before="120" w:after="120" w:line="240" w:lineRule="auto"/>
            </w:pPr>
            <w:r>
              <w:t xml:space="preserve">Updated to reflect the updated firmware version, c.1.</w:t>
            </w:r>
          </w:p>
          <w:p w14:paraId="4BEA3132">
            <w:pPr>
              <w:spacing w:before="120" w:after="120" w:line="240" w:lineRule="auto"/>
            </w:pPr>
            <w:r>
              <w:t xml:space="preserve">SP Cover Page: Updated to include new name and new firmware version.</w:t>
            </w:r>
          </w:p>
        </w:tc>
      </w:tr>
      <w:tr>
        <w:tc>
          <w:tcPr>
            <w:tcW w:type="dxa" w:w="1991"/>
            <w:shd w:val="clear" w:color="auto" w:fill="FFFFFF"/>
            <w:tcMar>
              <w:left w:type="dxa" w:w="72"/>
              <w:right w:type="dxa" w:w="72"/>
            </w:tcMar>
          </w:tcPr>
          <w:p w14:paraId="05B3F2DE">
            <w:pPr>
              <w:numPr>
                <w:ilvl w:val="0"/>
                <w:numId w:val="1"/>
              </w:numPr>
              <w:spacing w:before="120" w:after="120" w:line="240" w:lineRule="auto"/>
              <w:ind w:left="576"/>
              <w:rPr>
                <w:rFonts w:eastAsia="Calibri"/>
              </w:rPr>
            </w:pPr>
            <w:r>
              <w:t xml:space="preserve">Cryptographic module specification</w:t>
            </w:r>
          </w:p>
        </w:tc>
        <w:tc>
          <w:tcPr>
            <w:tcW w:type="dxa" w:w="7004"/>
            <w:shd w:val="clear" w:color="auto" w:fill="FFFFFF"/>
            <w:tcMar>
              <w:left w:type="dxa" w:w="115"/>
              <w:right w:type="dxa" w:w="115"/>
            </w:tcMar>
          </w:tcPr>
          <w:p w14:paraId="1146B9AE">
            <w:pPr>
              <w:autoSpaceDE w:val="0"/>
              <w:autoSpaceDN w:val="0"/>
              <w:adjustRightInd w:val="0"/>
              <w:spacing w:before="120" w:after="120" w:line="240" w:lineRule="auto"/>
            </w:pPr>
            <w:r>
              <w:t xml:space="preserve">02.11.01, 02.11.02: Updated and retested for new module name.</w:t>
            </w:r>
          </w:p>
          <w:p w14:paraId="7595F195">
            <w:pPr>
              <w:autoSpaceDE w:val="0"/>
              <w:autoSpaceDN w:val="0"/>
              <w:adjustRightInd w:val="0"/>
              <w:spacing w:before="120" w:after="120" w:line="240" w:lineRule="auto"/>
            </w:pPr>
            <w:r>
              <w:t xml:space="preserve">02.12.01: Updated and retested for new firmware version.</w:t>
            </w:r>
          </w:p>
          <w:p w14:paraId="0B7729BB">
            <w:pPr>
              <w:autoSpaceDE w:val="0"/>
              <w:autoSpaceDN w:val="0"/>
              <w:adjustRightInd w:val="0"/>
              <w:spacing w:before="120" w:after="120" w:line="240" w:lineRule="auto"/>
            </w:pPr>
            <w:r>
              <w:t xml:space="preserve">SP Section 2: Updated to include new name and new firmware version.</w:t>
            </w:r>
          </w:p>
        </w:tc>
      </w:tr>
      <w:tr>
        <w:tc>
          <w:tcPr>
            <w:tcW w:type="dxa" w:w="1991"/>
            <w:shd w:val="clear" w:color="auto" w:fill="FFFFFF"/>
            <w:tcMar>
              <w:left w:type="dxa" w:w="72"/>
              <w:right w:type="dxa" w:w="72"/>
            </w:tcMar>
          </w:tcPr>
          <w:p w14:paraId="1603CA61">
            <w:pPr>
              <w:numPr>
                <w:ilvl w:val="0"/>
                <w:numId w:val="1"/>
              </w:numPr>
              <w:spacing w:before="120" w:after="120" w:line="240" w:lineRule="auto"/>
              <w:ind w:left="576"/>
              <w:rPr>
                <w:rFonts w:eastAsia="Calibri"/>
              </w:rPr>
            </w:pPr>
            <w:r>
              <w:t xml:space="preserve">Cryptographic module interfaces</w:t>
            </w:r>
          </w:p>
        </w:tc>
        <w:tc>
          <w:tcPr>
            <w:tcW w:type="dxa" w:w="7004"/>
            <w:shd w:val="clear" w:color="auto" w:fill="FFFFFF"/>
          </w:tcPr>
          <w:p w14:paraId="4AEB1A53">
            <w:pPr>
              <w:autoSpaceDE w:val="0"/>
              <w:autoSpaceDN w:val="0"/>
              <w:adjustRightInd w:val="0"/>
              <w:spacing w:before="120" w:after="120" w:line="240" w:lineRule="auto"/>
            </w:pPr>
            <w:r>
              <w:t xml:space="preserve">No change</w:t>
            </w:r>
          </w:p>
        </w:tc>
      </w:tr>
      <w:tr>
        <w:tc>
          <w:tcPr>
            <w:tcW w:type="dxa" w:w="1991"/>
            <w:shd w:val="clear" w:color="auto" w:fill="FFFFFF"/>
            <w:tcMar>
              <w:left w:type="dxa" w:w="72"/>
              <w:right w:type="dxa" w:w="72"/>
            </w:tcMar>
          </w:tcPr>
          <w:p w14:paraId="7DFF1C95">
            <w:pPr>
              <w:numPr>
                <w:ilvl w:val="0"/>
                <w:numId w:val="1"/>
              </w:numPr>
              <w:spacing w:before="120" w:after="120" w:line="240" w:lineRule="auto"/>
              <w:ind w:left="576"/>
              <w:rPr>
                <w:rFonts w:eastAsia="Calibri"/>
              </w:rPr>
            </w:pPr>
            <w:r>
              <w:t xml:space="preserve">Roles, services, and authentication</w:t>
            </w:r>
          </w:p>
        </w:tc>
        <w:tc>
          <w:tcPr>
            <w:tcW w:type="dxa" w:w="7004"/>
            <w:shd w:val="clear" w:color="auto" w:fill="FFFFFF"/>
          </w:tcPr>
          <w:p w14:paraId="55B523BA">
            <w:pPr>
              <w:autoSpaceDE w:val="0"/>
              <w:autoSpaceDN w:val="0"/>
              <w:adjustRightInd w:val="0"/>
              <w:spacing w:before="120" w:after="120" w:line="240" w:lineRule="auto"/>
              <w:rPr>
                <w:rFonts w:eastAsia="Calibri"/>
              </w:rPr>
            </w:pPr>
            <w:r>
              <w:rPr>
                <w:rFonts w:eastAsia="Calibri"/>
              </w:rPr>
              <w:t xml:space="preserve">04.13.01, 04.13.02, 04.13.03: </w:t>
            </w:r>
            <w:r>
              <w:t xml:space="preserve">Updated and retested for new version.</w:t>
            </w:r>
          </w:p>
        </w:tc>
      </w:tr>
      <w:tr>
        <w:tc>
          <w:tcPr>
            <w:tcW w:type="dxa" w:w="1991"/>
            <w:shd w:val="clear" w:color="auto" w:fill="FFFFFF"/>
            <w:tcMar>
              <w:left w:type="dxa" w:w="72"/>
              <w:right w:type="dxa" w:w="72"/>
            </w:tcMar>
          </w:tcPr>
          <w:p w14:paraId="26AF865B">
            <w:pPr>
              <w:numPr>
                <w:ilvl w:val="0"/>
                <w:numId w:val="1"/>
              </w:numPr>
              <w:spacing w:before="120" w:after="120" w:line="240" w:lineRule="auto"/>
              <w:ind w:left="576"/>
              <w:rPr>
                <w:rFonts w:eastAsia="Calibri"/>
              </w:rPr>
            </w:pPr>
            <w:r>
              <w:rPr>
                <w:rFonts w:eastAsia="Calibri"/>
              </w:rPr>
              <w:t xml:space="preserve">Software/Firmware security</w:t>
            </w:r>
          </w:p>
        </w:tc>
        <w:tc>
          <w:tcPr>
            <w:tcW w:type="dxa" w:w="7004"/>
            <w:shd w:val="clear" w:color="auto" w:fill="FFFFFF"/>
          </w:tcPr>
          <w:p w14:paraId="4CA7C845">
            <w:pPr>
              <w:autoSpaceDE w:val="0"/>
              <w:autoSpaceDN w:val="0"/>
              <w:adjustRightInd w:val="0"/>
              <w:spacing w:before="120" w:after="120" w:line="240" w:lineRule="auto"/>
            </w:pPr>
            <w:r>
              <w:t xml:space="preserve">…</w:t>
            </w:r>
          </w:p>
        </w:tc>
      </w:tr>
      <w:tr>
        <w:tc>
          <w:tcPr>
            <w:tcW w:type="dxa" w:w="1991"/>
            <w:shd w:val="clear" w:color="auto" w:fill="FFFFFF"/>
            <w:tcMar>
              <w:left w:type="dxa" w:w="72"/>
              <w:right w:type="dxa" w:w="72"/>
            </w:tcMar>
          </w:tcPr>
          <w:p w14:paraId="2859E263">
            <w:pPr>
              <w:numPr>
                <w:ilvl w:val="0"/>
                <w:numId w:val="1"/>
              </w:numPr>
              <w:spacing w:before="120" w:after="120" w:line="240" w:lineRule="auto"/>
              <w:ind w:left="576"/>
              <w:rPr>
                <w:rFonts w:eastAsia="Calibri"/>
              </w:rPr>
            </w:pPr>
            <w:r>
              <w:rPr>
                <w:rFonts w:eastAsia="Calibri"/>
              </w:rPr>
              <w:t xml:space="preserve">Operational environment</w:t>
            </w:r>
          </w:p>
        </w:tc>
        <w:tc>
          <w:tcPr>
            <w:tcW w:type="dxa" w:w="7004"/>
            <w:shd w:val="clear" w:color="auto" w:fill="FFFFFF"/>
          </w:tcPr>
          <w:p w14:paraId="1B4EC84F">
            <w:pPr>
              <w:spacing w:before="120" w:after="120" w:line="240" w:lineRule="auto"/>
            </w:pPr>
            <w:r>
              <w:t xml:space="preserve">…</w:t>
            </w:r>
          </w:p>
        </w:tc>
      </w:tr>
      <w:tr>
        <w:tc>
          <w:tcPr>
            <w:tcW w:type="dxa" w:w="1991"/>
            <w:shd w:val="clear" w:color="auto" w:fill="FFFFFF"/>
            <w:tcMar>
              <w:left w:type="dxa" w:w="72"/>
              <w:right w:type="dxa" w:w="72"/>
            </w:tcMar>
          </w:tcPr>
          <w:p w14:paraId="6ADFCFCD">
            <w:pPr>
              <w:numPr>
                <w:ilvl w:val="0"/>
                <w:numId w:val="1"/>
              </w:numPr>
              <w:spacing w:before="120" w:after="120" w:line="240" w:lineRule="auto"/>
              <w:ind w:left="576"/>
              <w:rPr>
                <w:rFonts w:eastAsia="Calibri"/>
              </w:rPr>
            </w:pPr>
            <w:r>
              <w:rPr>
                <w:rFonts w:eastAsia="Calibri"/>
              </w:rPr>
              <w:t xml:space="preserve">Physical security</w:t>
            </w:r>
          </w:p>
        </w:tc>
        <w:tc>
          <w:tcPr>
            <w:tcW w:type="dxa" w:w="7004"/>
            <w:shd w:val="clear" w:color="auto" w:fill="FFFFFF"/>
          </w:tcPr>
          <w:p w14:paraId="6F73CAD7">
            <w:pPr>
              <w:autoSpaceDE w:val="0"/>
              <w:autoSpaceDN w:val="0"/>
              <w:adjustRightInd w:val="0"/>
              <w:spacing w:before="120" w:after="120" w:line="240" w:lineRule="auto"/>
            </w:pPr>
            <w:r>
              <w:t xml:space="preserve">…</w:t>
            </w:r>
          </w:p>
        </w:tc>
      </w:tr>
      <w:tr>
        <w:tc>
          <w:tcPr>
            <w:tcW w:type="dxa" w:w="1991"/>
            <w:shd w:val="clear" w:color="auto" w:fill="FFFFFF"/>
          </w:tcPr>
          <w:p w14:paraId="629734D4">
            <w:pPr>
              <w:numPr>
                <w:ilvl w:val="0"/>
                <w:numId w:val="1"/>
              </w:numPr>
              <w:spacing w:before="120" w:after="120" w:line="240" w:lineRule="auto"/>
              <w:ind w:left="576"/>
              <w:rPr>
                <w:rFonts w:eastAsia="Calibri"/>
              </w:rPr>
            </w:pPr>
            <w:r>
              <w:rPr>
                <w:rFonts w:eastAsia="Calibri"/>
              </w:rPr>
              <w:t xml:space="preserve">Non-invasive security</w:t>
            </w:r>
          </w:p>
        </w:tc>
        <w:tc>
          <w:tcPr>
            <w:tcW w:type="dxa" w:w="7004"/>
            <w:shd w:val="clear" w:color="auto" w:fill="FFFFFF"/>
          </w:tcPr>
          <w:p w14:paraId="59BB6D5B">
            <w:pPr>
              <w:autoSpaceDE w:val="0"/>
              <w:autoSpaceDN w:val="0"/>
              <w:adjustRightInd w:val="0"/>
              <w:spacing w:before="120" w:after="120" w:line="240" w:lineRule="auto"/>
            </w:pPr>
            <w:r>
              <w:t xml:space="preserve">…</w:t>
            </w:r>
          </w:p>
        </w:tc>
      </w:tr>
      <w:tr>
        <w:tc>
          <w:tcPr>
            <w:tcW w:type="dxa" w:w="1991"/>
            <w:shd w:val="clear" w:color="auto" w:fill="FFFFFF"/>
          </w:tcPr>
          <w:p w14:paraId="0BF70647">
            <w:pPr>
              <w:numPr>
                <w:ilvl w:val="0"/>
                <w:numId w:val="1"/>
              </w:numPr>
              <w:spacing w:before="120" w:after="120" w:line="240" w:lineRule="auto"/>
              <w:ind w:left="576"/>
              <w:rPr>
                <w:rFonts w:eastAsia="Calibri"/>
              </w:rPr>
            </w:pPr>
            <w:r>
              <w:t xml:space="preserve">Sensitive security parameter management </w:t>
            </w:r>
          </w:p>
        </w:tc>
        <w:tc>
          <w:tcPr>
            <w:tcW w:type="dxa" w:w="7004"/>
            <w:shd w:val="clear" w:color="auto" w:fill="FFFFFF"/>
          </w:tcPr>
          <w:p w14:paraId="1EB88A11">
            <w:pPr>
              <w:autoSpaceDE w:val="0"/>
              <w:autoSpaceDN w:val="0"/>
              <w:adjustRightInd w:val="0"/>
              <w:spacing w:before="120" w:after="120" w:line="240" w:lineRule="auto"/>
            </w:pPr>
            <w:r>
              <w:t xml:space="preserve">…</w:t>
            </w:r>
          </w:p>
        </w:tc>
      </w:tr>
      <w:tr>
        <w:tc>
          <w:tcPr>
            <w:tcW w:type="dxa" w:w="1991"/>
            <w:shd w:val="clear" w:color="auto" w:fill="FFFFFF"/>
          </w:tcPr>
          <w:p w14:paraId="082E9A0E">
            <w:pPr>
              <w:numPr>
                <w:ilvl w:val="0"/>
                <w:numId w:val="1"/>
              </w:numPr>
              <w:spacing w:before="120" w:after="120" w:line="240" w:lineRule="auto"/>
              <w:ind w:left="576"/>
              <w:rPr>
                <w:rFonts w:eastAsia="Calibri"/>
              </w:rPr>
            </w:pPr>
            <w:r>
              <w:rPr>
                <w:rFonts w:eastAsia="Calibri"/>
              </w:rPr>
              <w:t xml:space="preserve">Self-tests</w:t>
            </w:r>
          </w:p>
        </w:tc>
        <w:tc>
          <w:tcPr>
            <w:tcW w:type="dxa" w:w="7004"/>
            <w:shd w:val="clear" w:color="auto" w:fill="FFFFFF"/>
          </w:tcPr>
          <w:p w14:paraId="126167B7">
            <w:pPr>
              <w:spacing w:before="120" w:after="120" w:line="240" w:lineRule="auto"/>
            </w:pPr>
            <w:r>
              <w:t xml:space="preserve">…</w:t>
            </w:r>
          </w:p>
        </w:tc>
      </w:tr>
      <w:tr>
        <w:tc>
          <w:tcPr>
            <w:tcW w:type="dxa" w:w="1991"/>
            <w:shd w:val="clear" w:color="auto" w:fill="FFFFFF"/>
          </w:tcPr>
          <w:p w14:paraId="1CD856B5">
            <w:pPr>
              <w:numPr>
                <w:ilvl w:val="0"/>
                <w:numId w:val="1"/>
              </w:numPr>
              <w:spacing w:before="120" w:after="120" w:line="240" w:lineRule="auto"/>
              <w:ind w:left="576"/>
              <w:rPr>
                <w:rFonts w:eastAsia="Calibri"/>
              </w:rPr>
            </w:pPr>
            <w:r>
              <w:rPr>
                <w:rFonts w:eastAsia="Calibri"/>
              </w:rPr>
              <w:t xml:space="preserve">Life-cycle assurance</w:t>
            </w:r>
          </w:p>
        </w:tc>
        <w:tc>
          <w:tcPr>
            <w:tcW w:type="dxa" w:w="7004"/>
            <w:shd w:val="clear" w:color="auto" w:fill="FFFFFF"/>
          </w:tcPr>
          <w:p w14:paraId="69193787">
            <w:pPr>
              <w:autoSpaceDE w:val="0"/>
              <w:autoSpaceDN w:val="0"/>
              <w:adjustRightInd w:val="0"/>
              <w:spacing w:before="120" w:after="120" w:line="240" w:lineRule="auto"/>
            </w:pPr>
            <w:r>
              <w:t xml:space="preserve">…</w:t>
            </w:r>
          </w:p>
        </w:tc>
      </w:tr>
      <w:tr>
        <w:tc>
          <w:tcPr>
            <w:tcW w:type="dxa" w:w="1991"/>
            <w:shd w:val="clear" w:color="auto" w:fill="FFFFFF"/>
          </w:tcPr>
          <w:p w14:paraId="0B8C3787">
            <w:pPr>
              <w:numPr>
                <w:ilvl w:val="0"/>
                <w:numId w:val="1"/>
              </w:numPr>
              <w:spacing w:before="120" w:after="120" w:line="240" w:lineRule="auto"/>
              <w:ind w:left="576"/>
              <w:rPr>
                <w:rFonts w:eastAsia="Calibri"/>
              </w:rPr>
            </w:pPr>
            <w:r>
              <w:t xml:space="preserve">Mitigation of other attacks</w:t>
            </w:r>
          </w:p>
        </w:tc>
        <w:tc>
          <w:tcPr>
            <w:tcW w:type="dxa" w:w="7004"/>
            <w:shd w:val="clear" w:color="auto" w:fill="FFFFFF"/>
          </w:tcPr>
          <w:p w14:paraId="1D3ADBCF">
            <w:pPr>
              <w:autoSpaceDE w:val="0"/>
              <w:autoSpaceDN w:val="0"/>
              <w:adjustRightInd w:val="0"/>
              <w:spacing w:before="120" w:after="120" w:line="240" w:lineRule="auto"/>
            </w:pPr>
            <w:r>
              <w:t xml:space="preserve">…</w:t>
            </w:r>
          </w:p>
        </w:tc>
      </w:tr>
      <w:tr>
        <w:tc>
          <w:tcPr>
            <w:tcW w:type="dxa" w:w="1991"/>
            <w:shd w:val="clear" w:color="auto" w:fill="FFFFFF"/>
          </w:tcPr>
          <w:p w14:paraId="6D05A190">
            <w:pPr>
              <w:spacing w:before="120" w:after="120" w:line="240" w:lineRule="auto"/>
            </w:pPr>
            <w:r>
              <w:t xml:space="preserve">Appendix B</w:t>
            </w:r>
          </w:p>
        </w:tc>
        <w:tc>
          <w:tcPr>
            <w:tcW w:type="dxa" w:w="7004"/>
            <w:shd w:val="clear" w:color="auto" w:fill="FFFFFF"/>
          </w:tcPr>
          <w:p w14:paraId="0C140CDF">
            <w:pPr>
              <w:autoSpaceDE w:val="0"/>
              <w:autoSpaceDN w:val="0"/>
              <w:adjustRightInd w:val="0"/>
              <w:spacing w:before="120" w:after="120" w:line="240" w:lineRule="auto"/>
            </w:pPr>
          </w:p>
        </w:tc>
      </w:tr>
    </w:tbl>
    <w:p w14:paraId="4BE27305">
      <w:pPr>
        <w:spacing w:after="160" w:line="259" w:lineRule="auto"/>
        <w:rPr>
          <w:rFonts w:ascii="Times New Roman" w:hAnsi="Times New Roman" w:cs="Times New Roman" w:eastAsia="Times New Roman"/>
          <w:color w:val="2F5496"/>
          <w:sz w:val="32"/>
          <w:szCs w:val="32"/>
        </w:rPr>
      </w:pPr>
    </w:p>
    <w:p w14:paraId="4CB70231">
      <w:pPr>
        <w:pStyle w:val="Heading1"/>
        <w:keepNext/>
        <w:keepLines/>
        <w:numPr>
          <w:ilvl w:val="0"/>
          <w:numId w:val="12"/>
        </w:numPr>
        <w:spacing w:before="120" w:after="120" w:line="240" w:lineRule="auto"/>
        <w:rPr>
          <w:rFonts w:ascii="Times New Roman" w:hAnsi="Times New Roman" w:cs="Times New Roman" w:eastAsia="Times New Roman"/>
        </w:rPr>
      </w:pPr>
      <w:bookmarkStart w:id="100020" w:name="_Toc226628125"/>
      <w:bookmarkEnd w:id="100020"/>
      <w:r>
        <w:rPr>
          <w:rFonts w:ascii="Times New Roman" w:hAnsi="Times New Roman" w:cs="Times New Roman" w:eastAsia="Times New Roman"/>
        </w:rPr>
        <w:t xml:space="preserve">Predefined Regression Testing</w:t>
      </w:r>
    </w:p>
    <w:p w14:paraId="3DDAC33D">
      <w:pPr>
        <w:spacing w:before="120" w:after="120" w:line="240" w:lineRule="auto"/>
        <w:rPr>
          <w:rFonts w:ascii="Times New Roman" w:hAnsi="Times New Roman" w:cs="Times New Roman" w:eastAsia="Times New Roman"/>
          <w:sz w:val="20"/>
          <w:szCs w:val="20"/>
        </w:rPr>
      </w:pPr>
      <w:r>
        <w:rPr>
          <w:rFonts w:ascii="Times New Roman" w:hAnsi="Times New Roman" w:cs="Times New Roman" w:eastAsia="Times New Roman"/>
          <w:sz w:val="20"/>
          <w:szCs w:val="20"/>
        </w:rPr>
        <w:t xml:space="preserve">The minimum predefined regression tests are shown on the </w:t>
      </w:r>
      <w:hyperlink r:id="rIdLink4">
        <w:r>
          <w:rPr>
            <w:rStyle w:val="Hyperlink"/>
            <w:rFonts w:ascii="Times New Roman" w:hAnsi="Times New Roman" w:cs="Times New Roman" w:eastAsia="Times New Roman"/>
            <w:u w:val="single"/>
            <w:color w:val="0563C1"/>
            <w:sz w:val="20"/>
            <w:szCs w:val="20"/>
          </w:rPr>
          <w:t xml:space="preserve">CMVP website</w:t>
        </w:r>
      </w:hyperlink>
      <w:r>
        <w:rPr>
          <w:rFonts w:ascii="Times New Roman" w:hAnsi="Times New Roman" w:cs="Times New Roman" w:eastAsia="Times New Roman"/>
          <w:sz w:val="20"/>
          <w:szCs w:val="20"/>
        </w:rPr>
        <w:t xml:space="preserve"> for the OEUP, PTSC, UPDT, CVE, TRNS (code changes), and TRNS (no code changes).</w:t>
      </w:r>
    </w:p>
    <w:p w14:paraId="4AFDB5F9">
      <w:pPr>
        <w:spacing w:before="120" w:after="120" w:line="240" w:lineRule="auto"/>
        <w:rPr>
          <w:rFonts w:ascii="Times New Roman" w:hAnsi="Times New Roman" w:cs="Times New Roman" w:eastAsia="Times New Roman"/>
          <w:sz w:val="20"/>
          <w:szCs w:val="20"/>
        </w:rPr>
      </w:pPr>
    </w:p>
    <w:p w14:paraId="1B7AF99E">
      <w:pPr>
        <w:pStyle w:val="Heading1"/>
        <w:keepNext/>
        <w:keepLines/>
        <w:numPr>
          <w:ilvl w:val="0"/>
          <w:numId w:val="12"/>
        </w:numPr>
        <w:spacing w:before="120" w:after="120" w:line="240" w:lineRule="auto"/>
        <w:rPr>
          <w:rFonts w:ascii="Times New Roman" w:hAnsi="Times New Roman" w:cs="Times New Roman" w:eastAsia="Times New Roman"/>
        </w:rPr>
      </w:pPr>
      <w:bookmarkStart w:id="100021" w:name="_Toc226628126"/>
      <w:bookmarkEnd w:id="100021"/>
      <w:r>
        <w:rPr>
          <w:rFonts w:ascii="Times New Roman" w:hAnsi="Times New Roman" w:cs="Times New Roman" w:eastAsia="Times New Roman"/>
        </w:rPr>
        <w:t xml:space="preserve">Document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435"/>
        <w:gridCol w:w="1890"/>
        <w:gridCol w:w="6025"/>
      </w:tblGrid>
      <w:tr>
        <w:tc>
          <w:tcPr>
            <w:tcW w:type="dxa" w:w="1435"/>
            <w:shd w:val="clear" w:color="auto" w:fill="D9D9D9"/>
          </w:tcPr>
          <w:p w14:paraId="3F9BE950">
            <w:pPr>
              <w:spacing w:before="120" w:after="120" w:line="240" w:lineRule="auto"/>
            </w:pPr>
            <w:r>
              <w:t xml:space="preserve">Version</w:t>
            </w:r>
          </w:p>
        </w:tc>
        <w:tc>
          <w:tcPr>
            <w:tcW w:type="dxa" w:w="1890"/>
            <w:shd w:val="clear" w:color="auto" w:fill="D9D9D9"/>
          </w:tcPr>
          <w:p w14:paraId="5B526D5D">
            <w:pPr>
              <w:spacing w:before="120" w:after="120" w:line="240" w:lineRule="auto"/>
            </w:pPr>
            <w:r>
              <w:t xml:space="preserve">Date</w:t>
            </w:r>
          </w:p>
        </w:tc>
        <w:tc>
          <w:tcPr>
            <w:tcW w:type="dxa" w:w="6025"/>
            <w:shd w:val="clear" w:color="auto" w:fill="D9D9D9"/>
          </w:tcPr>
          <w:p w14:paraId="043A77AF">
            <w:pPr>
              <w:spacing w:before="120" w:after="120" w:line="240" w:lineRule="auto"/>
            </w:pPr>
            <w:r>
              <w:t xml:space="preserve">Changes</w:t>
            </w:r>
          </w:p>
        </w:tc>
      </w:tr>
      <w:tr>
        <w:tc>
          <w:tcPr>
            <w:tcW w:type="dxa" w:w="1435"/>
          </w:tcPr>
          <w:p w14:paraId="032657C7">
            <w:pPr>
              <w:spacing w:before="120" w:after="120" w:line="240" w:lineRule="auto"/>
            </w:pPr>
            <w:r>
              <w:t xml:space="preserve">1.0</w:t>
            </w:r>
          </w:p>
        </w:tc>
        <w:tc>
          <w:tcPr>
            <w:tcW w:type="dxa" w:w="1890"/>
          </w:tcPr>
          <w:p w14:paraId="710231B3">
            <w:pPr>
              <w:spacing w:before="120" w:after="120" w:line="240" w:lineRule="auto"/>
            </w:pPr>
            <w:r>
              <w:t xml:space="preserve">Original</w:t>
            </w:r>
          </w:p>
        </w:tc>
        <w:tc>
          <w:tcPr>
            <w:tcW w:type="dxa" w:w="6025"/>
          </w:tcPr>
          <w:p w14:paraId="7C399A02">
            <w:pPr>
              <w:spacing w:before="120" w:after="120" w:line="240" w:lineRule="auto"/>
            </w:pPr>
            <w:r>
              <w:t xml:space="preserve">-</w:t>
            </w:r>
          </w:p>
        </w:tc>
      </w:tr>
      <w:tr>
        <w:tc>
          <w:tcPr>
            <w:tcW w:type="dxa" w:w="1435"/>
          </w:tcPr>
          <w:p w14:paraId="6004ED84">
            <w:pPr>
              <w:spacing w:before="120" w:after="120" w:line="240" w:lineRule="auto"/>
            </w:pPr>
            <w:r>
              <w:t xml:space="preserve">1.1</w:t>
            </w:r>
          </w:p>
        </w:tc>
        <w:tc>
          <w:tcPr>
            <w:tcW w:type="dxa" w:w="1890"/>
          </w:tcPr>
          <w:p w14:paraId="3818BA1E">
            <w:pPr>
              <w:spacing w:before="120" w:after="120" w:line="240" w:lineRule="auto"/>
            </w:pPr>
            <w:r>
              <w:t xml:space="preserve">October 7, 2024</w:t>
            </w:r>
          </w:p>
        </w:tc>
        <w:tc>
          <w:tcPr>
            <w:tcW w:type="dxa" w:w="6025"/>
          </w:tcPr>
          <w:p w14:paraId="4728653F">
            <w:pPr>
              <w:spacing w:before="120" w:after="120" w:line="240" w:lineRule="auto"/>
            </w:pPr>
            <w:r>
              <w:t xml:space="preserve">1.8 RBND: Separated first row of requirements into two rows.</w:t>
            </w:r>
          </w:p>
          <w:p w14:paraId="27A8F095">
            <w:pPr>
              <w:spacing w:before="120" w:after="120" w:line="240" w:lineRule="auto"/>
            </w:pPr>
            <w:r>
              <w:t xml:space="preserve">2 Certificate Modification Tables: Strikethrough is now also in </w:t>
            </w:r>
            <w:r>
              <w:rPr>
                <w:color w:val="FF0000"/>
              </w:rPr>
              <w:t xml:space="preserve">red</w:t>
            </w:r>
            <w:r>
              <w:t xml:space="preserve">. Added Sections 2.1 and 2.2 on algorithm information.</w:t>
            </w:r>
          </w:p>
        </w:tc>
      </w:tr>
      <w:tr>
        <w:tc>
          <w:tcPr>
            <w:tcW w:type="dxa" w:w="1435"/>
          </w:tcPr>
          <w:p w14:paraId="5B389C2D">
            <w:pPr>
              <w:spacing w:before="120" w:after="120" w:line="240" w:lineRule="auto"/>
            </w:pPr>
            <w:r>
              <w:t xml:space="preserve">1.2</w:t>
            </w:r>
          </w:p>
        </w:tc>
        <w:tc>
          <w:tcPr>
            <w:tcW w:type="dxa" w:w="1890"/>
          </w:tcPr>
          <w:p w14:paraId="25CC4DC8">
            <w:pPr>
              <w:spacing w:before="120" w:after="120" w:line="240" w:lineRule="auto"/>
            </w:pPr>
            <w:r>
              <w:t xml:space="preserve">December 17, 2024</w:t>
            </w:r>
          </w:p>
        </w:tc>
        <w:tc>
          <w:tcPr>
            <w:tcW w:type="dxa" w:w="6025"/>
          </w:tcPr>
          <w:p w14:paraId="29D0A68F">
            <w:pPr>
              <w:spacing w:before="120" w:after="120" w:line="240" w:lineRule="auto"/>
            </w:pPr>
            <w:r>
              <w:t xml:space="preserve">Updated to be consistent with the MM V2.3</w:t>
            </w:r>
          </w:p>
        </w:tc>
      </w:tr>
      <w:tr>
        <w:tc>
          <w:tcPr>
            <w:tcW w:type="dxa" w:w="1435"/>
          </w:tcPr>
          <w:p w14:paraId="2B053F39">
            <w:pPr>
              <w:spacing w:before="120" w:after="120" w:line="240" w:lineRule="auto"/>
            </w:pPr>
            <w:r>
              <w:t xml:space="preserve">1.3</w:t>
            </w:r>
          </w:p>
        </w:tc>
        <w:tc>
          <w:tcPr>
            <w:tcW w:type="dxa" w:w="1890"/>
          </w:tcPr>
          <w:p w14:paraId="0357368B">
            <w:pPr>
              <w:spacing w:before="120" w:after="120" w:line="240" w:lineRule="auto"/>
            </w:pPr>
            <w:r>
              <w:t xml:space="preserve">May 7, 2025</w:t>
            </w:r>
          </w:p>
        </w:tc>
        <w:tc>
          <w:tcPr>
            <w:tcW w:type="dxa" w:w="6025"/>
          </w:tcPr>
          <w:p w14:paraId="04C44F0F">
            <w:pPr>
              <w:spacing w:before="120" w:after="120" w:line="240" w:lineRule="auto"/>
            </w:pPr>
            <w:r>
              <w:t xml:space="preserve">Updated to be consistent with the MM V2.4</w:t>
            </w:r>
          </w:p>
          <w:p w14:paraId="43D414E3">
            <w:pPr>
              <w:spacing w:before="120" w:after="120" w:line="240" w:lineRule="auto"/>
            </w:pPr>
            <w:r>
              <w:t xml:space="preserve">1.10 UPDT: added rows for NEW and MODIFIED IGs.</w:t>
            </w:r>
          </w:p>
        </w:tc>
      </w:tr>
      <w:tr>
        <w:tc>
          <w:tcPr>
            <w:tcW w:type="dxa" w:w="1435"/>
          </w:tcPr>
          <w:p w14:paraId="1D76D076">
            <w:pPr>
              <w:spacing w:before="120" w:after="120" w:line="240" w:lineRule="auto"/>
            </w:pPr>
            <w:r>
              <w:t xml:space="preserve">1.4</w:t>
            </w:r>
          </w:p>
        </w:tc>
        <w:tc>
          <w:tcPr>
            <w:tcW w:type="dxa" w:w="1890"/>
          </w:tcPr>
          <w:p w14:paraId="7227FCE8">
            <w:pPr>
              <w:spacing w:before="120" w:after="120" w:line="240" w:lineRule="auto"/>
            </w:pPr>
            <w:r>
              <w:t xml:space="preserve">May 14, 2025</w:t>
            </w:r>
          </w:p>
        </w:tc>
        <w:tc>
          <w:tcPr>
            <w:tcW w:type="dxa" w:w="6025"/>
          </w:tcPr>
          <w:p w14:paraId="031E3969">
            <w:pPr>
              <w:spacing w:before="120" w:after="120" w:line="240" w:lineRule="auto"/>
            </w:pPr>
            <w:r>
              <w:t xml:space="preserve">Updated to be consistent with the MM V2.5</w:t>
            </w:r>
          </w:p>
        </w:tc>
      </w:tr>
      <w:tr>
        <w:tc>
          <w:tcPr>
            <w:tcW w:type="dxa" w:w="1435"/>
          </w:tcPr>
          <w:p w14:paraId="56BA9EB2">
            <w:pPr>
              <w:spacing w:before="120" w:after="120" w:line="240" w:lineRule="auto"/>
            </w:pPr>
            <w:r>
              <w:t xml:space="preserve">1.5</w:t>
            </w:r>
          </w:p>
        </w:tc>
        <w:tc>
          <w:tcPr>
            <w:tcW w:type="dxa" w:w="1890"/>
          </w:tcPr>
          <w:p w14:paraId="5066FD70">
            <w:pPr>
              <w:spacing w:before="120" w:after="120" w:line="240" w:lineRule="auto"/>
            </w:pPr>
            <w:r>
              <w:t xml:space="preserve">October 16, 2025</w:t>
            </w:r>
          </w:p>
        </w:tc>
        <w:tc>
          <w:tcPr>
            <w:tcW w:type="dxa" w:w="6025"/>
          </w:tcPr>
          <w:p w14:paraId="1A15854F">
            <w:pPr>
              <w:spacing w:before="120" w:after="120" w:line="240" w:lineRule="auto"/>
            </w:pPr>
            <w:r>
              <w:t xml:space="preserve">Updated to be consistent with the MM V2.6</w:t>
            </w:r>
          </w:p>
        </w:tc>
      </w:tr>
      <w:tr>
        <w:tc>
          <w:tcPr>
            <w:tcW w:type="dxa" w:w="1435"/>
          </w:tcPr>
          <w:p w14:paraId="7ADEBD30">
            <w:pPr>
              <w:spacing w:before="120" w:after="120" w:line="240" w:lineRule="auto"/>
            </w:pPr>
            <w:r>
              <w:t xml:space="preserve">1.6</w:t>
            </w:r>
          </w:p>
        </w:tc>
        <w:tc>
          <w:tcPr>
            <w:tcW w:type="dxa" w:w="1890"/>
          </w:tcPr>
          <w:p w14:paraId="4E0CE4E8">
            <w:pPr>
              <w:spacing w:before="120" w:after="120" w:line="240" w:lineRule="auto"/>
            </w:pPr>
            <w:r>
              <w:t xml:space="preserve">April 9, 2026</w:t>
            </w:r>
          </w:p>
        </w:tc>
        <w:tc>
          <w:tcPr>
            <w:tcW w:type="dxa" w:w="6025"/>
          </w:tcPr>
          <w:p w14:paraId="2ED23B53">
            <w:pPr>
              <w:spacing w:before="120" w:after="120" w:line="240" w:lineRule="auto"/>
            </w:pPr>
            <w:r>
              <w:t xml:space="preserve">Updated to be consistent with the MM V2.7</w:t>
            </w:r>
          </w:p>
          <w:p w14:paraId="5FB66588">
            <w:pPr>
              <w:spacing w:before="120" w:after="120" w:line="240" w:lineRule="auto"/>
            </w:pPr>
            <w:r>
              <w:t xml:space="preserve">1.10 UPDT: added rows for NEW and MODIFIED IGs.</w:t>
            </w:r>
          </w:p>
        </w:tc>
      </w:tr>
    </w:tbl>
    <w:p w14:paraId="57C6E4A2">
      <w:pPr>
        <w:spacing w:before="120" w:after="120" w:line="240" w:lineRule="auto"/>
        <w:rPr>
          <w:rFonts w:ascii="Times New Roman" w:hAnsi="Times New Roman" w:cs="Times New Roman" w:eastAsia="Times New Roman"/>
          <w:sz w:val="20"/>
          <w:szCs w:val="20"/>
        </w:rPr>
      </w:pPr>
    </w:p>
    <w:p w14:paraId="3CBCAF4A">
      <w:pPr>
        <w:spacing w:before="120" w:after="120" w:line="240" w:lineRule="auto"/>
        <w:rPr>
          <w:rFonts w:ascii="Times New Roman" w:hAnsi="Times New Roman" w:cs="Times New Roman" w:eastAsia="Times New Roman"/>
          <w:sz w:val="20"/>
          <w:szCs w:val="20"/>
        </w:rPr>
      </w:pPr>
    </w:p>
    <w:sectPr>
      <w:footerReference w:type="default" r:id="rIdKeptH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1543" w14:textId="77777777" w:rsidR="004951C8" w:rsidRDefault="004951C8" w:rsidP="00157472">
      <w:pPr>
        <w:spacing w:after="0" w:line="240" w:lineRule="auto"/>
      </w:pPr>
      <w:r>
        <w:separator/>
      </w:r>
    </w:p>
  </w:endnote>
  <w:endnote w:type="continuationSeparator" w:id="0">
    <w:p w14:paraId="237A81C2" w14:textId="77777777" w:rsidR="004951C8" w:rsidRDefault="004951C8" w:rsidP="00157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797202"/>
      <w:docPartObj>
        <w:docPartGallery w:val="Page Numbers (Bottom of Page)"/>
        <w:docPartUnique/>
      </w:docPartObj>
    </w:sdtPr>
    <w:sdtEndPr>
      <w:rPr>
        <w:noProof/>
      </w:rPr>
    </w:sdtEndPr>
    <w:sdtContent>
      <w:p w14:paraId="7F2B13F3" w14:textId="3914B884" w:rsidR="00EA1BF7" w:rsidRDefault="00EA1B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9EE146" w14:textId="77777777" w:rsidR="00EA1BF7" w:rsidRDefault="00EA1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705AA" w14:textId="77777777" w:rsidR="004951C8" w:rsidRDefault="004951C8" w:rsidP="00157472">
      <w:pPr>
        <w:spacing w:after="0" w:line="240" w:lineRule="auto"/>
      </w:pPr>
      <w:r>
        <w:separator/>
      </w:r>
    </w:p>
  </w:footnote>
  <w:footnote w:type="continuationSeparator" w:id="0">
    <w:p w14:paraId="4631D544" w14:textId="77777777" w:rsidR="004951C8" w:rsidRDefault="004951C8" w:rsidP="00157472">
      <w:pPr>
        <w:spacing w:after="0" w:line="240" w:lineRule="auto"/>
      </w:pPr>
      <w:r>
        <w:continuationSeparator/>
      </w:r>
    </w:p>
  </w:footnote>
  <w:footnote w:id="1">
    <w:p w14:paraId="35581315" w14:textId="28ED282F" w:rsidR="009C5478" w:rsidRPr="002577B2" w:rsidRDefault="009C5478">
      <w:pPr>
        <w:pStyle w:val="FootnoteText"/>
        <w:rPr>
          <w:sz w:val="18"/>
          <w:szCs w:val="18"/>
        </w:rPr>
      </w:pPr>
      <w:r>
        <w:rPr>
          <w:rStyle w:val="FootnoteReference"/>
        </w:rPr>
        <w:footnoteRef/>
      </w:r>
      <w:r w:rsidR="00E52506" w:rsidRPr="00650E75">
        <w:rPr>
          <w:rFonts w:ascii="Times New Roman" w:eastAsia="Times New Roman" w:hAnsi="Times New Roman" w:cs="Times New Roman"/>
          <w:sz w:val="18"/>
          <w:szCs w:val="18"/>
        </w:rPr>
        <w:t xml:space="preserve">A </w:t>
      </w:r>
      <w:r w:rsidR="00E52506" w:rsidRPr="00650E75">
        <w:rPr>
          <w:rFonts w:ascii="Times New Roman" w:eastAsia="Times New Roman" w:hAnsi="Times New Roman" w:cs="Times New Roman"/>
          <w:i/>
          <w:sz w:val="18"/>
          <w:szCs w:val="18"/>
        </w:rPr>
        <w:t xml:space="preserve">security-relevant </w:t>
      </w:r>
      <w:r w:rsidR="00E52506" w:rsidRPr="00073050">
        <w:rPr>
          <w:rFonts w:ascii="Times New Roman" w:eastAsia="Times New Roman" w:hAnsi="Times New Roman" w:cs="Times New Roman"/>
          <w:iCs/>
          <w:sz w:val="18"/>
          <w:szCs w:val="18"/>
        </w:rPr>
        <w:t>CVE</w:t>
      </w:r>
      <w:r w:rsidR="00E52506" w:rsidRPr="00650E75">
        <w:rPr>
          <w:rFonts w:ascii="Times New Roman" w:eastAsia="Times New Roman" w:hAnsi="Times New Roman" w:cs="Times New Roman"/>
          <w:sz w:val="18"/>
          <w:szCs w:val="18"/>
        </w:rPr>
        <w:t xml:space="preserve"> </w:t>
      </w:r>
      <w:r w:rsidR="00073050" w:rsidRPr="00073050">
        <w:rPr>
          <w:rFonts w:ascii="Times New Roman" w:eastAsia="Times New Roman" w:hAnsi="Times New Roman" w:cs="Times New Roman"/>
          <w:sz w:val="18"/>
          <w:szCs w:val="18"/>
        </w:rPr>
        <w:t xml:space="preserve">or maintenance/bug fix </w:t>
      </w:r>
      <w:r w:rsidR="00E52506" w:rsidRPr="00650E75">
        <w:rPr>
          <w:rFonts w:ascii="Times New Roman" w:eastAsia="Times New Roman" w:hAnsi="Times New Roman" w:cs="Times New Roman"/>
          <w:sz w:val="18"/>
          <w:szCs w:val="18"/>
        </w:rPr>
        <w:t xml:space="preserve">is one that affects how the module meets the </w:t>
      </w:r>
      <w:r w:rsidR="00E52506" w:rsidRPr="00650E75">
        <w:rPr>
          <w:rFonts w:ascii="Times New Roman" w:eastAsia="Times New Roman" w:hAnsi="Times New Roman" w:cs="Times New Roman"/>
          <w:sz w:val="18"/>
          <w:szCs w:val="18"/>
          <w:lang w:val="en"/>
        </w:rPr>
        <w:t>Section 6 Functional Security Objectives,</w:t>
      </w:r>
      <w:r w:rsidR="00E52506" w:rsidRPr="00650E75">
        <w:rPr>
          <w:rFonts w:ascii="Times New Roman" w:eastAsia="Times New Roman" w:hAnsi="Times New Roman" w:cs="Times New Roman"/>
          <w:sz w:val="18"/>
          <w:szCs w:val="18"/>
        </w:rPr>
        <w:t xml:space="preserve"> and </w:t>
      </w:r>
      <w:r w:rsidR="00E52506" w:rsidRPr="00650E75">
        <w:rPr>
          <w:rFonts w:ascii="Times New Roman" w:eastAsia="Times New Roman" w:hAnsi="Times New Roman" w:cs="Times New Roman"/>
          <w:sz w:val="18"/>
          <w:szCs w:val="18"/>
          <w:lang w:val="en"/>
        </w:rPr>
        <w:t>the specific Section 7 Security Requirements derived from those objectives</w:t>
      </w:r>
      <w:r w:rsidR="002577B2" w:rsidRPr="00624489">
        <w:rPr>
          <w:rFonts w:ascii="Times New Roman" w:eastAsia="Times New Roman" w:hAnsi="Times New Roman" w:cs="Times New Roman"/>
          <w:sz w:val="18"/>
          <w:szCs w:val="18"/>
        </w:rPr>
        <w:t>.</w:t>
      </w:r>
    </w:p>
  </w:footnote>
</w:footnotes>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suff w:val="space"/>
      <w:lvlText w:val="%1."/>
      <w:lvlJc w:val="left"/>
      <w:pPr>
        <w:ind w:left="936" w:hanging="57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multiLevelType w:val="hybrid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multiLevelType w:val="hybridMultilevel"/>
    <w:lvl w:ilvl="0">
      <w:start w:val="1"/>
      <w:numFmt w:val="decimal"/>
      <w:lvlText w:val="%1."/>
      <w:lvlJc w:val="left"/>
      <w:pPr>
        <w:ind w:left="360" w:hanging="360"/>
      </w:pPr>
      <w:rPr>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multiLevelType w:val="hybridMultilevel"/>
    <w:lvl w:ilvl="0">
      <w:start w:val="1"/>
      <w:numFmt w:val="lowerRoman"/>
      <w:lvlText w:val="%1."/>
      <w:lvlJc w:val="right"/>
      <w:pPr>
        <w:ind w:left="720" w:hanging="360"/>
      </w:pPr>
      <w:rPr>
        <w:rFonts w:hint="default"/>
      </w:rPr>
    </w:lvl>
    <w:lvl w:ilvl="1">
      <w:start w:val="1"/>
      <w:numFmt w:val="bullet"/>
      <w:lvlText w:val="◦"/>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7">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multiLevelType w:val="hybridMultilevel"/>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multiLevelType w:val="hybridMultilevel"/>
    <w:lvl w:ilvl="0">
      <w:start w:val="1"/>
      <w:numFmt w:val="decimal"/>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multiLevelType w:val="hybridMultilevel"/>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multiLevelType w:val="hybridMultilevel"/>
    <w:lvl w:ilvl="0">
      <w:start w:val="1"/>
      <w:numFmt w:val="lowerLetter"/>
      <w:lvlText w:val="%1."/>
      <w:lvlJc w:val="left"/>
      <w:pPr>
        <w:ind w:left="1440" w:hanging="360"/>
      </w:pPr>
    </w:lvl>
    <w:lvl w:ilvl="1">
      <w:start w:val="1"/>
      <w:numFmt w:val="lowerRoman"/>
      <w:lvlText w:val="%2."/>
      <w:lvlJc w:val="right"/>
      <w:pPr>
        <w:ind w:left="2160" w:hanging="360"/>
      </w:pPr>
      <w:rPr>
        <w:rFonts w:ascii="Times New Roman" w:cs="Times New Roman" w:hAnsi="Times New Roman" w:hint="default"/>
        <w:sz w:val="20"/>
        <w:szCs w:val="20"/>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3">
    <w:multiLevelType w:val="hybridMultilevel"/>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multiLevelType w:val="hybrid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multiLevelType w:val="hybridMultilevel"/>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multiLevelType w:val="hybridMultilevel"/>
    <w:lvl w:ilvl="0">
      <w:start w:val="1"/>
      <w:numFmt w:val="lowerRoman"/>
      <w:lvlText w:val="%1."/>
      <w:lvlJc w:val="right"/>
      <w:pPr>
        <w:ind w:left="720" w:hanging="360"/>
      </w:pPr>
      <w:rPr>
        <w:rFonts w:hint="default"/>
      </w:rPr>
    </w:lvl>
    <w:lvl w:ilvl="1">
      <w:start w:val="1"/>
      <w:numFmt w:val="bullet"/>
      <w:lvlText w:val="◦"/>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7">
    <w:multiLevelType w:val="hybridMultilevel"/>
    <w:lvl w:ilvl="0">
      <w:start w:val="1"/>
      <w:numFmt w:val="lowerRoman"/>
      <w:lvlText w:val="%1."/>
      <w:lvlJc w:val="right"/>
      <w:pPr>
        <w:ind w:left="720" w:hanging="360"/>
      </w:pPr>
      <w:rPr>
        <w:rFonts w:hint="default"/>
      </w:rPr>
    </w:lvl>
    <w:lvl w:ilvl="1">
      <w:start w:val="1"/>
      <w:numFmt w:val="bullet"/>
      <w:lvlText w:val="◦"/>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7">
    <w:abstractNumId w:val="0"/>
  </w:num>
  <w:num w:numId="18">
    <w:abstractNumId w:val="1"/>
  </w: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settings>
</file>

<file path=word/styles.xml><?xml version="1.0" encoding="utf-8"?>
<w:styles xmlns:w="http://schemas.openxmlformats.org/wordprocessingml/2006/main">
  <w:docDefaults>
    <w:rPrDefault>
      <w:rPr>
        <w:rFonts w:ascii="Calibri" w:hAnsi="Calibri" w:cs="Calibri" w:eastAsia="Calibri"/>
        <w:sz w:val="22"/>
        <w:szCs w:val="22"/>
        <w:lang w:bidi="ar-SA" w:eastAsia="en-US"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80" w:line="240" w:lineRule="auto"/>
    </w:pPr>
    <w:rPr>
      <w:color w:val="1F3864"/>
      <w:sz w:val="56"/>
      <w:szCs w:val="56"/>
    </w:rPr>
  </w:style>
  <w:style w:type="paragraph" w:styleId="Subtitle">
    <w:name w:val="Subtitle"/>
    <w:basedOn w:val="Normal"/>
    <w:next w:val="Normal"/>
    <w:qFormat/>
    <w:pPr>
      <w:spacing w:after="160" w:line="259" w:lineRule="auto"/>
    </w:pPr>
    <w:rPr>
      <w:color w:val="5A5A5A"/>
      <w:sz w:val="26"/>
      <w:szCs w:val="26"/>
    </w:rPr>
  </w:style>
  <w:style w:type="paragraph" w:styleId="Heading1">
    <w:name w:val="heading 1"/>
    <w:basedOn w:val="Normal"/>
    <w:next w:val="Normal"/>
    <w:qFormat/>
    <w:pPr>
      <w:keepNext/>
      <w:keepLines/>
      <w:spacing w:before="240" w:after="0" w:line="259" w:lineRule="auto"/>
      <w:outlineLvl w:val="0"/>
    </w:pPr>
    <w:rPr>
      <w:rFonts w:ascii="Calibri Light" w:hAnsi="Calibri Light" w:cs="Calibri Light"/>
      <w:color w:val="2F5496"/>
      <w:sz w:val="32"/>
      <w:szCs w:val="32"/>
    </w:rPr>
  </w:style>
  <w:style w:type="paragraph" w:styleId="Heading2">
    <w:name w:val="heading 2"/>
    <w:basedOn w:val="Normal"/>
    <w:next w:val="Normal"/>
    <w:qFormat/>
    <w:pPr>
      <w:keepNext/>
      <w:keepLines/>
      <w:spacing w:before="40" w:after="0" w:line="259" w:lineRule="auto"/>
      <w:outlineLvl w:val="1"/>
    </w:pPr>
    <w:rPr>
      <w:rFonts w:ascii="Calibri Light" w:hAnsi="Calibri Light" w:cs="Calibri Light"/>
      <w:color w:val="2F5496"/>
      <w:sz w:val="26"/>
      <w:szCs w:val="26"/>
    </w:rPr>
  </w:style>
  <w:style w:type="paragraph" w:styleId="Heading3">
    <w:name w:val="heading 3"/>
    <w:basedOn w:val="Normal"/>
    <w:next w:val="Normal"/>
    <w:qFormat/>
    <w:pPr>
      <w:autoSpaceDE w:val="0"/>
      <w:autoSpaceDN w:val="0"/>
      <w:spacing w:before="119" w:after="0" w:line="240" w:lineRule="auto"/>
      <w:ind w:left="901"/>
      <w:outlineLvl w:val="2"/>
    </w:pPr>
    <w:rPr>
      <w:rFonts w:ascii="Times New Roman" w:hAnsi="Times New Roman" w:cs="Times New Roman" w:eastAsia="Times New Roman"/>
      <w:b/>
      <w:bCs/>
      <w:u w:val="single"/>
      <w:sz w:val="24"/>
      <w:szCs w:val="24"/>
      <w:lang w:bidi="en-US"/>
    </w:rPr>
  </w:style>
  <w:style w:type="paragraph" w:styleId="Heading4">
    <w:name w:val="heading 4"/>
    <w:basedOn w:val="Normal"/>
    <w:next w:val="Normal"/>
    <w:qFormat/>
    <w:pPr>
      <w:keepNext/>
      <w:keepLines/>
      <w:spacing w:before="40" w:after="0" w:line="259" w:lineRule="auto"/>
      <w:outlineLvl w:val="3"/>
    </w:pPr>
    <w:rPr>
      <w:rFonts w:ascii="Calibri Light" w:hAnsi="Calibri Light" w:cs="Calibri Light"/>
      <w:i/>
      <w:iCs/>
      <w:color w:val="2F5496"/>
    </w:rPr>
  </w:style>
  <w:style w:type="paragraph" w:styleId="Heading5">
    <w:name w:val="heading 5"/>
    <w:basedOn w:val="Normal"/>
    <w:next w:val="Normal"/>
    <w:qFormat/>
    <w:pPr>
      <w:spacing w:before="80" w:after="40" w:line="259" w:lineRule="auto"/>
      <w:outlineLvl w:val="4"/>
    </w:pPr>
    <w:rPr>
      <w:color w:val="2F5496"/>
      <w:sz w:val="22"/>
      <w:szCs w:val="22"/>
    </w:rPr>
  </w:style>
  <w:style w:type="paragraph" w:styleId="Heading6">
    <w:name w:val="heading 6"/>
    <w:basedOn w:val="Normal"/>
    <w:next w:val="Normal"/>
    <w:qFormat/>
    <w:pPr>
      <w:autoSpaceDE w:val="0"/>
      <w:autoSpaceDN w:val="0"/>
      <w:spacing w:after="0" w:line="240" w:lineRule="auto"/>
      <w:ind w:left="200"/>
      <w:outlineLvl w:val="5"/>
    </w:pPr>
    <w:rPr>
      <w:rFonts w:ascii="Times New Roman" w:hAnsi="Times New Roman" w:cs="Times New Roman" w:eastAsia="Times New Roman"/>
      <w:b/>
      <w:bCs/>
      <w:sz w:val="20"/>
      <w:szCs w:val="20"/>
      <w:lang w:bidi="en-US"/>
    </w:rPr>
  </w:style>
  <w:style w:type="paragraph" w:styleId="Quote">
    <w:name w:val="Quote"/>
    <w:basedOn w:val="Normal"/>
    <w:qFormat/>
    <w:pPr>
      <w:spacing w:before="160" w:after="160" w:line="259" w:lineRule="auto"/>
      <w:ind w:left="720" w:right="720"/>
      <w:jc w:val="center"/>
    </w:pPr>
    <w:rPr>
      <w:i/>
      <w:iCs/>
      <w:color w:val="404040"/>
    </w:rPr>
  </w:style>
  <w:style w:type="paragraph" w:styleId="Caption">
    <w:name w:val="Caption"/>
    <w:basedOn w:val="Normal"/>
    <w:next w:val="Normal"/>
    <w:qFormat/>
    <w:pPr>
      <w:spacing w:after="200" w:line="240" w:lineRule="auto"/>
    </w:pPr>
    <w:rPr>
      <w:i/>
      <w:iCs/>
      <w:color w:val="44546A"/>
      <w:sz w:val="18"/>
      <w:szCs w:val="18"/>
    </w:rPr>
  </w:style>
  <w:style w:type="paragraph" w:styleId="Code">
    <w:name w:val="Code"/>
    <w:basedOn w:val="Normal"/>
    <w:qFormat/>
    <w:pPr>
      <w:spacing w:after="0" w:line="240" w:lineRule="auto"/>
    </w:pPr>
    <w:rPr>
      <w:sz w:val="20"/>
      <w:szCs w:val="20"/>
    </w:rPr>
  </w:style>
  <w:style w:type="paragraph" w:styleId="ListParagraph">
    <w:name w:val="List Paragraph"/>
    <w:basedOn w:val="Normal"/>
    <w:qFormat/>
    <w:pPr>
      <w:spacing w:after="160" w:line="259" w:lineRule="auto"/>
      <w:ind w:left="720"/>
    </w:pPr>
    <w:rPr/>
  </w:style>
  <w:style w:type="paragraph" w:styleId="TOCHeading">
    <w:name w:val="TOC Heading"/>
    <w:basedOn w:val="Normal"/>
    <w:qFormat/>
    <w:pPr>
      <w:keepNext/>
      <w:keepLines/>
      <w:spacing w:before="240" w:after="0" w:line="259" w:lineRule="auto"/>
    </w:pPr>
    <w:rPr>
      <w:rFonts w:ascii="Calibri Light" w:hAnsi="Calibri Light" w:cs="Calibri Light"/>
      <w:color w:val="2F5496"/>
      <w:sz w:val="32"/>
      <w:szCs w:val="32"/>
    </w:rPr>
  </w:style>
  <w:style w:type="paragraph" w:styleId="TOC1">
    <w:name w:val="toc 1"/>
    <w:basedOn w:val="Normal"/>
    <w:qFormat/>
    <w:pPr>
      <w:spacing w:after="100" w:line="259" w:lineRule="auto"/>
    </w:pPr>
    <w:rPr/>
  </w:style>
  <w:style w:type="paragraph" w:styleId="TOC2">
    <w:name w:val="toc 2"/>
    <w:basedOn w:val="Normal"/>
    <w:qFormat/>
    <w:pPr>
      <w:spacing w:after="100" w:line="259" w:lineRule="auto"/>
      <w:ind w:left="220"/>
    </w:pPr>
    <w:rPr/>
  </w:style>
  <w:style w:type="paragraph" w:styleId="Footer">
    <w:name w:val="footer"/>
    <w:basedOn w:val="Normal"/>
    <w:qFormat/>
    <w:pPr>
      <w:tabs>
        <w:tab w:val="center" w:pos="4680"/>
        <w:tab w:val="right" w:pos="9360"/>
      </w:tabs>
      <w:spacing w:after="0" w:line="240" w:lineRule="auto"/>
    </w:pPr>
    <w:rPr/>
  </w:style>
  <w:style w:type="paragraph" w:styleId="FootnoteText">
    <w:name w:val="footnote text"/>
    <w:basedOn w:val="Normal"/>
    <w:qFormat/>
    <w:pPr>
      <w:spacing w:after="0" w:line="240" w:lineRule="auto"/>
    </w:pPr>
    <w:rPr>
      <w:sz w:val="20"/>
      <w:szCs w:val="20"/>
    </w:rPr>
  </w:style>
  <w:style w:type="paragraph" w:styleId="ListParagraph">
    <w:name w:val="List Paragraph"/>
    <w:basedOn w:val="Normal"/>
    <w:qFormat/>
    <w:pPr>
      <w:ind w:left="720"/>
      <w:contextualSpacing/>
    </w:pPr>
  </w:style>
  <w:style w:customStyle="1" w:styleId="BodyTextChar" w:type="character">
    <w:name w:val="Body Text Char"/>
    <w:basedOn w:val="DefaultParagraphFont"/>
    <w:uiPriority w:val="1"/>
    <w:rPr>
      <w:rFonts w:ascii="Times New Roman" w:cs="Times New Roman" w:eastAsia="Times New Roman" w:hAnsi="Times New Roman"/>
      <w:sz w:val="20"/>
      <w:szCs w:val="20"/>
      <w:lang w:bidi="en-US"/>
    </w:rPr>
  </w:style>
  <w:style w:styleId="CommentReference" w:type="character">
    <w:name w:val="annotation reference"/>
    <w:basedOn w:val="DefaultParagraphFont"/>
    <w:uiPriority w:val="99"/>
    <w:semiHidden/>
    <w:unhideWhenUsed/>
    <w:rPr>
      <w:sz w:val="16"/>
      <w:szCs w:val="16"/>
    </w:rPr>
  </w:style>
  <w:style w:customStyle="1" w:styleId="CommentSubjectChar" w:type="character">
    <w:name w:val="Comment Subject Char"/>
    <w:basedOn w:val="CommentTextChar"/>
    <w:uiPriority w:val="99"/>
    <w:semiHidden/>
    <w:rPr>
      <w:rFonts w:ascii="Times New Roman" w:cs="Times New Roman" w:eastAsia="Times New Roman" w:hAnsi="Times New Roman"/>
      <w:b/>
      <w:bCs/>
      <w:sz w:val="20"/>
      <w:szCs w:val="20"/>
      <w:lang w:bidi="en-US"/>
    </w:rPr>
  </w:style>
  <w:style w:customStyle="1" w:styleId="CommentTextChar" w:type="character">
    <w:name w:val="Comment Text Char"/>
    <w:basedOn w:val="DefaultParagraphFont"/>
    <w:uiPriority w:val="99"/>
    <w:rPr>
      <w:rFonts w:ascii="Times New Roman" w:cs="Times New Roman" w:eastAsia="Times New Roman" w:hAnsi="Times New Roman"/>
      <w:sz w:val="20"/>
      <w:szCs w:val="20"/>
      <w:lang w:bidi="en-US"/>
    </w:rPr>
  </w:style>
  <w:style w:default="1" w:styleId="DefaultParagraphFont" w:type="character">
    <w:name w:val="Default Paragraph Font"/>
    <w:uiPriority w:val="1"/>
    <w:unhideWhenUsed/>
  </w:style>
  <w:style w:styleId="Emphasis" w:type="character">
    <w:name w:val="Emphasis"/>
    <w:uiPriority w:val="20"/>
    <w:qFormat/>
    <w:rPr>
      <w:i/>
      <w:iCs/>
    </w:rPr>
  </w:style>
  <w:style w:styleId="FollowedHyperlink" w:type="character">
    <w:name w:val="FollowedHyperlink"/>
    <w:basedOn w:val="DefaultParagraphFont"/>
    <w:uiPriority w:val="99"/>
    <w:semiHidden/>
    <w:unhideWhenUsed/>
    <w:rPr>
      <w:color w:val="954F72"/>
      <w:u w:val="single"/>
    </w:rPr>
  </w:style>
  <w:style w:customStyle="1" w:styleId="FooterChar" w:type="character">
    <w:name w:val="Footer Char"/>
    <w:basedOn w:val="DefaultParagraphFont"/>
    <w:uiPriority w:val="99"/>
  </w:style>
  <w:style w:styleId="FootnoteReference" w:type="character">
    <w:name w:val="footnote reference"/>
    <w:basedOn w:val="DefaultParagraphFont"/>
    <w:uiPriority w:val="99"/>
    <w:semiHidden/>
    <w:unhideWhenUsed/>
    <w:rPr>
      <w:vertAlign w:val="superscript"/>
    </w:rPr>
  </w:style>
  <w:style w:customStyle="1" w:styleId="FootnoteTextChar" w:type="character">
    <w:name w:val="Footnote Text Char"/>
    <w:basedOn w:val="DefaultParagraphFont"/>
    <w:uiPriority w:val="99"/>
    <w:semiHidden/>
    <w:rPr>
      <w:sz w:val="20"/>
      <w:szCs w:val="20"/>
    </w:rPr>
  </w:style>
  <w:style w:customStyle="1" w:styleId="HeaderChar" w:type="character">
    <w:name w:val="Header Char"/>
    <w:basedOn w:val="DefaultParagraphFont"/>
    <w:uiPriority w:val="99"/>
  </w:style>
  <w:style w:customStyle="1" w:styleId="Heading1Char" w:type="character">
    <w:name w:val="Heading 1 Char"/>
    <w:basedOn w:val="DefaultParagraphFont"/>
    <w:uiPriority w:val="9"/>
    <w:rPr>
      <w:rFonts w:ascii="Calibri Light" w:hAnsi="Calibri Light"/>
      <w:color w:val="2F5496"/>
      <w:sz w:val="32"/>
      <w:szCs w:val="32"/>
    </w:rPr>
  </w:style>
  <w:style w:customStyle="1" w:styleId="Heading2Char" w:type="character">
    <w:name w:val="Heading 2 Char"/>
    <w:basedOn w:val="DefaultParagraphFont"/>
    <w:uiPriority w:val="9"/>
    <w:rPr>
      <w:rFonts w:ascii="Calibri Light" w:hAnsi="Calibri Light"/>
      <w:color w:val="2F5496"/>
      <w:sz w:val="26"/>
      <w:szCs w:val="26"/>
    </w:rPr>
  </w:style>
  <w:style w:customStyle="1" w:styleId="Heading3Char" w:type="character">
    <w:name w:val="Heading 3 Char"/>
    <w:basedOn w:val="DefaultParagraphFont"/>
    <w:uiPriority w:val="9"/>
    <w:rPr>
      <w:rFonts w:ascii="Times New Roman" w:cs="Times New Roman" w:eastAsia="Times New Roman" w:hAnsi="Times New Roman"/>
      <w:b/>
      <w:bCs/>
      <w:sz w:val="24"/>
      <w:szCs w:val="24"/>
      <w:u w:color="000000" w:val="single"/>
      <w:lang w:bidi="en-US"/>
    </w:rPr>
  </w:style>
  <w:style w:customStyle="1" w:styleId="Heading4Char" w:type="character">
    <w:name w:val="Heading 4 Char"/>
    <w:basedOn w:val="DefaultParagraphFont"/>
    <w:uiPriority w:val="9"/>
    <w:semiHidden/>
    <w:rPr>
      <w:rFonts w:ascii="Calibri Light" w:hAnsi="Calibri Light"/>
      <w:i/>
      <w:iCs/>
      <w:color w:val="2F5496"/>
    </w:rPr>
  </w:style>
  <w:style w:customStyle="1" w:styleId="Heading6Char" w:type="character">
    <w:name w:val="Heading 6 Char"/>
    <w:basedOn w:val="DefaultParagraphFont"/>
    <w:uiPriority w:val="9"/>
    <w:rPr>
      <w:rFonts w:ascii="Times New Roman" w:cs="Times New Roman" w:eastAsia="Times New Roman" w:hAnsi="Times New Roman"/>
      <w:b/>
      <w:bCs/>
      <w:sz w:val="20"/>
      <w:szCs w:val="20"/>
      <w:lang w:bidi="en-US"/>
    </w:rPr>
  </w:style>
  <w:style w:styleId="Hyperlink" w:type="character">
    <w:name w:val="Hyperlink"/>
    <w:basedOn w:val="DefaultParagraphFont"/>
    <w:uiPriority w:val="99"/>
    <w:unhideWhenUsed/>
    <w:rPr>
      <w:color w:val="0563C1"/>
      <w:u w:val="single"/>
    </w:rPr>
  </w:style>
  <w:style w:styleId="UnresolvedMention" w:type="character">
    <w:name w:val="Unresolved Mention"/>
    <w:basedOn w:val="DefaultParagraphFont"/>
    <w:uiPriority w:val="99"/>
    <w:semiHidden/>
    <w:unhideWhenUsed/>
    <w:rPr>
      <w:color w:val="605E5C"/>
      <w:shd w:color="auto" w:fill="E1DFDD" w:val="clea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styleId="EndnoteReference">
    <w:name w:val="endnote reference"/>
    <w:rPr>
      <w:vertAlign w:val="superscript"/>
    </w:rPr>
  </w:style>
  <w:style w:type="paragraph" w:styleId="EndnoteText">
    <w:name w:val="endnote text"/>
    <w:basedOn w:val="Normal"/>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Link1" Type="http://schemas.openxmlformats.org/officeDocument/2006/relationships/hyperlink" Target="https://csrc.nist.gov/CSRC/media/Projects/cryptographic-module-validation-program/documents/fips%20140-3/FIPS%20140-3%20IG.pdf" TargetMode="External"/><Relationship Id="rIdLink2" Type="http://schemas.openxmlformats.org/officeDocument/2006/relationships/hyperlink" Target="https://csrc.nist.gov/csrc/media/Projects/cryptographic-module-validation-program/documents/fips%20140-3/Module%20Processes/MIS%20Field%20Descriptions%20-%20V2.8.4.pdf" TargetMode="External"/><Relationship Id="rIdLink3" Type="http://schemas.openxmlformats.org/officeDocument/2006/relationships/hyperlink" Target="https://csrc.nist.gov/csrc/media/projects/cryptographic-algorithm-validation-program/documents/cavpfaq.pdf" TargetMode="External"/><Relationship Id="rIdLink4" Type="http://schemas.openxmlformats.org/officeDocument/2006/relationships/hyperlink" Target="https://csrc.nist.gov/Projects/cryptographic-module-validation-program/140-3-resources" TargetMode="External"/><Relationship Id="rIdLink5" Type="http://schemas.openxmlformats.org/officeDocument/2006/relationships/hyperlink" Target="https://csrc.nist.gov/Projects/cryptographic-module-validation-program/cmvp-fips-140-3-management-manual" TargetMode="External"/><Relationship Id="rIdLink6" Type="http://schemas.openxmlformats.org/officeDocument/2006/relationships/hyperlink" Target="https://csrc.nist.gov/Projects/cryptographic-module-validation-program/fips-140-3-ig-announcements" TargetMode="External"/><Relationship Id="rIdLink7" Type="http://schemas.openxmlformats.org/officeDocument/2006/relationships/hyperlink" Target="https://cmuf-workspace.org/Products/Projects/Messages.aspx?prjID=3&amp;id=451" TargetMode="External"/><Relationship Id="rIdLink8" Type="http://schemas.openxmlformats.org/officeDocument/2006/relationships/hyperlink" Target="https://csrc.nist.gov/Projects/cryptographic-module-validation-program/sp-800-140-series-supplemental-information/sp800-140b" TargetMode="External"/><Relationship Id="rIdLink9" Type="http://schemas.openxmlformats.org/officeDocument/2006/relationships/hyperlink" Target="https://cve.mitre.org/" TargetMode="External"/><Relationship Id="rIdLink10" Type="http://schemas.openxmlformats.org/officeDocument/2006/relationships/hyperlink" Target="https://csrc.nist.gov/Projects/cryptographic-module-validation-program/programmatic-transitions" TargetMode="External"/><Relationship Id="rIdLink11" Type="http://schemas.openxmlformats.org/officeDocument/2006/relationships/hyperlink" Target="http://www.productA.com" TargetMode="External"/><Relationship Id="rIdLink12" Type="http://schemas.openxmlformats.org/officeDocument/2006/relationships/hyperlink" Target="http://www.productB.com" TargetMode="External"/><Relationship Id="rIdKeptHF0" Type="http://schemas.openxmlformats.org/officeDocument/2006/relationships/footer" Target="footer1.xml"/><Relationship Id="rIdEndnotes" Type="http://schemas.openxmlformats.org/officeDocument/2006/relationships/endnotes" Target="endnotes.xml"/><Relationship Id="rIdFontTable" Type="http://schemas.openxmlformats.org/officeDocument/2006/relationships/fontTable" Target="fontTable.xml"/><Relationship Id="rIdFootnotes" Type="http://schemas.openxmlformats.org/officeDocument/2006/relationships/footnotes" Target="footnotes.xml"/><Relationship Id="rIdTheme"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