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21AD0D27">
      <w:pPr>
        <w:pStyle w:val="Heading1"/>
        <w:keepNext/>
        <w:keepLines/>
        <w:pBdr>
          <w:bottom w:val="single" w:sz="12" w:space="6" w:color="C8102E"/>
        </w:pBdr>
        <w:spacing w:before="560" w:after="200" w:line="281" w:lineRule="auto"/>
      </w:pPr>
      <w:r>
        <w:t xml:space="preserve">The menu bar</w:t>
      </w:r>
    </w:p>
    <w:p w14:paraId="6B05DC26">
      <w:pPr>
        <w:spacing w:after="160" w:line="259" w:lineRule="auto"/>
      </w:pPr>
      <w:r>
        <w:t xml:space="preserve">The bar along the top carries the clock and date on the left, and on the right the Wi-Fi and battery indicators, a </w:t>
      </w:r>
      <w:r>
        <w:rPr>
          <w:b/>
          <w:bCs/>
        </w:rPr>
        <w:t xml:space="preserve">bell</w:t>
      </w:r>
      <w:r>
        <w:t xml:space="preserve">, and the </w:t>
      </w:r>
      <w:r>
        <w:rPr>
          <w:b/>
          <w:bCs/>
        </w:rPr>
        <w:t xml:space="preserve">control centre</w:t>
      </w:r>
      <w:r>
        <w:t xml:space="preserve">.</w:t>
      </w:r>
    </w:p>
    <w:p w14:paraId="21A18002">
      <w:pPr>
        <w:spacing w:after="160" w:line="259" w:lineRule="auto"/>
      </w:pPr>
      <w:r>
        <w:t xml:space="preserve">Click the control-centre icon for a panel of quick toggles:</w:t>
      </w:r>
    </w:p>
    <w:p w14:paraId="31AB4E43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Wi-Fi</w:t>
      </w:r>
      <w:r>
        <w:t xml:space="preserve"> — join a network without opening Settings.</w:t>
      </w:r>
    </w:p>
    <w:p w14:paraId="00F62530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Dark Mode</w:t>
      </w:r>
      <w:r>
        <w:t xml:space="preserve"> — switches the whole desktop and every first-party app.</w:t>
      </w:r>
    </w:p>
    <w:p w14:paraId="318E263D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Tiling</w:t>
      </w:r>
      <w:r>
        <w:t xml:space="preserve"> — retiles the current space; toggle it off to restore floating windows.</w:t>
      </w:r>
    </w:p>
    <w:p w14:paraId="0FB2E9BA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Muted</w:t>
      </w:r>
      <w:r>
        <w:t xml:space="preserve"> — mute or unmute output, with </w:t>
      </w:r>
      <w:r>
        <w:rPr>
          <w:b/>
          <w:bCs/>
        </w:rPr>
        <w:t xml:space="preserve">volume</w:t>
      </w:r>
      <w:r>
        <w:t xml:space="preserve"> and </w:t>
      </w:r>
      <w:r>
        <w:rPr>
          <w:b/>
          <w:bCs/>
        </w:rPr>
        <w:t xml:space="preserve">brightness</w:t>
      </w:r>
      <w:r>
        <w:t xml:space="preserve"> sliders below the tiles.</w:t>
      </w:r>
    </w:p>
    <w:p w14:paraId="3360753A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Record</w:t>
      </w:r>
      <w:r>
        <w:t xml:space="preserve"> and </w:t>
      </w:r>
      <w:r>
        <w:rPr>
          <w:b/>
          <w:bCs/>
        </w:rPr>
        <w:t xml:space="preserve">Record App</w:t>
      </w:r>
      <w:r>
        <w:t xml:space="preserve"> — see Recording the screen.</w:t>
      </w:r>
    </w:p>
    <w:p w14:paraId="55C60F93">
      <w:pPr>
        <w:spacing w:after="160" w:line="259" w:lineRule="auto"/>
      </w:pPr>
      <w:r>
        <w:t xml:space="preserve">The </w:t>
      </w:r>
      <w:r>
        <w:rPr>
          <w:b/>
          <w:bCs/>
        </w:rPr>
        <w:t xml:space="preserve">bell</w:t>
      </w:r>
      <w:r>
        <w:t xml:space="preserve"> collects notifications instead of interrupting you with banners: nothing steals focus, and you read what happened when you choose to. Click it for the list, </w:t>
      </w:r>
      <w:r>
        <w:rPr>
          <w:b/>
          <w:bCs/>
        </w:rPr>
        <w:t xml:space="preserve">Esc</w:t>
      </w:r>
      <w:r>
        <w:t xml:space="preserve"> to dismiss.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adea" w:hAnsi="Caladea" w:cs="Caladea" w:eastAsia="Caladea"/>
        <w:sz w:val="23"/>
        <w:szCs w:val="23"/>
        <w:lang w:val="en-US"/>
      </w:rPr>
    </w:rPrDefault>
    <w:pPrDefault>
      <w:pPr>
        <w:spacing w:after="161" w:line="281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24" w:space="10" w:color="C8102E"/>
      </w:pBdr>
      <w:spacing w:before="2600" w:after="160" w:line="281" w:lineRule="auto"/>
    </w:pPr>
    <w:rPr>
      <w:rFonts w:ascii="Libre Franklin" w:hAnsi="Libre Franklin" w:cs="Libre Franklin"/>
      <w:b/>
      <w:bCs/>
      <w:color w:val="0F3D4C"/>
      <w:sz w:val="80"/>
      <w:szCs w:val="80"/>
    </w:rPr>
  </w:style>
  <w:style w:type="paragraph" w:styleId="Subtitle">
    <w:name w:val="Subtitle"/>
    <w:basedOn w:val="Normal"/>
    <w:next w:val="Normal"/>
    <w:qFormat/>
    <w:pPr>
      <w:spacing w:before="200" w:after="600" w:line="281" w:lineRule="auto"/>
    </w:pPr>
    <w:rPr>
      <w:rFonts w:ascii="Caladea" w:hAnsi="Caladea" w:cs="Caladea"/>
      <w:i/>
      <w:iCs/>
      <w:color w:val="6B6B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6" w:color="C8102E"/>
      </w:pBdr>
      <w:spacing w:before="560" w:after="200" w:line="281" w:lineRule="auto"/>
      <w:outlineLvl w:val="0"/>
    </w:pPr>
    <w:rPr>
      <w:rFonts w:ascii="Libre Franklin" w:hAnsi="Libre Franklin" w:cs="Libre Franklin"/>
      <w:b/>
      <w:bCs/>
      <w:color w:val="0F3D4C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spacing w:before="400" w:after="120" w:line="281" w:lineRule="auto"/>
      <w:outlineLvl w:val="1"/>
    </w:pPr>
    <w:rPr>
      <w:rFonts w:ascii="Libre Franklin" w:hAnsi="Libre Franklin" w:cs="Libre Franklin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80" w:after="80" w:line="281" w:lineRule="auto"/>
      <w:outlineLvl w:val="2"/>
    </w:pPr>
    <w:rPr>
      <w:rFonts w:ascii="Libre Franklin" w:hAnsi="Libre Franklin" w:cs="Libre Franklin"/>
      <w:b/>
      <w:bCs/>
      <w:color w:val="222222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24" w:space="14" w:color="C8102E"/>
      </w:pBdr>
      <w:spacing w:before="160" w:after="200" w:line="281" w:lineRule="auto"/>
      <w:ind w:left="600" w:right="600"/>
    </w:pPr>
    <w:rPr>
      <w:i/>
      <w:iCs/>
      <w:color w:val="444444"/>
    </w:rPr>
  </w:style>
  <w:style w:type="paragraph" w:styleId="Caption">
    <w:name w:val="Caption"/>
    <w:basedOn w:val="Normal"/>
    <w:next w:val="Normal"/>
    <w:qFormat/>
    <w:pPr>
      <w:spacing w:after="220" w:line="281" w:lineRule="auto"/>
    </w:pPr>
    <w:rPr>
      <w:i/>
      <w:iCs/>
      <w:color w:val="6B6B6B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52" w:lineRule="auto"/>
      <w:ind w:left="200" w:right="200"/>
    </w:pPr>
    <w:rPr>
      <w:rFonts w:ascii="Liberation Mono" w:hAnsi="Liberation Mono" w:cs="Liberation Mono"/>
      <w:color w:val="1F2328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81" w:lineRule="auto"/>
      <w:jc w:val="right"/>
    </w:pPr>
    <w:rPr>
      <w:rFonts w:ascii="Libre Franklin" w:hAnsi="Libre Franklin" w:cs="Libre Franklin"/>
      <w:color w:val="6B6B6B"/>
      <w:sz w:val="17"/>
      <w:szCs w:val="17"/>
    </w:rPr>
  </w:style>
  <w:style w:type="paragraph" w:styleId="Footer">
    <w:name w:val="footer"/>
    <w:basedOn w:val="Normal"/>
    <w:qFormat/>
    <w:pPr>
      <w:spacing w:after="0" w:line="281" w:lineRule="auto"/>
      <w:jc w:val="center"/>
    </w:pPr>
    <w:rPr>
      <w:rFonts w:ascii="Libre Franklin" w:hAnsi="Libre Franklin" w:cs="Libre Franklin"/>
      <w:color w:val="6B6B6B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C8102E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