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right" w:pos="9070"/>
        </w:tabs>
        <w:spacing w:line="500" w:lineRule="exact"/>
        <w:jc w:val="center"/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lang w:eastAsia="zh-CN"/>
        </w:rPr>
        <w:t>水亭畲族乡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</w:rPr>
        <w:t>人民调解工作激励实施办法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lang w:eastAsia="zh-CN"/>
        </w:rPr>
        <w:t>（征求意见稿）</w:t>
      </w:r>
    </w:p>
    <w:p>
      <w:pPr>
        <w:tabs>
          <w:tab w:val="right" w:pos="9070"/>
        </w:tabs>
        <w:spacing w:line="500" w:lineRule="exact"/>
        <w:jc w:val="center"/>
        <w:rPr>
          <w:rFonts w:hint="eastAsia" w:ascii="仿宋" w:hAnsi="仿宋" w:eastAsia="仿宋" w:cs="仿宋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textAlignment w:val="auto"/>
        <w:rPr>
          <w:rFonts w:hint="eastAsia" w:asciiTheme="minorEastAsia" w:hAnsiTheme="minorEastAsia" w:eastAsiaTheme="minorEastAsia" w:cstheme="minorEastAsia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32"/>
          <w:szCs w:val="32"/>
          <w:lang w:val="en-US" w:eastAsia="zh-CN" w:bidi="ar-SA"/>
        </w:rPr>
        <w:t>各行政村、相关企业：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right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为进一步提升新形势下人民调解工作实效，充分发挥人民调解在化解矛盾纠纷、维护社</w:t>
      </w:r>
      <w:r>
        <w:rPr>
          <w:rFonts w:hint="eastAsia" w:asciiTheme="minorEastAsia" w:hAnsiTheme="minorEastAsia" w:eastAsiaTheme="minorEastAsia" w:cstheme="minorEastAsia"/>
          <w:kern w:val="2"/>
          <w:sz w:val="32"/>
          <w:szCs w:val="32"/>
          <w:lang w:val="en-US" w:eastAsia="zh-CN" w:bidi="ar-SA"/>
        </w:rPr>
        <w:t>会稳定中的“第一道防线”作用，根据《中华人民共和国人民调解法》、《关于进一步加强司法所建设改革的意见》（浙司〔2020〕41号）、《关于进一步加强基层司法所建设的意见》（金委办发〔2019〕43号）、《关于加强村（社区）社会治理力量建设的若干意见（试行）》（兰委办发〔2020〕23号）和《关于进一步加强人民调解工作的意见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（兰委办〔2015〕65号）等文件精神和要求，结合我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实际，制定本办法。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3" w:firstLineChars="200"/>
        <w:jc w:val="left"/>
        <w:textAlignment w:val="auto"/>
        <w:rPr>
          <w:rStyle w:val="9"/>
          <w:rFonts w:hint="default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</w:pPr>
      <w:r>
        <w:rPr>
          <w:rStyle w:val="9"/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一、适用范围、激励对象、经费来源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一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人民调解工作激励经费分为调解员办案补贴（以下简称“以奖代补、以案定补”）、专项调解工作补贴、人民调解工作优秀奖励三类。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激励对象范围：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水亭畲族乡辖区内各人民调解委员会成员且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不具有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行政、事业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编制的人民调解员。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积极参与人民调解工作的法律顾问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、律师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经费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来源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：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设立全乡人民调解工作激励经费专项资金，按照《财政部司法部关于进一步加强人民调解工作经费保障意见的通知》（财行〔2007〕179号）和省、市有关文件精神规定列入乡财政预算。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3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/>
          <w:sz w:val="32"/>
          <w:szCs w:val="32"/>
        </w:rPr>
      </w:pPr>
      <w:r>
        <w:rPr>
          <w:rFonts w:hint="eastAsia" w:asciiTheme="minorEastAsia" w:hAnsiTheme="minorEastAsia" w:cstheme="minorEastAsia"/>
          <w:b/>
          <w:sz w:val="32"/>
          <w:szCs w:val="32"/>
          <w:lang w:val="en-US" w:eastAsia="zh-CN"/>
        </w:rPr>
        <w:t>二、</w:t>
      </w:r>
      <w:r>
        <w:rPr>
          <w:rFonts w:hint="eastAsia" w:asciiTheme="minorEastAsia" w:hAnsiTheme="minorEastAsia" w:eastAsiaTheme="minorEastAsia" w:cstheme="minorEastAsia"/>
          <w:b/>
          <w:sz w:val="32"/>
          <w:szCs w:val="32"/>
        </w:rPr>
        <w:t>以奖代补、以案定补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（四）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每季度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对调处成功并制作成规范协议书（包括口头调处案件制作《人民调解口头协议登记表》）或案卷的人民调解案件，根据评查结果，兑现案件补贴，同时案件等级以兰溪市司法局评定为准，奖励标准如有变动则参考上级相关文件自动进行调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  <w:t>口头协议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>经口头调解成功并制作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《人民调解口头协议登记表》的，经评查合格每件奖励30元。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  <w:t>书面协议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成功调处矛盾纠纷，规范制作调解案卷，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根据评查结果，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按以下标准奖励：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>简易纠纷的奖励标准为100元/起，范围：调处成功并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制作书面调解协议。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>一般复杂纠纷的奖励标准为200元/起，范围：协议金额在10万元（含10万元）以下的，经调处成功并制作规范调解案卷。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③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>疑难复杂纠纷的奖励标准为500元/起，范围：①协议金额在10万元以上的矛盾纠纷（不含民间借贷、经济合同等纠纷）；②一般性非正常死亡矛盾纠纷；③初信初访。经调处成功并制作规范调解案卷。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④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>重大疑难纠纷的奖励标准为1000元/起，范围：①兰溪市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级及以上党委、政府交办的案件；②多次或多人赴省或赴京上访影响较大的矛盾纠纷；③在本市有重大影响且涉及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10人以上的群体性矛盾纠纷；④两人以上非正常死亡且案情复杂的矛盾纠纷；⑤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其他重特大纠纷。经调处成功并制作规范调解案卷。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>重大疑难纠纷根据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《浙江省人民调解补助经费管理暂行办法》另行报批、奖励。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3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Style w:val="9"/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三、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专项调解工作补贴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（五）为充分发挥律师在预防和化解矛盾纠纷中的专业优势、职业优势和实践优势，积极响应党中央、国务院、最高人民法院、司法部关于建立和发展律师调解工作制度的号召，设立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专项调解工作补贴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，针对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乡政府法律顾问、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村法律顾问、律师受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乡党委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、政府及有关部门的委派，现场参与矛盾纠纷调处的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给予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适当补贴。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六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法律顾问、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律师现场参与我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矛盾纠纷调处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>调解成功的，根据纠纷疑难复杂情况给予相应工作补贴：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>1.一般复杂纠纷的补贴标准为300元/起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>范围：协议金额在10万元（含10万元）以下的。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>2.疑难复杂纠纷的补贴标准为500元/起，范围：①协议金额在10万元以上的矛盾纠纷（不含民间借贷、经济合同等纠纷）；②一般性非正常死亡矛盾纠纷；③初信初访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 xml:space="preserve">。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>重大疑难纠纷的补贴标准为1000元/起，范围：①兰溪市级及以上党委、政府交办的案件；②多次或多人赴省或赴京上访影响较大的矛盾纠纷；③在本市有重大影响且涉及10人以上的群体性矛盾纠纷；④两人以上非正常死亡且案情复杂的矛盾纠纷；⑤其他重特大纠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七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参与矛盾纠纷现场调处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并调解成功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后，由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乡人民调解委员会会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同法律顾问、律师填写《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水亭畲族乡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专项调解工作补贴申请表》（附件3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），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作为申领补贴的依据。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3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Style w:val="9"/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四、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人民调解工作优秀奖励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八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人民调解工作优秀奖励是为发现典型、鼓励先进而对工作积极、表现突出的人民调解员予以适当奖励的激励措施。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（九）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优秀人民调解员奖励：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水亭畲族乡人民调解委员会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根据调解纠纷数量、协议履行率、调解文书质量和规范程度、案例报送数量、群众满意度等评价指标进行考核，根据得分情况将专职人民调解员分为优秀、良好、合格、不合格四个等级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每半年评选6名优秀人民调解员，并每人给予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2"/>
          <w:sz w:val="32"/>
          <w:szCs w:val="32"/>
          <w:shd w:val="clear" w:fill="FFFFFF"/>
          <w:lang w:val="en-US" w:eastAsia="zh-CN" w:bidi="ar-SA"/>
        </w:rPr>
        <w:t>00元奖励。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十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人民调解员有以下情形之一的，不予评优：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违反人民调解工作规定和工作纪律的；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申报“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以奖代补、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以案定补”、人民调解工作优秀奖励时弄虚作假的。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3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Style w:val="9"/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五、</w:t>
      </w:r>
      <w:r>
        <w:rPr>
          <w:rStyle w:val="9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附则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十一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工作纪律：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人民调解员受人民调解组织的委派，依法参与矛盾纠纷调处，通过说服、疏导等方法，促使当事人在平等协商基础上自愿达成调解协议，解决民间纠纷，不得收取当事人任何形式的报酬。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严禁在申请补贴和奖励时弄虚作假。上报调解案件、事迹不真实或有造假行为的，取消该人民调解员当年度所有调解案件补贴和评优资格，并由所在的人民调解委员会给予批评教育、责令改正；情节严重的，由推选或者聘任单位予以罢免或者解聘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3.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乡人民调解委员会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对辖区内的人民调解案件进行逐件审查，通过调阅调解案件卷宗、约谈当事人民调解员、回访调解案件当事人等方式加强对调解案件的抽查，提高调解案件质量。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加强对人民调解工作激励经费使用的管理，严禁侵占、虚报、挪用补贴经费。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乡人民调解委员会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和财政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  <w:t>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应当对本方案执行情况进行监督检查，并对存在问题进行通报。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（十二）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本办法由水亭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畲族乡人民政府负责解释，由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水亭畲族乡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人民调解委员会负责组织实施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。本办法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自2022年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月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25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日起实施，2022年1月1日至2022年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月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25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日符合本实施办法规定的，按本办法执行。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附件：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　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instrText xml:space="preserve"> HYPERLINK "http://www.dg.gov.cn/dgcpz/attachment/0/44/44674/3465917.doc" \t "http://www.dg.gov.cn/dgcpz/gkmlpt/content/3/3465/_blank"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fldChar w:fldCharType="separate"/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t>附件1.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  <w:t>水亭畲族乡人民调解工作“以奖代补、以案定补”发放表</w:t>
      </w:r>
      <w:r>
        <w:rPr>
          <w:rStyle w:val="10"/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val="en-US" w:eastAsia="zh-CN"/>
        </w:rPr>
        <w:t>9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t>.doc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fldChar w:fldCharType="end"/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　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instrText xml:space="preserve"> HYPERLINK "http://www.dg.gov.cn/dgcpz/attachment/0/44/44675/3465917.doc" \t "http://www.dg.gov.cn/dgcpz/gkmlpt/content/3/3465/_blank"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fldChar w:fldCharType="separate"/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t>附件2.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  <w:t>水亭畲族乡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t>专项调解工作补贴申请表.doc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fldChar w:fldCharType="end"/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left"/>
        <w:textAlignment w:val="auto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　　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  <w:fldChar w:fldCharType="begin"/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  <w:instrText xml:space="preserve"> HYPERLINK "http://www.dg.gov.cn/dgcpz/attachment/0/44/44676/3465917.doc" \t "http://www.dg.gov.cn/dgcpz/gkmlpt/content/3/3465/_blank" </w:instrTex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  <w:fldChar w:fldCharType="separate"/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  <w:t>附件3.人民调解员岗位目标考核细则.doc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4800" w:firstLineChars="1500"/>
        <w:jc w:val="left"/>
        <w:textAlignment w:val="auto"/>
        <w:rPr>
          <w:rStyle w:val="10"/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4800" w:firstLineChars="1500"/>
        <w:jc w:val="left"/>
        <w:textAlignment w:val="auto"/>
        <w:rPr>
          <w:rStyle w:val="10"/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4800" w:firstLineChars="1500"/>
        <w:jc w:val="left"/>
        <w:textAlignment w:val="auto"/>
        <w:rPr>
          <w:rStyle w:val="10"/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4800" w:firstLineChars="1500"/>
        <w:jc w:val="left"/>
        <w:textAlignment w:val="auto"/>
        <w:rPr>
          <w:rStyle w:val="10"/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  <w:r>
        <w:rPr>
          <w:rStyle w:val="10"/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  <w:t>水亭畲族乡人民政府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right="0"/>
        <w:jc w:val="left"/>
        <w:textAlignment w:val="auto"/>
        <w:rPr>
          <w:rStyle w:val="10"/>
          <w:rFonts w:hint="default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val="en-US" w:eastAsia="zh-CN"/>
        </w:rPr>
      </w:pPr>
      <w:r>
        <w:rPr>
          <w:rStyle w:val="10"/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val="en-US" w:eastAsia="zh-CN"/>
        </w:rPr>
        <w:t xml:space="preserve">                               2022年11月14日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left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left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left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left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left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left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left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left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jc w:val="left"/>
        <w:rPr>
          <w:rFonts w:hint="eastAsia" w:ascii="Times New Roman" w:hAnsi="Times New Roman" w:eastAsia="黑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left"/>
        <w:rPr>
          <w:rFonts w:hint="default" w:ascii="Times New Roman" w:hAnsi="Times New Roman" w:eastAsia="黑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8"/>
          <w:szCs w:val="28"/>
          <w:lang w:val="en-US" w:eastAsia="zh-CN"/>
        </w:rPr>
        <w:t>附件1：</w:t>
      </w:r>
    </w:p>
    <w:p>
      <w:pPr>
        <w:jc w:val="left"/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  <w:r>
        <w:rPr>
          <w:rStyle w:val="10"/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  <w:t>水亭畲族乡人民调解工作“以奖代补、以案定补”发放表</w:t>
      </w:r>
    </w:p>
    <w:tbl>
      <w:tblPr>
        <w:tblStyle w:val="7"/>
        <w:tblW w:w="10365" w:type="dxa"/>
        <w:tblInd w:w="-8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720"/>
        <w:gridCol w:w="690"/>
        <w:gridCol w:w="765"/>
        <w:gridCol w:w="597"/>
        <w:gridCol w:w="850"/>
        <w:gridCol w:w="851"/>
        <w:gridCol w:w="850"/>
        <w:gridCol w:w="851"/>
        <w:gridCol w:w="709"/>
        <w:gridCol w:w="709"/>
        <w:gridCol w:w="709"/>
        <w:gridCol w:w="714"/>
        <w:gridCol w:w="9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435" w:type="dxa"/>
            <w:vMerge w:val="restart"/>
          </w:tcPr>
          <w:p>
            <w:pPr>
              <w:spacing w:after="0" w:line="240" w:lineRule="auto"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  <w:p>
            <w:pPr>
              <w:spacing w:after="0" w:line="240" w:lineRule="auto"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  <w:p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720" w:type="dxa"/>
            <w:vMerge w:val="restart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调委会名称</w:t>
            </w:r>
          </w:p>
        </w:tc>
        <w:tc>
          <w:tcPr>
            <w:tcW w:w="690" w:type="dxa"/>
            <w:vMerge w:val="restart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调解员姓名</w:t>
            </w:r>
          </w:p>
        </w:tc>
        <w:tc>
          <w:tcPr>
            <w:tcW w:w="765" w:type="dxa"/>
            <w:vMerge w:val="restart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双方当事人姓名</w:t>
            </w:r>
          </w:p>
        </w:tc>
        <w:tc>
          <w:tcPr>
            <w:tcW w:w="597" w:type="dxa"/>
            <w:vMerge w:val="restart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纠纷类型</w:t>
            </w:r>
          </w:p>
        </w:tc>
        <w:tc>
          <w:tcPr>
            <w:tcW w:w="4111" w:type="dxa"/>
            <w:gridSpan w:val="5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调处纠纷数（件）</w:t>
            </w:r>
          </w:p>
        </w:tc>
        <w:tc>
          <w:tcPr>
            <w:tcW w:w="709" w:type="dxa"/>
            <w:vMerge w:val="restart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补助金额（元）</w:t>
            </w:r>
          </w:p>
        </w:tc>
        <w:tc>
          <w:tcPr>
            <w:tcW w:w="709" w:type="dxa"/>
            <w:vMerge w:val="restart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开户行</w:t>
            </w:r>
          </w:p>
        </w:tc>
        <w:tc>
          <w:tcPr>
            <w:tcW w:w="714" w:type="dxa"/>
            <w:vMerge w:val="restart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银行账号</w:t>
            </w:r>
          </w:p>
        </w:tc>
        <w:tc>
          <w:tcPr>
            <w:tcW w:w="915" w:type="dxa"/>
            <w:vMerge w:val="restart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调解员手机号码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435" w:type="dxa"/>
            <w:vMerge w:val="continue"/>
          </w:tcPr>
          <w:p>
            <w:pPr>
              <w:spacing w:after="0" w:line="240" w:lineRule="auto"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20" w:type="dxa"/>
            <w:vMerge w:val="continue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690" w:type="dxa"/>
            <w:vMerge w:val="continue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65" w:type="dxa"/>
            <w:vMerge w:val="continue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597" w:type="dxa"/>
            <w:vMerge w:val="continue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850" w:type="dxa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重大疑难纠纷（1000元/件）</w:t>
            </w:r>
          </w:p>
        </w:tc>
        <w:tc>
          <w:tcPr>
            <w:tcW w:w="851" w:type="dxa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疑难复杂纠纷（500元/件）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一般复杂纠纷（200元/件）</w:t>
            </w:r>
          </w:p>
        </w:tc>
        <w:tc>
          <w:tcPr>
            <w:tcW w:w="851" w:type="dxa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简易纠纷（100元/件）</w:t>
            </w:r>
          </w:p>
        </w:tc>
        <w:tc>
          <w:tcPr>
            <w:tcW w:w="709" w:type="dxa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口头协议（30元/件）</w:t>
            </w:r>
          </w:p>
        </w:tc>
        <w:tc>
          <w:tcPr>
            <w:tcW w:w="709" w:type="dxa"/>
            <w:vMerge w:val="continue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14" w:type="dxa"/>
            <w:vMerge w:val="continue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915" w:type="dxa"/>
            <w:vMerge w:val="continue"/>
            <w:vAlign w:val="center"/>
          </w:tcPr>
          <w:p>
            <w:pPr>
              <w:widowControl/>
              <w:spacing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2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69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6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597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14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91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2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69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6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597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14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91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2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69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6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597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14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91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2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69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6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597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14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91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2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69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6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597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14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91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2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69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6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597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14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91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2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69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6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597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14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91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2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69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6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597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14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91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gridSpan w:val="5"/>
          </w:tcPr>
          <w:p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sz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sz w:val="31"/>
                <w:szCs w:val="31"/>
              </w:rPr>
            </w:pPr>
            <w:r>
              <w:rPr>
                <w:rFonts w:hint="eastAsia" w:ascii="Times New Roman" w:hAnsi="Times New Roman" w:eastAsia="黑体" w:cs="Times New Roman"/>
                <w:sz w:val="24"/>
              </w:rPr>
              <w:t>合计</w:t>
            </w: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0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851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09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714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  <w:tc>
          <w:tcPr>
            <w:tcW w:w="915" w:type="dxa"/>
          </w:tcPr>
          <w:p>
            <w:pPr>
              <w:spacing w:after="0" w:line="240" w:lineRule="auto"/>
              <w:jc w:val="left"/>
              <w:rPr>
                <w:rFonts w:ascii="Times New Roman" w:hAnsi="Times New Roman" w:eastAsia="黑体" w:cs="Times New Roman"/>
                <w:sz w:val="31"/>
                <w:szCs w:val="31"/>
              </w:rPr>
            </w:pPr>
          </w:p>
        </w:tc>
      </w:tr>
    </w:tbl>
    <w:p>
      <w:pPr>
        <w:jc w:val="left"/>
        <w:rPr>
          <w:rStyle w:val="10"/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30"/>
          <w:szCs w:val="30"/>
          <w:u w:val="none"/>
          <w:shd w:val="clear" w:fill="FFFFFF"/>
          <w:lang w:val="en-US" w:eastAsia="zh-CN"/>
        </w:rPr>
      </w:pPr>
    </w:p>
    <w:p>
      <w:pPr>
        <w:jc w:val="left"/>
        <w:rPr>
          <w:rFonts w:hint="default" w:ascii="Times New Roman" w:hAnsi="Times New Roman" w:eastAsia="黑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eastAsia="zh-CN"/>
        </w:rPr>
        <w:t>制表：             稽核：             分管领导：                 审批：</w:t>
      </w:r>
    </w:p>
    <w:p>
      <w:pPr>
        <w:jc w:val="left"/>
        <w:rPr>
          <w:rFonts w:hint="default" w:ascii="Times New Roman" w:hAnsi="Times New Roman" w:eastAsia="黑体" w:cs="Times New Roman"/>
          <w:sz w:val="31"/>
          <w:szCs w:val="31"/>
          <w:lang w:eastAsia="zh-CN"/>
        </w:rPr>
      </w:pPr>
    </w:p>
    <w:p>
      <w:pPr>
        <w:jc w:val="left"/>
        <w:rPr>
          <w:rFonts w:hint="default" w:ascii="Times New Roman" w:hAnsi="Times New Roman" w:eastAsia="黑体" w:cs="Times New Roman"/>
          <w:sz w:val="31"/>
          <w:szCs w:val="31"/>
          <w:lang w:eastAsia="zh-CN"/>
        </w:rPr>
      </w:pPr>
    </w:p>
    <w:p>
      <w:pPr>
        <w:jc w:val="left"/>
        <w:rPr>
          <w:rFonts w:hint="default" w:ascii="Times New Roman" w:hAnsi="Times New Roman" w:eastAsia="黑体" w:cs="Times New Roman"/>
          <w:sz w:val="31"/>
          <w:szCs w:val="31"/>
          <w:lang w:eastAsia="zh-CN"/>
        </w:rPr>
      </w:pPr>
    </w:p>
    <w:p>
      <w:pPr>
        <w:jc w:val="left"/>
        <w:rPr>
          <w:rFonts w:hint="default" w:ascii="Times New Roman" w:hAnsi="Times New Roman" w:eastAsia="黑体" w:cs="Times New Roman"/>
          <w:sz w:val="31"/>
          <w:szCs w:val="31"/>
          <w:lang w:eastAsia="zh-CN"/>
        </w:rPr>
      </w:pPr>
    </w:p>
    <w:p>
      <w:pPr>
        <w:jc w:val="left"/>
        <w:rPr>
          <w:rFonts w:hint="default" w:ascii="Times New Roman" w:hAnsi="Times New Roman" w:eastAsia="黑体" w:cs="Times New Roman"/>
          <w:sz w:val="31"/>
          <w:szCs w:val="31"/>
          <w:lang w:eastAsia="zh-CN"/>
        </w:rPr>
      </w:pPr>
    </w:p>
    <w:p>
      <w:pPr>
        <w:jc w:val="left"/>
        <w:rPr>
          <w:rFonts w:hint="default" w:ascii="Times New Roman" w:hAnsi="Times New Roman" w:cs="Times New Roman"/>
          <w:kern w:val="2"/>
          <w:sz w:val="21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sz w:val="31"/>
          <w:szCs w:val="31"/>
          <w:lang w:eastAsia="zh-CN"/>
        </w:rPr>
        <w:t>附件</w:t>
      </w:r>
      <w:r>
        <w:rPr>
          <w:rFonts w:hint="eastAsia" w:ascii="Times New Roman" w:hAnsi="Times New Roman" w:eastAsia="黑体" w:cs="Times New Roman"/>
          <w:b w:val="0"/>
          <w:bCs w:val="0"/>
          <w:sz w:val="31"/>
          <w:szCs w:val="31"/>
          <w:lang w:val="en-US" w:eastAsia="zh-CN"/>
        </w:rPr>
        <w:t>2</w:t>
      </w:r>
    </w:p>
    <w:tbl>
      <w:tblPr>
        <w:tblStyle w:val="7"/>
        <w:tblpPr w:leftFromText="180" w:rightFromText="180" w:vertAnchor="text" w:horzAnchor="page" w:tblpXSpec="center" w:tblpY="1241"/>
        <w:tblOverlap w:val="never"/>
        <w:tblW w:w="93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686"/>
        <w:gridCol w:w="2858"/>
        <w:gridCol w:w="284"/>
        <w:gridCol w:w="850"/>
        <w:gridCol w:w="410"/>
        <w:gridCol w:w="341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  <w:jc w:val="center"/>
        </w:trPr>
        <w:tc>
          <w:tcPr>
            <w:tcW w:w="1503" w:type="dxa"/>
            <w:gridSpan w:val="2"/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after="0" w:line="32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lang w:eastAsia="zh-CN" w:bidi="ar-SA"/>
              </w:rPr>
              <w:t>申请人</w:t>
            </w:r>
          </w:p>
        </w:tc>
        <w:tc>
          <w:tcPr>
            <w:tcW w:w="3142" w:type="dxa"/>
            <w:gridSpan w:val="2"/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after="0" w:line="320" w:lineRule="exact"/>
              <w:ind w:left="0" w:leftChars="0" w:right="0" w:firstLine="0" w:firstLineChars="0"/>
              <w:textAlignment w:val="auto"/>
              <w:outlineLvl w:val="9"/>
              <w:rPr>
                <w:rFonts w:hint="default" w:ascii="Times New Roman" w:hAnsi="Times New Roman" w:cs="Times New Roman"/>
                <w:kern w:val="2"/>
                <w:sz w:val="24"/>
                <w:szCs w:val="24"/>
                <w:lang w:eastAsia="zh-CN" w:bidi="ar-SA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after="0" w:line="32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  <w:t>工作单位</w:t>
            </w:r>
          </w:p>
        </w:tc>
        <w:tc>
          <w:tcPr>
            <w:tcW w:w="3417" w:type="dxa"/>
            <w:noWrap w:val="0"/>
            <w:vAlign w:val="top"/>
          </w:tcPr>
          <w:p>
            <w:pPr>
              <w:spacing w:after="0" w:line="480" w:lineRule="exact"/>
              <w:rPr>
                <w:rFonts w:hint="default" w:ascii="Times New Roman" w:hAnsi="Times New Roman" w:cs="Times New Roman"/>
                <w:kern w:val="2"/>
                <w:sz w:val="24"/>
                <w:szCs w:val="24"/>
                <w:lang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  <w:jc w:val="center"/>
        </w:trPr>
        <w:tc>
          <w:tcPr>
            <w:tcW w:w="1503" w:type="dxa"/>
            <w:gridSpan w:val="2"/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after="0" w:line="32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  <w:t>调解时间</w:t>
            </w:r>
          </w:p>
        </w:tc>
        <w:tc>
          <w:tcPr>
            <w:tcW w:w="3142" w:type="dxa"/>
            <w:gridSpan w:val="2"/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after="0" w:line="32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after="0" w:line="32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  <w:t>调解地点</w:t>
            </w:r>
          </w:p>
        </w:tc>
        <w:tc>
          <w:tcPr>
            <w:tcW w:w="3417" w:type="dxa"/>
            <w:noWrap w:val="0"/>
            <w:vAlign w:val="center"/>
          </w:tcPr>
          <w:p>
            <w:pPr>
              <w:widowControl/>
              <w:wordWrap/>
              <w:adjustRightInd/>
              <w:snapToGrid/>
              <w:spacing w:after="0" w:line="320" w:lineRule="exact"/>
              <w:ind w:left="0" w:leftChars="0" w:right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2" w:hRule="atLeast"/>
          <w:jc w:val="center"/>
        </w:trPr>
        <w:tc>
          <w:tcPr>
            <w:tcW w:w="9322" w:type="dxa"/>
            <w:gridSpan w:val="7"/>
            <w:noWrap w:val="0"/>
            <w:vAlign w:val="top"/>
          </w:tcPr>
          <w:p>
            <w:pPr>
              <w:spacing w:after="0" w:line="560" w:lineRule="exact"/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  <w:t>（简要概述参与调解案由、调解过程、调解结果等基本情况）</w:t>
            </w:r>
          </w:p>
          <w:p>
            <w:pPr>
              <w:spacing w:after="0" w:line="560" w:lineRule="exact"/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</w:pPr>
          </w:p>
          <w:p>
            <w:pPr>
              <w:spacing w:after="0" w:line="560" w:lineRule="exact"/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</w:pPr>
          </w:p>
          <w:p>
            <w:pPr>
              <w:spacing w:after="0" w:line="560" w:lineRule="exact"/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</w:pPr>
          </w:p>
          <w:p>
            <w:pPr>
              <w:spacing w:after="0" w:line="560" w:lineRule="exact"/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</w:pPr>
          </w:p>
          <w:p>
            <w:pPr>
              <w:spacing w:after="0" w:line="560" w:lineRule="exact"/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</w:pPr>
          </w:p>
          <w:p>
            <w:pPr>
              <w:spacing w:after="0" w:line="560" w:lineRule="exact"/>
              <w:ind w:firstLine="5520" w:firstLineChars="2300"/>
              <w:rPr>
                <w:rFonts w:hint="default" w:ascii="Times New Roman" w:hAnsi="Times New Roman" w:cs="Times New Roman"/>
                <w:kern w:val="2"/>
                <w:sz w:val="24"/>
                <w:szCs w:val="24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 xml:space="preserve">             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eastAsia="zh-CN" w:bidi="ar-SA"/>
              </w:rPr>
              <w:t>年  月  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3" w:hRule="atLeast"/>
          <w:jc w:val="center"/>
        </w:trPr>
        <w:tc>
          <w:tcPr>
            <w:tcW w:w="817" w:type="dxa"/>
            <w:noWrap w:val="0"/>
            <w:vAlign w:val="center"/>
          </w:tcPr>
          <w:p>
            <w:pPr>
              <w:spacing w:after="0" w:line="560" w:lineRule="exact"/>
              <w:jc w:val="center"/>
              <w:rPr>
                <w:rFonts w:hint="default" w:ascii="Times New Roman" w:hAnsi="Times New Roman" w:cs="Times New Roman"/>
                <w:kern w:val="2"/>
                <w:sz w:val="24"/>
                <w:szCs w:val="24"/>
                <w:lang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lang w:eastAsia="zh-CN" w:bidi="ar-SA"/>
              </w:rPr>
              <w:t>经</w:t>
            </w:r>
            <w:r>
              <w:rPr>
                <w:rFonts w:hint="default" w:ascii="Times New Roman" w:hAnsi="Times New Roman" w:cs="Times New Roman"/>
                <w:kern w:val="2"/>
                <w:sz w:val="21"/>
                <w:lang w:eastAsia="zh-CN" w:bidi="ar-SA"/>
              </w:rPr>
              <w:t>办人员意见</w:t>
            </w:r>
          </w:p>
        </w:tc>
        <w:tc>
          <w:tcPr>
            <w:tcW w:w="3544" w:type="dxa"/>
            <w:gridSpan w:val="2"/>
            <w:noWrap w:val="0"/>
            <w:vAlign w:val="top"/>
          </w:tcPr>
          <w:p>
            <w:pPr>
              <w:spacing w:after="0" w:line="560" w:lineRule="exac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</w:p>
          <w:p>
            <w:pPr>
              <w:spacing w:after="0" w:line="560" w:lineRule="exac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</w:p>
          <w:p>
            <w:pPr>
              <w:spacing w:after="0" w:line="560" w:lineRule="exac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</w:p>
          <w:p>
            <w:pPr>
              <w:spacing w:after="0" w:line="560" w:lineRule="exac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经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办人（签名）：</w:t>
            </w:r>
          </w:p>
          <w:p>
            <w:pPr>
              <w:spacing w:after="0" w:line="560" w:lineRule="exact"/>
              <w:jc w:val="righ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   年  月  日</w:t>
            </w:r>
          </w:p>
        </w:tc>
        <w:tc>
          <w:tcPr>
            <w:tcW w:w="1134" w:type="dxa"/>
            <w:gridSpan w:val="2"/>
            <w:noWrap w:val="0"/>
            <w:vAlign w:val="center"/>
          </w:tcPr>
          <w:p>
            <w:pPr>
              <w:spacing w:after="0" w:line="560" w:lineRule="exact"/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分管</w:t>
            </w:r>
          </w:p>
          <w:p>
            <w:pPr>
              <w:spacing w:after="0" w:line="560" w:lineRule="exact"/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领导</w:t>
            </w:r>
          </w:p>
          <w:p>
            <w:pPr>
              <w:spacing w:after="0" w:line="560" w:lineRule="exact"/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意见</w:t>
            </w:r>
          </w:p>
        </w:tc>
        <w:tc>
          <w:tcPr>
            <w:tcW w:w="3827" w:type="dxa"/>
            <w:gridSpan w:val="2"/>
            <w:noWrap w:val="0"/>
            <w:vAlign w:val="top"/>
          </w:tcPr>
          <w:p>
            <w:pPr>
              <w:spacing w:after="0" w:line="560" w:lineRule="exac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</w:p>
          <w:p>
            <w:pPr>
              <w:spacing w:after="0" w:line="560" w:lineRule="exac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</w:p>
          <w:p>
            <w:pPr>
              <w:spacing w:after="0" w:line="560" w:lineRule="exac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</w:p>
          <w:p>
            <w:pPr>
              <w:spacing w:after="0" w:line="560" w:lineRule="exact"/>
              <w:ind w:firstLine="210" w:firstLineChars="100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审核人（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签名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）：</w:t>
            </w:r>
          </w:p>
          <w:p>
            <w:pPr>
              <w:spacing w:after="0" w:line="560" w:lineRule="exact"/>
              <w:jc w:val="righ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  年  月  日</w:t>
            </w:r>
          </w:p>
        </w:tc>
      </w:tr>
    </w:tbl>
    <w:p>
      <w:pPr>
        <w:jc w:val="center"/>
        <w:rPr>
          <w:rFonts w:hint="default" w:ascii="Times New Roman" w:hAnsi="Times New Roman" w:eastAsia="方正小标宋简体" w:cs="Times New Roman"/>
          <w:sz w:val="44"/>
          <w:szCs w:val="44"/>
          <w:lang w:eastAsia="zh-CN"/>
        </w:rPr>
      </w:pPr>
      <w:r>
        <w:rPr>
          <w:rFonts w:hint="eastAsia" w:ascii="Times New Roman" w:hAnsi="Times New Roman" w:eastAsia="方正小标宋简体" w:cs="Times New Roman"/>
          <w:sz w:val="44"/>
          <w:szCs w:val="44"/>
          <w:lang w:eastAsia="zh-CN"/>
        </w:rPr>
        <w:t>水亭畲族乡</w:t>
      </w:r>
      <w:r>
        <w:rPr>
          <w:rFonts w:hint="default" w:ascii="Times New Roman" w:hAnsi="Times New Roman" w:eastAsia="方正小标宋简体" w:cs="Times New Roman"/>
          <w:sz w:val="44"/>
          <w:szCs w:val="44"/>
          <w:lang w:eastAsia="zh-CN"/>
        </w:rPr>
        <w:t>专项调解工作补贴申请表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eastAsia="zh-CN"/>
        </w:rPr>
        <w:t>附件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　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3" w:firstLineChars="200"/>
        <w:jc w:val="center"/>
        <w:textAlignment w:val="auto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eastAsia="zh-CN"/>
        </w:rPr>
        <w:t>人民调解员岗位目标考核细则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640" w:firstLineChars="200"/>
        <w:jc w:val="left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-CN"/>
        </w:rPr>
      </w:pPr>
    </w:p>
    <w:tbl>
      <w:tblPr>
        <w:tblStyle w:val="6"/>
        <w:tblW w:w="8625" w:type="dxa"/>
        <w:tblInd w:w="-129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0"/>
        <w:gridCol w:w="1155"/>
        <w:gridCol w:w="1110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right="0" w:firstLine="300" w:firstLineChars="10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考核内容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11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分值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</w:p>
        </w:tc>
        <w:tc>
          <w:tcPr>
            <w:tcW w:w="11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评分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5" w:hRule="atLeast"/>
        </w:trPr>
        <w:tc>
          <w:tcPr>
            <w:tcW w:w="63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z w:val="30"/>
                <w:szCs w:val="30"/>
                <w:u w:val="none"/>
              </w:rPr>
            </w:pP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right="0" w:firstLine="300" w:firstLineChars="10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1、按时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参加各类会议、业务学习，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矛盾纠纷排查必须做到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每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月一排查，能及时把握纠纷动态信息，尤其是重大矛盾纠纷及社会热点问题能及时发现苗头，得到有效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稳控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，上报情况及时。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z w:val="30"/>
                <w:szCs w:val="30"/>
                <w:u w:val="none"/>
                <w:lang w:val="en-US" w:eastAsia="zh-CN"/>
              </w:rPr>
            </w:pPr>
          </w:p>
        </w:tc>
        <w:tc>
          <w:tcPr>
            <w:tcW w:w="11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分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11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1" w:hRule="atLeast"/>
        </w:trPr>
        <w:tc>
          <w:tcPr>
            <w:tcW w:w="63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 w:firstLine="300" w:firstLineChars="10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、调解员受理纠纷后要及时调解，最大限度地把各类矛盾纠纷化解在基层，做到“小事不出村、大事不出乡、矛盾不上交”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，无因调解不及时和调解不当而引起的“民转刑”、“非正常死亡”、群体性上访和越级上访案件</w:t>
            </w:r>
          </w:p>
        </w:tc>
        <w:tc>
          <w:tcPr>
            <w:tcW w:w="11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分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11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65" w:hRule="atLeast"/>
        </w:trPr>
        <w:tc>
          <w:tcPr>
            <w:tcW w:w="63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right="0" w:firstLine="300" w:firstLineChars="10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、人民调解案卷全部按照司法部统一格式制作，内容齐全，一案一卷，并装订成册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口头协议纠纷填写《人民调解口头协议登记表》，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各村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每月调解案件不少于1件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，每增加一件加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val="en-US" w:eastAsia="zh-CN"/>
              </w:rPr>
              <w:t>5分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。</w:t>
            </w:r>
          </w:p>
        </w:tc>
        <w:tc>
          <w:tcPr>
            <w:tcW w:w="11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分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11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50" w:hRule="atLeast"/>
        </w:trPr>
        <w:tc>
          <w:tcPr>
            <w:tcW w:w="63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 w:firstLine="300" w:firstLineChars="10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、依法公正调解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自觉遵守职业道德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，严守工作纪律，严禁发生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索取、收受当事人财物等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违法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违纪行为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。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</w:p>
        </w:tc>
        <w:tc>
          <w:tcPr>
            <w:tcW w:w="11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分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11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2" w:hRule="atLeast"/>
        </w:trPr>
        <w:tc>
          <w:tcPr>
            <w:tcW w:w="63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 w:firstLine="300" w:firstLineChars="10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eastAsia="zh-CN"/>
              </w:rPr>
              <w:t>完成乡党委政府交办的其他工作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</w:p>
        </w:tc>
        <w:tc>
          <w:tcPr>
            <w:tcW w:w="11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  <w:t>分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111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575E5"/>
    <w:rsid w:val="00A558D9"/>
    <w:rsid w:val="00B04074"/>
    <w:rsid w:val="00F65D4E"/>
    <w:rsid w:val="01CF0A3C"/>
    <w:rsid w:val="0436623A"/>
    <w:rsid w:val="04A17139"/>
    <w:rsid w:val="05C45A00"/>
    <w:rsid w:val="067B2AF2"/>
    <w:rsid w:val="08BC5AA2"/>
    <w:rsid w:val="0AA02254"/>
    <w:rsid w:val="0D7951A9"/>
    <w:rsid w:val="0ECC034D"/>
    <w:rsid w:val="10013201"/>
    <w:rsid w:val="10567282"/>
    <w:rsid w:val="105C4D5B"/>
    <w:rsid w:val="11156AA4"/>
    <w:rsid w:val="133E56A1"/>
    <w:rsid w:val="136D0B4E"/>
    <w:rsid w:val="146D57B2"/>
    <w:rsid w:val="177D50E2"/>
    <w:rsid w:val="185F32C1"/>
    <w:rsid w:val="1B9E5126"/>
    <w:rsid w:val="1CE72513"/>
    <w:rsid w:val="1D7A28A5"/>
    <w:rsid w:val="1EF47E3E"/>
    <w:rsid w:val="1F6B2FCF"/>
    <w:rsid w:val="1F8878ED"/>
    <w:rsid w:val="1FED39E2"/>
    <w:rsid w:val="202F7232"/>
    <w:rsid w:val="20A96284"/>
    <w:rsid w:val="22142449"/>
    <w:rsid w:val="222E44A8"/>
    <w:rsid w:val="223673D3"/>
    <w:rsid w:val="22391E27"/>
    <w:rsid w:val="23FB723E"/>
    <w:rsid w:val="27912250"/>
    <w:rsid w:val="27915733"/>
    <w:rsid w:val="27AF939C"/>
    <w:rsid w:val="27BE4821"/>
    <w:rsid w:val="2A1668E9"/>
    <w:rsid w:val="2BD64B55"/>
    <w:rsid w:val="2BF00B16"/>
    <w:rsid w:val="2C6A4664"/>
    <w:rsid w:val="31814346"/>
    <w:rsid w:val="31A731A0"/>
    <w:rsid w:val="31D90835"/>
    <w:rsid w:val="3266096B"/>
    <w:rsid w:val="34143C84"/>
    <w:rsid w:val="370B275A"/>
    <w:rsid w:val="3AFD3CAC"/>
    <w:rsid w:val="3B3358BC"/>
    <w:rsid w:val="3B7A46D3"/>
    <w:rsid w:val="3C40533A"/>
    <w:rsid w:val="3D7E50EC"/>
    <w:rsid w:val="41FD3B66"/>
    <w:rsid w:val="420232EB"/>
    <w:rsid w:val="42224086"/>
    <w:rsid w:val="42501F60"/>
    <w:rsid w:val="42EC1517"/>
    <w:rsid w:val="43E64B36"/>
    <w:rsid w:val="44545075"/>
    <w:rsid w:val="44A27C13"/>
    <w:rsid w:val="46907113"/>
    <w:rsid w:val="47971343"/>
    <w:rsid w:val="4979118A"/>
    <w:rsid w:val="4B9C185A"/>
    <w:rsid w:val="4C630BC0"/>
    <w:rsid w:val="4D633AE9"/>
    <w:rsid w:val="4D9C7436"/>
    <w:rsid w:val="4E5B1444"/>
    <w:rsid w:val="4EED0FBC"/>
    <w:rsid w:val="551E4260"/>
    <w:rsid w:val="55857D5A"/>
    <w:rsid w:val="55AB3B7D"/>
    <w:rsid w:val="585B09DA"/>
    <w:rsid w:val="591155F8"/>
    <w:rsid w:val="59125159"/>
    <w:rsid w:val="59AA6FBD"/>
    <w:rsid w:val="5BD1456B"/>
    <w:rsid w:val="5C7B4CBF"/>
    <w:rsid w:val="5D8A52E6"/>
    <w:rsid w:val="5DA332D8"/>
    <w:rsid w:val="5EA42C9D"/>
    <w:rsid w:val="61EB5B0C"/>
    <w:rsid w:val="625B3697"/>
    <w:rsid w:val="65447D09"/>
    <w:rsid w:val="668D0324"/>
    <w:rsid w:val="677D4BAC"/>
    <w:rsid w:val="68240BEB"/>
    <w:rsid w:val="6D1852B7"/>
    <w:rsid w:val="6F43046C"/>
    <w:rsid w:val="70F34111"/>
    <w:rsid w:val="71411257"/>
    <w:rsid w:val="72A6183D"/>
    <w:rsid w:val="73A31FCF"/>
    <w:rsid w:val="74A26DB3"/>
    <w:rsid w:val="74FC46DE"/>
    <w:rsid w:val="75202A40"/>
    <w:rsid w:val="76173602"/>
    <w:rsid w:val="77027E00"/>
    <w:rsid w:val="770E292A"/>
    <w:rsid w:val="7A9D7848"/>
    <w:rsid w:val="7CF33749"/>
    <w:rsid w:val="7D130065"/>
    <w:rsid w:val="7E794B28"/>
    <w:rsid w:val="7FBE0C7E"/>
    <w:rsid w:val="BEFDD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pPr>
      <w:spacing w:after="0" w:line="240" w:lineRule="auto"/>
    </w:pPr>
    <w:rPr>
      <w:kern w:val="2"/>
      <w:sz w:val="21"/>
      <w:lang w:eastAsia="zh-CN" w:bidi="ar-S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2022-08-18T16:20:00Z</dcterms:created>
  <dc:creator>Administrator</dc:creator>
  <cp:lastModifiedBy>Administrator</cp:lastModifiedBy>
  <cp:lastPrinted>2022-08-23T03:08:00Z</cp:lastPrinted>
  <dcterms:modified xsi:type="dcterms:W3CDTF">2022-11-14T02:48:57Z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woTemplateTypoMode" linkTarget="0">
    <vt:lpwstr>web</vt:lpwstr>
  </property>
  <property fmtid="{D5CDD505-2E9C-101B-9397-08002B2CF9AE}" pid="4" name="woTemplate" linkTarget="0">
    <vt:i4>1</vt:i4>
  </property>
  <property fmtid="{D5CDD505-2E9C-101B-9397-08002B2CF9AE}" pid="5" name="ICV">
    <vt:lpwstr>2B073EF15735403097A2D0411052313D</vt:lpwstr>
  </property>
</Properties>
</file>