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hd w:val="clear" w:color="auto" w:fill="FFFFFF"/>
        <w:spacing w:line="580" w:lineRule="exact"/>
        <w:jc w:val="center"/>
        <w:rPr>
          <w:rFonts w:hint="eastAsia" w:ascii="方正小标宋简体" w:hAnsi="宋体" w:eastAsia="方正小标宋简体" w:cs="方正小标宋简体"/>
          <w:color w:val="333333"/>
          <w:kern w:val="0"/>
          <w:sz w:val="44"/>
          <w:szCs w:val="44"/>
        </w:rPr>
      </w:pPr>
      <w:r>
        <w:rPr>
          <w:rFonts w:hint="eastAsia" w:ascii="方正小标宋简体" w:hAnsi="宋体" w:eastAsia="方正小标宋简体" w:cs="方正小标宋简体"/>
          <w:color w:val="333333"/>
          <w:kern w:val="0"/>
          <w:sz w:val="44"/>
          <w:szCs w:val="44"/>
        </w:rPr>
        <w:t>温州市鹿城区人民政府五马街道办事处2021年政府信息公开工作年度报告</w:t>
      </w:r>
    </w:p>
    <w:p>
      <w:pPr>
        <w:pStyle w:val="2"/>
        <w:rPr>
          <w:rFonts w:hint="eastAsia"/>
        </w:rPr>
      </w:pPr>
    </w:p>
    <w:p>
      <w:pPr>
        <w:spacing w:line="580" w:lineRule="exact"/>
        <w:ind w:firstLine="640" w:firstLineChars="2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根据《中华人民共和国政府信息公开条例》和《浙江省政府信息公开暂行办法》，特向社会公布20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年度本机关信息公开年度报告。本报告中所列数据的统计期限自20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年1月1日起至20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年12月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31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日止。</w:t>
      </w:r>
    </w:p>
    <w:p>
      <w:pPr>
        <w:widowControl/>
        <w:shd w:val="clear" w:color="auto" w:fill="FFFFFF"/>
        <w:spacing w:line="580" w:lineRule="exact"/>
        <w:ind w:firstLine="640" w:firstLineChars="200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一、总体情况</w:t>
      </w: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0" w:firstLineChars="200"/>
        <w:jc w:val="left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</w:rPr>
        <w:t>20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</w:rPr>
        <w:t>年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  <w:t>五马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</w:rPr>
        <w:t>街道高度重视政府信息公开工作，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  <w:t>全面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</w:rPr>
        <w:t>提升信息公开工作深度、广度和推进力度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  <w:t>主要表现在以下几个方面：</w:t>
      </w: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-57150</wp:posOffset>
            </wp:positionH>
            <wp:positionV relativeFrom="paragraph">
              <wp:posOffset>19050</wp:posOffset>
            </wp:positionV>
            <wp:extent cx="4786630" cy="3589655"/>
            <wp:effectExtent l="0" t="0" r="13970" b="10795"/>
            <wp:wrapTight wrapText="bothSides">
              <wp:wrapPolygon>
                <wp:start x="0" y="0"/>
                <wp:lineTo x="0" y="21436"/>
                <wp:lineTo x="21491" y="21436"/>
                <wp:lineTo x="21491" y="0"/>
                <wp:lineTo x="0" y="0"/>
              </wp:wrapPolygon>
            </wp:wrapTight>
            <wp:docPr id="4" name="图片 4" descr="fbcd50d68b5626738e69765fc6b420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fbcd50d68b5626738e69765fc6b420d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663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</w:p>
    <w:p>
      <w:pPr>
        <w:pStyle w:val="2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-166370</wp:posOffset>
            </wp:positionV>
            <wp:extent cx="3013710" cy="2360930"/>
            <wp:effectExtent l="0" t="0" r="15240" b="1270"/>
            <wp:wrapTight wrapText="bothSides">
              <wp:wrapPolygon>
                <wp:start x="0" y="0"/>
                <wp:lineTo x="0" y="21437"/>
                <wp:lineTo x="21436" y="21437"/>
                <wp:lineTo x="21436" y="0"/>
                <wp:lineTo x="0" y="0"/>
              </wp:wrapPolygon>
            </wp:wrapTight>
            <wp:docPr id="1" name="图片 1" descr="7a87ae96db20eb1d863477e0c3f1e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a87ae96db20eb1d863477e0c3f1e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37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3200400</wp:posOffset>
            </wp:positionH>
            <wp:positionV relativeFrom="paragraph">
              <wp:posOffset>-158750</wp:posOffset>
            </wp:positionV>
            <wp:extent cx="2764155" cy="2397760"/>
            <wp:effectExtent l="0" t="0" r="17145" b="0"/>
            <wp:wrapTight wrapText="bothSides">
              <wp:wrapPolygon>
                <wp:start x="0" y="0"/>
                <wp:lineTo x="0" y="21451"/>
                <wp:lineTo x="21436" y="21451"/>
                <wp:lineTo x="21436" y="0"/>
                <wp:lineTo x="0" y="0"/>
              </wp:wrapPolygon>
            </wp:wrapTight>
            <wp:docPr id="9" name="图片 9" descr="eb0c54c93b87125477a00a452008e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b0c54c93b87125477a00a452008ef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64155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shd w:val="clear" w:color="auto" w:fill="auto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86360</wp:posOffset>
            </wp:positionH>
            <wp:positionV relativeFrom="paragraph">
              <wp:posOffset>294005</wp:posOffset>
            </wp:positionV>
            <wp:extent cx="3007995" cy="2824480"/>
            <wp:effectExtent l="0" t="0" r="13970" b="1905"/>
            <wp:wrapTight wrapText="bothSides">
              <wp:wrapPolygon>
                <wp:start x="5" y="21600"/>
                <wp:lineTo x="21481" y="21600"/>
                <wp:lineTo x="21481" y="185"/>
                <wp:lineTo x="5" y="185"/>
                <wp:lineTo x="5" y="21600"/>
              </wp:wrapPolygon>
            </wp:wrapTight>
            <wp:docPr id="7" name="图片 7" descr="C:/Users/admin/AppData/Local/Temp/picturecompress_20210122151447/output_1.jpgoutpu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admin/AppData/Local/Temp/picturecompress_20210122151447/output_1.jpgoutput_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007995" cy="2824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left="0" w:leftChars="0" w:firstLine="0" w:firstLineChars="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-125095</wp:posOffset>
            </wp:positionH>
            <wp:positionV relativeFrom="paragraph">
              <wp:posOffset>-53340</wp:posOffset>
            </wp:positionV>
            <wp:extent cx="2973070" cy="2798445"/>
            <wp:effectExtent l="0" t="0" r="1905" b="17780"/>
            <wp:wrapTight wrapText="bothSides">
              <wp:wrapPolygon>
                <wp:start x="5" y="21600"/>
                <wp:lineTo x="21457" y="21600"/>
                <wp:lineTo x="21457" y="132"/>
                <wp:lineTo x="5" y="132"/>
                <wp:lineTo x="5" y="21600"/>
              </wp:wrapPolygon>
            </wp:wrapTight>
            <wp:docPr id="3" name="图片 3" descr="b740fcc6db1d036969515f88afc7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b740fcc6db1d036969515f88afc756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7307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</w:pPr>
      <w:r>
        <w:rPr>
          <w:rStyle w:val="9"/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（一）</w:t>
      </w:r>
      <w:r>
        <w:rPr>
          <w:rStyle w:val="9"/>
          <w:rFonts w:hint="eastAsia" w:ascii="楷体_GB2312" w:hAnsi="楷体_GB2312" w:eastAsia="楷体_GB2312" w:cs="楷体_GB2312"/>
          <w:color w:val="auto"/>
          <w:sz w:val="32"/>
          <w:szCs w:val="32"/>
        </w:rPr>
        <w:t>主动公开</w:t>
      </w:r>
      <w:r>
        <w:rPr>
          <w:rStyle w:val="9"/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方面</w:t>
      </w:r>
      <w:r>
        <w:rPr>
          <w:rStyle w:val="9"/>
          <w:rFonts w:hint="eastAsia" w:ascii="楷体_GB2312" w:hAnsi="楷体_GB2312" w:eastAsia="楷体_GB2312" w:cs="楷体_GB2312"/>
          <w:color w:val="auto"/>
          <w:sz w:val="32"/>
          <w:szCs w:val="32"/>
        </w:rPr>
        <w:t>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20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年，街道按《条例》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textAlignment w:val="auto"/>
        <w:rPr>
          <w:rFonts w:hint="default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规定范围主动公开信息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  <w:t>。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全年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主动公开政府信息共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36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条。其中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机构信息6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条，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公告公示20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条，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政策文件6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条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计划总结3条，人事信息1条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  <w:t>，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掌上鹿城五马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公众号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发布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信息726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条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</w:pPr>
      <w:r>
        <w:rPr>
          <w:rFonts w:hint="eastAsia" w:ascii="仿宋_GB2312" w:hAnsi="仿宋_GB2312" w:eastAsia="仿宋_GB2312" w:cs="仿宋_GB2312"/>
          <w:color w:val="auto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239395</wp:posOffset>
            </wp:positionH>
            <wp:positionV relativeFrom="paragraph">
              <wp:posOffset>163195</wp:posOffset>
            </wp:positionV>
            <wp:extent cx="4589145" cy="1844040"/>
            <wp:effectExtent l="4445" t="5080" r="16510" b="17780"/>
            <wp:wrapTight wrapText="bothSides">
              <wp:wrapPolygon>
                <wp:start x="-21" y="-60"/>
                <wp:lineTo x="-21" y="21362"/>
                <wp:lineTo x="21498" y="21362"/>
                <wp:lineTo x="21498" y="-60"/>
                <wp:lineTo x="-21" y="-60"/>
              </wp:wrapPolygon>
            </wp:wrapTight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30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</w:pP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20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21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年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五马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</w:rPr>
        <w:t>街道主动公开街道政府信息</w:t>
      </w:r>
      <w:r>
        <w:rPr>
          <w:rFonts w:hint="eastAsia" w:ascii="仿宋_GB2312" w:hAnsi="仿宋_GB2312" w:eastAsia="仿宋_GB2312" w:cs="仿宋_GB2312"/>
          <w:color w:val="auto"/>
          <w:kern w:val="0"/>
          <w:sz w:val="32"/>
          <w:szCs w:val="32"/>
          <w:shd w:val="clear" w:color="auto" w:fill="FFFFFF"/>
          <w:lang w:val="en-US" w:eastAsia="zh-CN"/>
        </w:rPr>
        <w:t>分布图</w:t>
      </w:r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</w:pPr>
      <w:r>
        <w:rPr>
          <w:rStyle w:val="9"/>
          <w:rFonts w:hint="eastAsia" w:ascii="楷体_GB2312" w:hAnsi="楷体_GB2312" w:eastAsia="楷体_GB2312" w:cs="楷体_GB2312"/>
          <w:color w:val="auto"/>
          <w:sz w:val="32"/>
          <w:szCs w:val="32"/>
          <w:lang w:val="en-US" w:eastAsia="zh-CN"/>
        </w:rPr>
        <w:t>（二）依申请公开方面</w:t>
      </w:r>
      <w:r>
        <w:rPr>
          <w:rStyle w:val="9"/>
          <w:rFonts w:hint="eastAsia" w:ascii="楷体_GB2312" w:hAnsi="楷体_GB2312" w:eastAsia="楷体_GB2312" w:cs="楷体_GB2312"/>
          <w:color w:val="auto"/>
          <w:sz w:val="32"/>
          <w:szCs w:val="32"/>
        </w:rPr>
        <w:t>。</w:t>
      </w:r>
      <w:r>
        <w:rPr>
          <w:rStyle w:val="9"/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</w:rPr>
        <w:t>完成2021鹿城区推进政府信息公开查阅点规范化建设</w:t>
      </w:r>
      <w:r>
        <w:rPr>
          <w:rStyle w:val="9"/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eastAsia="zh-CN"/>
        </w:rPr>
        <w:t>，</w:t>
      </w:r>
      <w:r>
        <w:rPr>
          <w:rStyle w:val="9"/>
          <w:rFonts w:hint="eastAsia" w:ascii="仿宋_GB2312" w:hAnsi="仿宋_GB2312" w:eastAsia="仿宋_GB2312" w:cs="仿宋_GB2312"/>
          <w:b w:val="0"/>
          <w:bCs w:val="0"/>
          <w:color w:val="auto"/>
          <w:sz w:val="32"/>
          <w:szCs w:val="32"/>
          <w:lang w:val="en-US" w:eastAsia="zh-CN"/>
        </w:rPr>
        <w:t>让辖区居民更加直观了解政府信息公开制度和申请流程。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全年共受理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依申请公开事项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0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件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eastAsia="zh-CN"/>
        </w:rPr>
        <w:t>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right="0" w:firstLine="645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  <w:t>（三）加强政府信息管理方面。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先后多次组织人员学习贯彻落实政府信息公开相关文件的主要精神，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确保政府信息公开工作全面规范。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严格按照《条例》要求，加大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群众关注民生热点问题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的</w:t>
      </w:r>
      <w:r>
        <w:rPr>
          <w:rFonts w:hint="eastAsia" w:ascii="仿宋_GB2312" w:hAnsi="仿宋_GB2312" w:eastAsia="仿宋_GB2312" w:cs="仿宋_GB2312"/>
          <w:color w:val="auto"/>
          <w:kern w:val="2"/>
          <w:sz w:val="32"/>
          <w:szCs w:val="32"/>
          <w:lang w:val="en-US" w:eastAsia="zh-CN" w:bidi="ar-SA"/>
        </w:rPr>
        <w:t>公开力度。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right="0" w:firstLine="645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rStyle w:val="9"/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  <w:t>（四）推进平台建设方面。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进一步优化公开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内容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，主动与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浙江日报等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新闻媒体合作，形成以区政府信息公开网站为基础，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掌上鹿城五马街道公众号、新闻媒体宣传报道为辅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的信息发布管理模式。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right="0" w:firstLine="645"/>
        <w:jc w:val="left"/>
        <w:textAlignment w:val="auto"/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</w:pPr>
      <w:r>
        <w:rPr>
          <w:rStyle w:val="9"/>
          <w:rFonts w:hint="eastAsia" w:ascii="楷体_GB2312" w:hAnsi="楷体_GB2312" w:eastAsia="楷体_GB2312" w:cs="楷体_GB2312"/>
          <w:color w:val="auto"/>
          <w:kern w:val="2"/>
          <w:sz w:val="32"/>
          <w:szCs w:val="32"/>
          <w:lang w:val="en-US" w:eastAsia="zh-CN" w:bidi="ar-SA"/>
        </w:rPr>
        <w:t>（五）落实监督保障工作方面。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将政府信息公开落实情况纳入年度考核指标，自觉接受社会评议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eastAsia="zh-CN"/>
        </w:rPr>
        <w:t>。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建立健全政务公开工作长效机制，保障信息公开经费、人员投入，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定期检查网站更新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是否及时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、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网络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链接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是否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畅通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eastAsia="zh-CN"/>
        </w:rPr>
        <w:t>、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信息发布是否遗漏等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</w:rPr>
        <w:t>情况，</w:t>
      </w: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做到制度完善、责任到人。</w:t>
      </w:r>
    </w:p>
    <w:p>
      <w:pPr>
        <w:pStyle w:val="5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580" w:lineRule="exact"/>
        <w:ind w:left="0" w:right="0" w:firstLine="645"/>
        <w:jc w:val="left"/>
        <w:textAlignment w:val="auto"/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</w:pPr>
    </w:p>
    <w:p>
      <w:pPr>
        <w:keepNext w:val="0"/>
        <w:keepLines w:val="0"/>
        <w:pageBreakBefore w:val="0"/>
        <w:widowControl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ind w:firstLine="480"/>
        <w:textAlignment w:val="auto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  <w:t>二、主动公开政府信息情况</w:t>
      </w:r>
    </w:p>
    <w:tbl>
      <w:tblPr>
        <w:tblStyle w:val="6"/>
        <w:tblW w:w="8140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13"/>
        <w:gridCol w:w="1682"/>
        <w:gridCol w:w="1464"/>
        <w:gridCol w:w="1881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 w:hRule="atLeast"/>
          <w:jc w:val="center"/>
        </w:trPr>
        <w:tc>
          <w:tcPr>
            <w:tcW w:w="8140" w:type="dxa"/>
            <w:gridSpan w:val="4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第二十条第（一）项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2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1682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本年制发件数</w:t>
            </w:r>
          </w:p>
        </w:tc>
        <w:tc>
          <w:tcPr>
            <w:tcW w:w="146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本年废止件数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现行有效件数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规章</w:t>
            </w:r>
          </w:p>
        </w:tc>
        <w:tc>
          <w:tcPr>
            <w:tcW w:w="16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行政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规范性文件</w:t>
            </w:r>
          </w:p>
        </w:tc>
        <w:tc>
          <w:tcPr>
            <w:tcW w:w="1682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46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1881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  <w:jc w:val="center"/>
        </w:trPr>
        <w:tc>
          <w:tcPr>
            <w:tcW w:w="81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第二十条第（五）项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5027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本年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8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行政许可</w:t>
            </w:r>
          </w:p>
        </w:tc>
        <w:tc>
          <w:tcPr>
            <w:tcW w:w="5027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1886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" w:hRule="atLeast"/>
          <w:jc w:val="center"/>
        </w:trPr>
        <w:tc>
          <w:tcPr>
            <w:tcW w:w="81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第二十条第（六）项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4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5027" w:type="dxa"/>
            <w:gridSpan w:val="3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本年</w:t>
            </w: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处理决定数量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0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行政处罚</w:t>
            </w:r>
          </w:p>
        </w:tc>
        <w:tc>
          <w:tcPr>
            <w:tcW w:w="5027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24410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行政强制</w:t>
            </w:r>
          </w:p>
        </w:tc>
        <w:tc>
          <w:tcPr>
            <w:tcW w:w="5027" w:type="dxa"/>
            <w:gridSpan w:val="3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  <w:jc w:val="center"/>
        </w:trPr>
        <w:tc>
          <w:tcPr>
            <w:tcW w:w="8140" w:type="dxa"/>
            <w:gridSpan w:val="4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第二十条第（八）项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信息内容</w:t>
            </w:r>
          </w:p>
        </w:tc>
        <w:tc>
          <w:tcPr>
            <w:tcW w:w="5027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default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本年收费金额（单位：万元）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1" w:hRule="atLeast"/>
          <w:jc w:val="center"/>
        </w:trPr>
        <w:tc>
          <w:tcPr>
            <w:tcW w:w="3113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行政事业性收费</w:t>
            </w:r>
          </w:p>
        </w:tc>
        <w:tc>
          <w:tcPr>
            <w:tcW w:w="5027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8" w:space="0"/>
            </w:tcBorders>
            <w:shd w:val="clear" w:color="auto" w:fill="auto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  <w:bookmarkStart w:id="0" w:name="_GoBack"/>
            <w:bookmarkEnd w:id="0"/>
          </w:p>
        </w:tc>
      </w:tr>
    </w:tbl>
    <w:p>
      <w:pPr>
        <w:widowControl/>
        <w:shd w:val="clear" w:color="auto" w:fill="FFFFFF"/>
        <w:spacing w:after="24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  <w:t>三、收到和处理政府信息公开申请情况</w:t>
      </w:r>
    </w:p>
    <w:tbl>
      <w:tblPr>
        <w:tblStyle w:val="6"/>
        <w:tblW w:w="9748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68"/>
        <w:gridCol w:w="943"/>
        <w:gridCol w:w="3220"/>
        <w:gridCol w:w="688"/>
        <w:gridCol w:w="688"/>
        <w:gridCol w:w="688"/>
        <w:gridCol w:w="688"/>
        <w:gridCol w:w="688"/>
        <w:gridCol w:w="688"/>
        <w:gridCol w:w="689"/>
      </w:tblGrid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vMerge w:val="restart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ascii="楷体" w:hAnsi="楷体" w:eastAsia="楷体" w:cs="楷体"/>
                <w:kern w:val="0"/>
                <w:sz w:val="20"/>
                <w:szCs w:val="20"/>
                <w:lang w:bidi="ar"/>
              </w:rPr>
              <w:t>（本列数据的勾稽关系为：第一项加第二项之和，等于第三项加第四项之和）</w:t>
            </w:r>
          </w:p>
        </w:tc>
        <w:tc>
          <w:tcPr>
            <w:tcW w:w="4817" w:type="dxa"/>
            <w:gridSpan w:val="7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申请人情况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88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自然人</w:t>
            </w:r>
          </w:p>
        </w:tc>
        <w:tc>
          <w:tcPr>
            <w:tcW w:w="344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法人或其他组织</w:t>
            </w:r>
          </w:p>
        </w:tc>
        <w:tc>
          <w:tcPr>
            <w:tcW w:w="689" w:type="dxa"/>
            <w:vMerge w:val="restart"/>
            <w:tcBorders>
              <w:top w:val="single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总计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vMerge w:val="continue"/>
            <w:tcBorders>
              <w:top w:val="single" w:color="auto" w:sz="8" w:space="0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88" w:type="dxa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商业</w:t>
            </w:r>
          </w:p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企业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科研</w:t>
            </w:r>
          </w:p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社会公益组织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法律服务机构</w:t>
            </w:r>
          </w:p>
        </w:tc>
        <w:tc>
          <w:tcPr>
            <w:tcW w:w="68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其他</w:t>
            </w:r>
          </w:p>
        </w:tc>
        <w:tc>
          <w:tcPr>
            <w:tcW w:w="689" w:type="dxa"/>
            <w:vMerge w:val="continue"/>
            <w:tcBorders>
              <w:top w:val="single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一、本年新收政府信息公开申请数量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二、上年结转政府信息公开申请数量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restart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三、本年度办理结果</w:t>
            </w: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（一）予以公开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（二）部分公开</w:t>
            </w:r>
            <w:r>
              <w:rPr>
                <w:rFonts w:hint="eastAsia" w:ascii="楷体" w:hAnsi="楷体" w:eastAsia="楷体" w:cs="楷体"/>
                <w:kern w:val="0"/>
                <w:sz w:val="20"/>
                <w:szCs w:val="20"/>
                <w:lang w:bidi="ar"/>
              </w:rPr>
              <w:t>（区分处理的，只计这一情形，不计其他情形）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（三）不予公开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1.属于国家秘密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2.其他法律行政法规禁止公开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3.危及“三安全一稳定”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4.保护第三方合法权益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5.属于三类内部事务信息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6.属于四类过程性信息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7.属于行政执法案卷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8.属于行政查询事项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（四）无法提供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1.本机关不掌握相关政府信息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2.没有现成信息需要另行制作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3.补正后申请内容仍不明确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（五）不予处理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1.信访举报投诉类申请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2.重复申请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3.要求提供公开出版物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4.无正当理由大量反复申请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8" w:hRule="atLeast"/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5.要求行政机关确认或重新出具已获取信息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restart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（六）其他处理</w:t>
            </w: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1.申请人无正当理由逾期不补正、行政机关不再处理其政府信息公开申请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2.申请人逾期未按收费通知要求缴纳费用、行政机关不再处理其政府信息公开申请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943" w:type="dxa"/>
            <w:vMerge w:val="continue"/>
            <w:tcBorders>
              <w:top w:val="outset" w:color="auto" w:sz="8" w:space="0"/>
              <w:left w:val="nil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322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3.其他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768" w:type="dxa"/>
            <w:vMerge w:val="continue"/>
            <w:tcBorders>
              <w:top w:val="nil"/>
              <w:left w:val="single" w:color="auto" w:sz="8" w:space="0"/>
              <w:bottom w:val="outset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rPr>
                <w:rFonts w:ascii="宋体"/>
                <w:sz w:val="24"/>
              </w:rPr>
            </w:pPr>
          </w:p>
        </w:tc>
        <w:tc>
          <w:tcPr>
            <w:tcW w:w="4163" w:type="dxa"/>
            <w:gridSpan w:val="2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（七）总计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  <w:tr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4931" w:type="dxa"/>
            <w:gridSpan w:val="3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>
            <w:pPr>
              <w:widowControl/>
              <w:jc w:val="left"/>
            </w:pPr>
            <w:r>
              <w:rPr>
                <w:rFonts w:hint="eastAsia" w:ascii="宋体" w:hAnsi="宋体" w:eastAsia="宋体" w:cs="宋体"/>
                <w:kern w:val="0"/>
                <w:sz w:val="20"/>
                <w:szCs w:val="20"/>
                <w:lang w:bidi="ar"/>
              </w:rPr>
              <w:t>四、结转下年度继续办理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89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shd w:val="clear" w:color="auto" w:fill="auto"/>
            <w:tcMar>
              <w:left w:w="57" w:type="dxa"/>
              <w:right w:w="57" w:type="dxa"/>
            </w:tcMar>
            <w:vAlign w:val="top"/>
          </w:tcPr>
          <w:p>
            <w:pPr>
              <w:widowControl/>
              <w:jc w:val="center"/>
              <w:rPr>
                <w:rFonts w:ascii="宋体"/>
                <w:sz w:val="24"/>
              </w:rPr>
            </w:pPr>
            <w:r>
              <w:rPr>
                <w:rFonts w:hint="eastAsia" w:ascii="Calibri" w:hAnsi="Calibri" w:cs="Calibri"/>
                <w:kern w:val="0"/>
                <w:sz w:val="20"/>
                <w:szCs w:val="20"/>
                <w:lang w:bidi="ar"/>
              </w:rPr>
              <w:t>0</w:t>
            </w:r>
          </w:p>
        </w:tc>
      </w:tr>
    </w:tbl>
    <w:p>
      <w:pPr>
        <w:widowControl/>
        <w:shd w:val="clear" w:color="auto" w:fill="FFFFFF"/>
        <w:rPr>
          <w:rFonts w:hint="eastAsia" w:ascii="仿宋_GB2312" w:hAnsi="仿宋_GB2312" w:eastAsia="仿宋_GB2312" w:cs="仿宋_GB2312"/>
          <w:color w:val="auto"/>
          <w:kern w:val="0"/>
          <w:sz w:val="24"/>
          <w:szCs w:val="24"/>
        </w:rPr>
      </w:pPr>
    </w:p>
    <w:p>
      <w:pPr>
        <w:widowControl/>
        <w:shd w:val="clear" w:color="auto" w:fill="FFFFFF"/>
        <w:ind w:firstLine="48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  <w:t>四、政府信息公开行政复议、行政诉讼情况</w:t>
      </w:r>
    </w:p>
    <w:p>
      <w:pPr>
        <w:widowControl/>
        <w:shd w:val="clear" w:color="auto" w:fill="FFFFFF"/>
        <w:ind w:firstLine="480"/>
        <w:rPr>
          <w:rFonts w:hint="eastAsia" w:ascii="仿宋_GB2312" w:hAnsi="仿宋_GB2312" w:eastAsia="仿宋_GB2312" w:cs="仿宋_GB2312"/>
          <w:color w:val="auto"/>
          <w:kern w:val="0"/>
          <w:sz w:val="24"/>
          <w:szCs w:val="24"/>
        </w:rPr>
      </w:pPr>
    </w:p>
    <w:tbl>
      <w:tblPr>
        <w:tblStyle w:val="6"/>
        <w:tblW w:w="9071" w:type="dxa"/>
        <w:jc w:val="cente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4"/>
        <w:gridCol w:w="604"/>
        <w:gridCol w:w="604"/>
        <w:gridCol w:w="604"/>
        <w:gridCol w:w="658"/>
        <w:gridCol w:w="550"/>
        <w:gridCol w:w="605"/>
        <w:gridCol w:w="605"/>
        <w:gridCol w:w="605"/>
        <w:gridCol w:w="605"/>
        <w:gridCol w:w="605"/>
        <w:gridCol w:w="605"/>
        <w:gridCol w:w="605"/>
        <w:gridCol w:w="606"/>
        <w:gridCol w:w="606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074" w:type="dxa"/>
            <w:gridSpan w:val="5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行政复议</w:t>
            </w:r>
          </w:p>
        </w:tc>
        <w:tc>
          <w:tcPr>
            <w:tcW w:w="5997" w:type="dxa"/>
            <w:gridSpan w:val="10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行政诉讼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604" w:type="dxa"/>
            <w:vMerge w:val="restart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04" w:type="dxa"/>
            <w:vMerge w:val="restart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结果纠正</w:t>
            </w:r>
          </w:p>
        </w:tc>
        <w:tc>
          <w:tcPr>
            <w:tcW w:w="604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其他结果</w:t>
            </w:r>
          </w:p>
        </w:tc>
        <w:tc>
          <w:tcPr>
            <w:tcW w:w="604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尚未审结</w:t>
            </w:r>
          </w:p>
        </w:tc>
        <w:tc>
          <w:tcPr>
            <w:tcW w:w="658" w:type="dxa"/>
            <w:vMerge w:val="restart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总计</w:t>
            </w:r>
          </w:p>
        </w:tc>
        <w:tc>
          <w:tcPr>
            <w:tcW w:w="2970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未经复议直接起诉</w:t>
            </w:r>
          </w:p>
        </w:tc>
        <w:tc>
          <w:tcPr>
            <w:tcW w:w="3027" w:type="dxa"/>
            <w:gridSpan w:val="5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复议后起诉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0" w:type="auto"/>
            <w:vMerge w:val="continue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</w:p>
        </w:tc>
        <w:tc>
          <w:tcPr>
            <w:tcW w:w="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结果纠正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其他结果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尚未审结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总计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结果维持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结果纠正</w:t>
            </w:r>
          </w:p>
        </w:tc>
        <w:tc>
          <w:tcPr>
            <w:tcW w:w="60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其他结果</w:t>
            </w:r>
          </w:p>
        </w:tc>
        <w:tc>
          <w:tcPr>
            <w:tcW w:w="6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尚未审结</w:t>
            </w:r>
          </w:p>
        </w:tc>
        <w:tc>
          <w:tcPr>
            <w:tcW w:w="60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  <w:t>总计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604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4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5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550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5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center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  <w:tc>
          <w:tcPr>
            <w:tcW w:w="606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widowControl/>
              <w:jc w:val="left"/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kern w:val="0"/>
                <w:sz w:val="20"/>
                <w:szCs w:val="20"/>
                <w:lang w:val="en-US" w:eastAsia="zh-CN"/>
              </w:rPr>
              <w:t>0</w:t>
            </w:r>
          </w:p>
        </w:tc>
      </w:tr>
    </w:tbl>
    <w:p>
      <w:pPr>
        <w:widowControl/>
        <w:numPr>
          <w:ilvl w:val="0"/>
          <w:numId w:val="0"/>
        </w:numPr>
        <w:shd w:val="clear" w:color="auto" w:fill="FFFFFF"/>
        <w:ind w:firstLine="640" w:firstLineChars="200"/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</w:p>
    <w:p>
      <w:pPr>
        <w:widowControl/>
        <w:numPr>
          <w:ilvl w:val="0"/>
          <w:numId w:val="0"/>
        </w:numPr>
        <w:shd w:val="clear" w:color="auto" w:fill="FFFFFF"/>
        <w:ind w:firstLine="640" w:firstLineChars="200"/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/>
        </w:rPr>
        <w:t>五、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  <w:t>存在的主要问题及改进情况</w:t>
      </w:r>
    </w:p>
    <w:p>
      <w:pPr>
        <w:widowControl/>
        <w:numPr>
          <w:ilvl w:val="0"/>
          <w:numId w:val="0"/>
        </w:numPr>
        <w:shd w:val="clear" w:color="auto" w:fill="FFFFFF"/>
        <w:ind w:firstLine="620" w:firstLineChars="200"/>
        <w:rPr>
          <w:rFonts w:hint="default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</w:pPr>
      <w:r>
        <w:rPr>
          <w:rFonts w:hint="eastAsia" w:ascii="仿宋_GB2312" w:hAnsi="微软雅黑" w:eastAsia="仿宋_GB2312" w:cs="仿宋_GB2312"/>
          <w:i w:val="0"/>
          <w:iCs w:val="0"/>
          <w:caps w:val="0"/>
          <w:color w:val="000000"/>
          <w:spacing w:val="0"/>
          <w:sz w:val="31"/>
          <w:szCs w:val="31"/>
          <w:lang w:val="en-US" w:eastAsia="zh-CN"/>
        </w:rPr>
        <w:t>2021年五马街道信息公开工作主要存在两方面问题：一方面信息内容质量不高，另一方面公开内容不够全面。下一步，街道将从三方面改进信息公开工作：一是加强学习培训，提高工作人员对信息公开工作重要性的认识；二是扩大覆盖面，对各项栏目信息进行补充完善；三是注重信息公开质量，及时与上级部门沟通，确保信息公开的全面性与准确性，同时重视群众反馈，吸纳合理意见，将群众意见融入信息公开工作中来；四是强化监督考核，建立起各负其责、运转协调的信息公开长效机制。</w:t>
      </w:r>
    </w:p>
    <w:p>
      <w:pPr>
        <w:widowControl/>
        <w:numPr>
          <w:ilvl w:val="0"/>
          <w:numId w:val="0"/>
        </w:numPr>
        <w:shd w:val="clear" w:color="auto" w:fill="FFFFFF"/>
        <w:ind w:firstLine="640" w:firstLineChars="200"/>
        <w:rPr>
          <w:rFonts w:hint="eastAsia"/>
        </w:rPr>
      </w:pP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  <w:lang w:val="en-US" w:eastAsia="zh-CN"/>
        </w:rPr>
        <w:t>六、</w:t>
      </w:r>
      <w:r>
        <w:rPr>
          <w:rFonts w:hint="eastAsia" w:ascii="黑体" w:hAnsi="黑体" w:eastAsia="黑体" w:cs="黑体"/>
          <w:b w:val="0"/>
          <w:bCs w:val="0"/>
          <w:color w:val="auto"/>
          <w:kern w:val="0"/>
          <w:sz w:val="32"/>
          <w:szCs w:val="32"/>
        </w:rPr>
        <w:t>其他需要报告的事项</w:t>
      </w:r>
    </w:p>
    <w:p>
      <w:pPr>
        <w:ind w:firstLine="640" w:firstLineChars="200"/>
        <w:rPr>
          <w:rFonts w:hint="eastAsia" w:ascii="仿宋_GB2312" w:hAnsi="仿宋_GB2312" w:eastAsia="仿宋_GB2312" w:cs="仿宋_GB2312"/>
          <w:color w:val="auto"/>
        </w:rPr>
      </w:pPr>
      <w:r>
        <w:rPr>
          <w:rFonts w:hint="eastAsia" w:ascii="Times New Roman" w:hAnsi="Times New Roman" w:eastAsia="仿宋"/>
          <w:color w:val="auto"/>
          <w:sz w:val="32"/>
        </w:rPr>
        <w:t>本年度本机关未收取政府信息公开处理费，无其他需要报告的事项。</w:t>
      </w:r>
    </w:p>
    <w:p>
      <w:pPr>
        <w:pStyle w:val="2"/>
        <w:rPr>
          <w:rFonts w:hint="eastAsia"/>
          <w:color w:val="auto"/>
        </w:rPr>
      </w:pPr>
    </w:p>
    <w:p>
      <w:pPr>
        <w:pStyle w:val="2"/>
        <w:rPr>
          <w:rFonts w:hint="eastAsia"/>
          <w:color w:val="auto"/>
        </w:rPr>
      </w:pPr>
    </w:p>
    <w:p>
      <w:pPr>
        <w:spacing w:line="580" w:lineRule="exact"/>
        <w:ind w:firstLine="640" w:firstLineChars="200"/>
        <w:jc w:val="right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温州市鹿城区人民政府五马街道办事处</w:t>
      </w:r>
    </w:p>
    <w:p>
      <w:pPr>
        <w:spacing w:line="580" w:lineRule="exact"/>
        <w:ind w:right="640" w:firstLine="4480" w:firstLineChars="1400"/>
        <w:rPr>
          <w:rFonts w:hint="eastAsia" w:ascii="仿宋_GB2312" w:hAnsi="仿宋_GB2312" w:eastAsia="仿宋_GB2312" w:cs="仿宋_GB2312"/>
          <w:color w:val="auto"/>
          <w:sz w:val="32"/>
          <w:szCs w:val="32"/>
        </w:rPr>
      </w:pP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202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年1月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  <w:lang w:val="en-US" w:eastAsia="zh-CN"/>
        </w:rPr>
        <w:t>17</w:t>
      </w:r>
      <w:r>
        <w:rPr>
          <w:rFonts w:hint="eastAsia" w:ascii="仿宋_GB2312" w:hAnsi="仿宋_GB2312" w:eastAsia="仿宋_GB2312" w:cs="仿宋_GB2312"/>
          <w:color w:val="auto"/>
          <w:sz w:val="32"/>
          <w:szCs w:val="32"/>
        </w:rPr>
        <w:t>日</w:t>
      </w:r>
    </w:p>
    <w:p>
      <w:pPr>
        <w:rPr>
          <w:rFonts w:hint="eastAsia" w:ascii="仿宋_GB2312" w:hAnsi="仿宋_GB2312" w:eastAsia="仿宋_GB2312" w:cs="仿宋_GB2312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  <w:rPr>
                              <w:rFonts w:hint="eastAsia" w:asciiTheme="minorEastAsia" w:hAnsiTheme="minorEastAsia" w:eastAsiaTheme="minorEastAsia" w:cstheme="minorEastAsia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t xml:space="preserve">— 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fldChar w:fldCharType="end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</w:rPr>
                            <w:t xml:space="preserve"> 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rPr>
                        <w:rFonts w:hint="eastAsia" w:asciiTheme="minorEastAsia" w:hAnsiTheme="minorEastAsia" w:eastAsiaTheme="minorEastAsia" w:cstheme="minorEastAsia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t xml:space="preserve">— 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fldChar w:fldCharType="end"/>
                    </w:r>
                    <w:r>
                      <w:rPr>
                        <w:rFonts w:hint="eastAsia" w:asciiTheme="minorEastAsia" w:hAnsiTheme="minorEastAsia" w:eastAsiaTheme="minorEastAsia" w:cstheme="minorEastAsia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B3015A"/>
    <w:rsid w:val="05CD23EC"/>
    <w:rsid w:val="098F1CD1"/>
    <w:rsid w:val="09CF031F"/>
    <w:rsid w:val="0A310FDA"/>
    <w:rsid w:val="0A4445E8"/>
    <w:rsid w:val="0AF2153C"/>
    <w:rsid w:val="0C0260D5"/>
    <w:rsid w:val="0FAE4594"/>
    <w:rsid w:val="156D7591"/>
    <w:rsid w:val="15C33A7F"/>
    <w:rsid w:val="189015C1"/>
    <w:rsid w:val="18D75898"/>
    <w:rsid w:val="19910D51"/>
    <w:rsid w:val="1BB3015A"/>
    <w:rsid w:val="1EB853CE"/>
    <w:rsid w:val="22905FB1"/>
    <w:rsid w:val="244A2F6C"/>
    <w:rsid w:val="266876DA"/>
    <w:rsid w:val="28AF5CC0"/>
    <w:rsid w:val="28D70CA5"/>
    <w:rsid w:val="2A776F78"/>
    <w:rsid w:val="2BA24D89"/>
    <w:rsid w:val="2C3A5BE6"/>
    <w:rsid w:val="2CE94E75"/>
    <w:rsid w:val="2D6C5D01"/>
    <w:rsid w:val="2F7E7AD6"/>
    <w:rsid w:val="33174F03"/>
    <w:rsid w:val="3506703E"/>
    <w:rsid w:val="36F037A7"/>
    <w:rsid w:val="3B127C95"/>
    <w:rsid w:val="3C27629F"/>
    <w:rsid w:val="3C353152"/>
    <w:rsid w:val="3E047626"/>
    <w:rsid w:val="4504560D"/>
    <w:rsid w:val="478D1745"/>
    <w:rsid w:val="4A2522F9"/>
    <w:rsid w:val="4C9213EB"/>
    <w:rsid w:val="4E3928AC"/>
    <w:rsid w:val="50721C01"/>
    <w:rsid w:val="573A2EB0"/>
    <w:rsid w:val="574445EA"/>
    <w:rsid w:val="595B3DE4"/>
    <w:rsid w:val="5AE65017"/>
    <w:rsid w:val="5C4B1054"/>
    <w:rsid w:val="5C5F68AD"/>
    <w:rsid w:val="5CF50E0C"/>
    <w:rsid w:val="5E5311BE"/>
    <w:rsid w:val="60D62EB6"/>
    <w:rsid w:val="61960423"/>
    <w:rsid w:val="6296608C"/>
    <w:rsid w:val="63AE7F95"/>
    <w:rsid w:val="658F426B"/>
    <w:rsid w:val="675D12F1"/>
    <w:rsid w:val="678115ED"/>
    <w:rsid w:val="683A4185"/>
    <w:rsid w:val="68A352D1"/>
    <w:rsid w:val="6B3233E3"/>
    <w:rsid w:val="70B33673"/>
    <w:rsid w:val="724E0BD5"/>
    <w:rsid w:val="735B29D2"/>
    <w:rsid w:val="756E22C7"/>
    <w:rsid w:val="76DB331D"/>
    <w:rsid w:val="76EA4114"/>
    <w:rsid w:val="77304C77"/>
    <w:rsid w:val="78205BEE"/>
    <w:rsid w:val="79704CFD"/>
    <w:rsid w:val="7DFC5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99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 w:firstLineChars="200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99"/>
    <w:rPr>
      <w:b/>
      <w:b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chart" Target="charts/chart1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&#24037;&#20316;&#31807;1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title>
    <c:autoTitleDeleted val="0"/>
    <c:plotArea>
      <c:layout/>
      <c:pie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</c:spPr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/>
            </c:spPr>
          </c:dPt>
          <c:dPt>
            <c:idx val="4"/>
            <c:bubble3D val="0"/>
            <c:spPr>
              <a:solidFill>
                <a:schemeClr val="accent5"/>
              </a:solidFill>
              <a:ln>
                <a:noFill/>
              </a:ln>
              <a:effectLst/>
            </c:spPr>
          </c:dPt>
          <c:dPt>
            <c:idx val="5"/>
            <c:bubble3D val="0"/>
            <c:spPr>
              <a:solidFill>
                <a:schemeClr val="accent6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[工作簿1]Sheet1!$A$1:$A$6</c:f>
              <c:strCache>
                <c:ptCount val="6"/>
                <c:pt idx="0">
                  <c:v>机构信息</c:v>
                </c:pt>
                <c:pt idx="1">
                  <c:v>公告公示</c:v>
                </c:pt>
                <c:pt idx="2">
                  <c:v>政策文件</c:v>
                </c:pt>
                <c:pt idx="3">
                  <c:v>计划总结</c:v>
                </c:pt>
                <c:pt idx="4">
                  <c:v>人事信息</c:v>
                </c:pt>
                <c:pt idx="5">
                  <c:v>五马发布</c:v>
                </c:pt>
              </c:strCache>
            </c:strRef>
          </c:cat>
          <c:val>
            <c:numRef>
              <c:f>[工作簿1]Sheet1!$B$1:$B$6</c:f>
              <c:numCache>
                <c:formatCode>General</c:formatCode>
                <c:ptCount val="6"/>
                <c:pt idx="0">
                  <c:v>6</c:v>
                </c:pt>
                <c:pt idx="1">
                  <c:v>20</c:v>
                </c:pt>
                <c:pt idx="2">
                  <c:v>6</c:v>
                </c:pt>
                <c:pt idx="3">
                  <c:v>3</c:v>
                </c:pt>
                <c:pt idx="4">
                  <c:v>1</c:v>
                </c:pt>
                <c:pt idx="5">
                  <c:v>726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r"/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Office_11.1.0.11294_F1E327BC-269C-435d-A152-05C5408002CA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2021-01-13T06:29:00Z</dcterms:created>
  <dc:creator>admin</dc:creator>
  <cp:lastModifiedBy>admin</cp:lastModifiedBy>
  <dcterms:modified xsi:type="dcterms:W3CDTF">2022-02-24T07:44:12Z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2052-11.1.0.11294</vt:lpwstr>
  </property>
  <property fmtid="{D5CDD505-2E9C-101B-9397-08002B2CF9AE}" pid="3" name="ICV">
    <vt:lpwstr>F64606C463D7443399CF82424475D3E5</vt:lpwstr>
  </property>
</Properties>
</file>