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D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2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20"/>
          <w:sz w:val="44"/>
          <w:szCs w:val="44"/>
        </w:rPr>
        <w:t>义乌市建设项目海绵城市建设管控</w:t>
      </w:r>
    </w:p>
    <w:p w14:paraId="51F2D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2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20"/>
          <w:sz w:val="44"/>
          <w:szCs w:val="44"/>
        </w:rPr>
        <w:t>豁免清单</w:t>
      </w:r>
    </w:p>
    <w:p w14:paraId="7D90029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方正小标宋简体" w:hAnsi="方正小标宋简体" w:eastAsia="方正小标宋简体" w:cs="方正小标宋简体"/>
          <w:spacing w:val="20"/>
          <w:sz w:val="44"/>
          <w:szCs w:val="44"/>
        </w:rPr>
      </w:pPr>
    </w:p>
    <w:p w14:paraId="6796E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为进一步做好我市海绵城市建设项目全流程管控，因地制宜落实海绵城市建设要求，优化营商环境，根据国家、省、市海绵城市建设相关规定，结合我市实际，制定本豁免清单。</w:t>
      </w:r>
    </w:p>
    <w:p w14:paraId="4562C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一、对纳入豁免清单管理的建设项目，在立项、报建、验收等环节对海绵城市建设管控指标不作强制性要求，建设单位可以根据项目特点落实海绵城市建设要求。项目应采取以下措施尽量降低径流系数、减少径流排放、控制径流污染：</w:t>
      </w:r>
    </w:p>
    <w:p w14:paraId="469BE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</w:rPr>
        <w:t>人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行道及非机动车道采用透水材料；</w:t>
      </w:r>
    </w:p>
    <w:p w14:paraId="1FCD3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采用环保型雨水口；</w:t>
      </w:r>
    </w:p>
    <w:p w14:paraId="4B365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硬化区域周边绿地采用下沉式绿地；</w:t>
      </w:r>
    </w:p>
    <w:p w14:paraId="55BF3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</w:rPr>
        <w:t>建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筑外立面雨落管断接优先接入周边绿地；</w:t>
      </w:r>
    </w:p>
    <w:p w14:paraId="3566C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地块内雨水管网接入市政管网前，宜设置沉淀净化设施。</w:t>
      </w:r>
    </w:p>
    <w:p w14:paraId="168AA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二、对未纳入豁免清单的建设项目，按照海绵城市建设管理要求执行。确因建设环境、内容、功能等因素制约而不能完全遵循海绵城市建设管控的项目，由行业主管部门会同</w:t>
      </w:r>
      <w:r>
        <w:rPr>
          <w:rFonts w:hint="eastAsia" w:eastAsia="仿宋_GB2312" w:cs="Times New Roman"/>
          <w:spacing w:val="-6"/>
          <w:sz w:val="32"/>
          <w:szCs w:val="32"/>
          <w:lang w:eastAsia="zh-CN"/>
        </w:rPr>
        <w:t>市建设局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组织专家论证，论证通过后抄送</w:t>
      </w:r>
      <w:r>
        <w:rPr>
          <w:rFonts w:hint="eastAsia" w:eastAsia="仿宋_GB2312" w:cs="Times New Roman"/>
          <w:spacing w:val="-6"/>
          <w:sz w:val="32"/>
          <w:szCs w:val="32"/>
          <w:lang w:eastAsia="zh-CN"/>
        </w:rPr>
        <w:t>市建设局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，可准予取消或者适当降低海绵城市建设相关要求。</w:t>
      </w:r>
    </w:p>
    <w:p w14:paraId="5BE0C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eastAsia" w:ascii="仿宋_GB2312" w:hAnsi="仿宋_GB2312" w:eastAsia="仿宋_GB2312" w:cs="仿宋_GB2312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三、义乌市行政区域内的各类建设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</w:rPr>
        <w:t>项目按照“应做尽做、能做尽做”原则开展海绵城市建设，相关管控要求可参考本细则清单及义乌市其他相关规划、管理办法执行。</w:t>
      </w:r>
    </w:p>
    <w:p w14:paraId="378D3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四、城镇排水管网（沟、渠）工程（建设、排查、维修）、水环境治理、排涝泵站、堤防、水库、闸坝等本身符合海绵城市理念的单一项目，可以免除海绵专项审查和专项验收。</w:t>
      </w:r>
    </w:p>
    <w:p w14:paraId="36097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五、以</w:t>
      </w:r>
      <w:r>
        <w:rPr>
          <w:rFonts w:hint="eastAsia" w:ascii="仿宋_GB2312" w:hAnsi="仿宋_GB2312" w:eastAsia="仿宋_GB2312" w:cs="仿宋_GB2312"/>
          <w:spacing w:val="-6"/>
          <w:sz w:val="32"/>
          <w:szCs w:val="32"/>
        </w:rPr>
        <w:t>上“一、二、四”条情形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需抄送</w:t>
      </w:r>
      <w:r>
        <w:rPr>
          <w:rFonts w:hint="eastAsia" w:eastAsia="仿宋_GB2312" w:cs="Times New Roman"/>
          <w:spacing w:val="-6"/>
          <w:sz w:val="32"/>
          <w:szCs w:val="32"/>
          <w:lang w:eastAsia="zh-CN"/>
        </w:rPr>
        <w:t>市建设局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（抄送单样表详见附件</w:t>
      </w:r>
      <w:r>
        <w:rPr>
          <w:rFonts w:hint="eastAsia" w:eastAsia="仿宋_GB2312" w:cs="Times New Roman"/>
          <w:spacing w:val="-6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spacing w:val="-6"/>
          <w:sz w:val="32"/>
          <w:szCs w:val="32"/>
        </w:rPr>
        <w:t>）。</w:t>
      </w:r>
    </w:p>
    <w:p w14:paraId="496F6A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exact"/>
        <w:textAlignment w:val="auto"/>
        <w:rPr>
          <w:rFonts w:hint="default"/>
        </w:rPr>
      </w:pPr>
    </w:p>
    <w:p w14:paraId="1E8F0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义乌市建设项目海绵城市建设管控豁免清单</w:t>
      </w:r>
    </w:p>
    <w:tbl>
      <w:tblPr>
        <w:tblStyle w:val="3"/>
        <w:tblW w:w="90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870"/>
        <w:gridCol w:w="3827"/>
        <w:gridCol w:w="3136"/>
      </w:tblGrid>
      <w:tr w14:paraId="4BF1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123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84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项目</w:t>
            </w:r>
          </w:p>
          <w:p w14:paraId="12953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大类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DE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序号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90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项目类型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F0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备注</w:t>
            </w:r>
          </w:p>
        </w:tc>
      </w:tr>
      <w:tr w14:paraId="75F7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35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工业（仓储）建设类项目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A6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E0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危险化学品、放射性物品等生产经营（仓储）建设项目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EA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生产经营过程中会产生有毒、有害等危险化学品的建设项目，以应急管理部门认定为准。</w:t>
            </w:r>
          </w:p>
        </w:tc>
      </w:tr>
      <w:tr w14:paraId="6B24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182E2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DDA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E9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危险废物利用处理（置）建设项目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BC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危险废物收集、储存、利用和处理（置）的项目，以生态环境部门认定为准。</w:t>
            </w:r>
          </w:p>
        </w:tc>
      </w:tr>
      <w:tr w14:paraId="7094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4EDEA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D6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1D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生产或大量使用重金属的建设项目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EC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以生态环境部门认定为准。</w:t>
            </w:r>
          </w:p>
        </w:tc>
      </w:tr>
      <w:tr w14:paraId="5CA4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EB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公共服务设施建设项目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1C8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3C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传染病医院、疾控中心（涉及实验室废液的）建设项目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05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3DC5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02B53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DA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5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53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加油</w:t>
            </w:r>
            <w:r>
              <w:rPr>
                <w:rFonts w:hint="eastAsia" w:eastAsia="仿宋_GB2312" w:cs="Times New Roman"/>
                <w:sz w:val="24"/>
                <w:szCs w:val="24"/>
                <w:lang w:eastAsia="zh-CN"/>
              </w:rPr>
              <w:t>站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、加气站、瓶装液化气石油气供应站建设项目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B7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3F80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230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31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市政公用设施工程建设项目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2B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EDF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垃圾填埋场、垃圾中转站（场）、公厕等易产生有害下渗物质的环卫设施建设项目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F29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5C7E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7F818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E2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7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1C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占地面积小于等于2000</w:t>
            </w:r>
            <w:r>
              <w:rPr>
                <w:rFonts w:hint="eastAsia" w:eastAsia="仿宋_GB2312" w:cs="Times New Roman"/>
                <w:sz w:val="24"/>
                <w:szCs w:val="24"/>
                <w:lang w:val="en-US" w:eastAsia="zh-CN"/>
              </w:rPr>
              <w:t>m</w:t>
            </w:r>
            <w:r>
              <w:rPr>
                <w:rFonts w:hint="eastAsia" w:eastAsia="仿宋_GB2312" w:cs="Times New Roman"/>
                <w:sz w:val="24"/>
                <w:szCs w:val="24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的雨污水泵站、供水加压泵站、变电站、供（换）热站、燃气调压站等小型市政公用设施工程建设项目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79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74AC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5E7E3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7E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58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地下综合管廊建设项目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70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1945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D0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市政路桥工程建设项目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42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9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240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地下轨道、地下通道工程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B8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05A8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63DBD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158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10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D6E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人行天桥工程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35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5CFFD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5C8F7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AE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11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78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无桥下绿化的桥梁工程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02E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72C4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6D84F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D2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12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11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隧道工程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04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7D01C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3BD5E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239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13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24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不涉及排水及绿化改造的道路加铺沥青工程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5C6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37D1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30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4A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其他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70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14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3E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保密项目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01F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2A65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68ED6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EE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15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C4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军事设施项目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66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5FA6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50D40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95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16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345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临时设施工程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A9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2644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504CE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5E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17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91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应急抢险救灾建设项目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5F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7705E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6A10A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D89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18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540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装饰、装修工程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AF2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5B04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60154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25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19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A9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乡村巷道工程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62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2AC3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4A927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02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20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CCE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气象设施和气象探测环境保护范围项目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34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4E53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3820D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DD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21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2F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项目经过地质勘查确认位于地质灾害中、高风险区，即易发生滑坡、崩塌、泥石流、地面塌陷等不适宜进行海绵城市建设的区域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E5A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7CC7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7615E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0A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22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E2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设施较欠缺、环境较差，以需要加以改造的简陋住宅为主的用地，包括城中旧村、危房、棚户区、临时住宅等用地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B3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对现状进行拆除重建的城市更新类项目按新建项目处理。</w:t>
            </w:r>
          </w:p>
        </w:tc>
      </w:tr>
      <w:tr w14:paraId="635F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1F014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1BD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23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7A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占地面积小于400</w:t>
            </w:r>
            <w:r>
              <w:rPr>
                <w:rFonts w:hint="eastAsia" w:eastAsia="仿宋_GB2312" w:cs="Times New Roman"/>
                <w:sz w:val="24"/>
                <w:szCs w:val="24"/>
                <w:lang w:val="en-US" w:eastAsia="zh-CN"/>
              </w:rPr>
              <w:t>m</w:t>
            </w:r>
            <w:r>
              <w:rPr>
                <w:rFonts w:hint="eastAsia" w:eastAsia="仿宋_GB2312" w:cs="Times New Roman"/>
                <w:sz w:val="24"/>
                <w:szCs w:val="24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用地（包含宅基地）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576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15F1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5A631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D9A7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24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85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具有保护价值的古遗址、古墓葬、古建筑、石窟寺、近代代表性建筑、革命纪念建筑等用地</w:t>
            </w:r>
            <w:r>
              <w:rPr>
                <w:rFonts w:hint="eastAsia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不包括已作其他用途的文物古迹用地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70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2281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</w:tcPr>
          <w:p w14:paraId="7517F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79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25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9D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基站、开关站、给水管线、污水管线、雨水管线、鲜花布置、立体绿化、屋顶绿化、电力管线、通信管线、燃气管线、设置广告牌、交通信号控制设备、照明工程、路标、加装电梯及单体建筑改扩建工程等不涉及项目场地排水、地面绿化的单项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2F2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7A91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8B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其他</w:t>
            </w: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44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26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0AF4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不涉及室外、地面工程的旧建筑物翻新、改造、加固、加层等工程和地下空间开发利用工程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25D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  <w:tr w14:paraId="6AB5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3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9F5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D2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27</w:t>
            </w:r>
          </w:p>
        </w:tc>
        <w:tc>
          <w:tcPr>
            <w:tcW w:w="382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3F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因建设环境、内容、功能等因素制约而不能完全遵循海绵城市建设规范标准的项目</w:t>
            </w:r>
          </w:p>
        </w:tc>
        <w:tc>
          <w:tcPr>
            <w:tcW w:w="313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8B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</w:tc>
      </w:tr>
    </w:tbl>
    <w:p w14:paraId="4B4C6E42">
      <w: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853EA"/>
    <w:rsid w:val="3BA8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qFormat/>
    <w:uiPriority w:val="0"/>
    <w:pPr>
      <w:ind w:left="400" w:leftChars="200" w:hanging="200" w:hangingChars="200"/>
    </w:pPr>
    <w:rPr>
      <w:rFonts w:asci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2025-01-27T06:05:00Z</dcterms:created>
  <dc:creator>龚秀娟</dc:creator>
  <cp:lastModifiedBy>龚秀娟</cp:lastModifiedBy>
  <dcterms:modified xsi:type="dcterms:W3CDTF">2025-01-27T06:05:38Z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D64F9B1B05F54E00A24919E45AACB7C2_11</vt:lpwstr>
  </property>
  <property fmtid="{D5CDD505-2E9C-101B-9397-08002B2CF9AE}" pid="4" name="KSOTemplateDocerSaveRecord">
    <vt:lpwstr>eyJoZGlkIjoiZWUzOGFkYmU0NDRmYTVkNGJhYTZkNzIzYTc0NmEzOWQiLCJ1c2VySWQiOiI0Njg1MjEwOTcifQ==</vt:lpwstr>
  </property>
</Properties>
</file>