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jc w:val="center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  <w:t>杭州市拱墅区</w:t>
      </w: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  <w:lang w:val="en-US" w:eastAsia="zh-CN"/>
        </w:rPr>
        <w:t>米市巷街道</w:t>
      </w: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  <w:t>202</w:t>
      </w: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  <w:t>年度政府信息公开</w:t>
      </w:r>
    </w:p>
    <w:p>
      <w:pPr>
        <w:widowControl/>
        <w:shd w:val="clear" w:color="auto" w:fill="FFFFFF"/>
        <w:jc w:val="center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  <w:t>工作年度报告</w:t>
      </w:r>
    </w:p>
    <w:p>
      <w:pPr>
        <w:widowControl/>
        <w:shd w:val="clear" w:color="auto" w:fill="FFFFFF"/>
        <w:jc w:val="center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560" w:firstLineChars="200"/>
        <w:jc w:val="both"/>
        <w:textAlignment w:val="auto"/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8"/>
          <w:szCs w:val="28"/>
          <w:lang w:val="en-US" w:eastAsia="zh-CN" w:bidi="ar-SA"/>
        </w:rPr>
        <w:t>本年度报告根据《中华人民共和国政府信息公开条例》（以下简称《条例》）以及政府信息公开工作相关要求，结合街道实际汇总编制。本年报由总体情况、主动公开政府信息情况、依申请公开政府信息情况、政府信息公开行政复议及行政诉讼情况、存在的主要问题及改进措施、其他需要报告事项六个部分组成。本报告中所列数据的统计期限自2024年1月1日起至2024年12月31日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总体情况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（一）主动公开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202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28"/>
          <w:szCs w:val="28"/>
        </w:rPr>
        <w:t>年，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米市巷街道</w:t>
      </w:r>
      <w:r>
        <w:rPr>
          <w:rFonts w:hint="eastAsia" w:ascii="仿宋_GB2312" w:hAnsi="仿宋_GB2312" w:eastAsia="仿宋_GB2312" w:cs="仿宋_GB2312"/>
          <w:sz w:val="28"/>
          <w:szCs w:val="28"/>
        </w:rPr>
        <w:t>认真贯彻落实省市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区</w:t>
      </w:r>
      <w:r>
        <w:rPr>
          <w:rFonts w:hint="eastAsia" w:ascii="仿宋_GB2312" w:hAnsi="仿宋_GB2312" w:eastAsia="仿宋_GB2312" w:cs="仿宋_GB2312"/>
          <w:sz w:val="28"/>
          <w:szCs w:val="28"/>
        </w:rPr>
        <w:t>关于政务公开工作的决策部署，聚焦政府重点工作和热点政策，坚持“以公开为常态，不公开为例外”原则，积极、有序、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扎实</w:t>
      </w:r>
      <w:r>
        <w:rPr>
          <w:rFonts w:hint="eastAsia" w:ascii="仿宋_GB2312" w:hAnsi="仿宋_GB2312" w:eastAsia="仿宋_GB2312" w:cs="仿宋_GB2312"/>
          <w:sz w:val="28"/>
          <w:szCs w:val="28"/>
        </w:rPr>
        <w:t>推进政府信息公开各项工作。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全年通过米市巷街道政府信息公开栏目主动公开各类政府信息44条，其中，机构设置3条，政策文件2条，重大决策预公开1条，规划计划7条，资金信息6条，人事信息、行政执法公开等其他信息公开25条。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（二）依申请公开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依申请公开工作注重办理时效，保证办理质量。2024年我街道共收到依申请公开申请7件，其中本年新收7件，上年结转0件，结转至下年办理0件。从办理结果来看，予以公开共2件，部分公开共3件，不予公开0件，无法提供0件，不予处理1件，其他处理1件。从申请人情况来看，自然人申请5件，法人或其他组织申请0件，均在规定期限内答复，本年度申请行政复议1件，未发生政府信息公开工作被提起行政诉讼的情况。</w:t>
      </w:r>
    </w:p>
    <w:p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（三）</w:t>
      </w:r>
      <w:r>
        <w:rPr>
          <w:rFonts w:hint="eastAsia" w:ascii="仿宋_GB2312" w:hAnsi="仿宋_GB2312" w:eastAsia="仿宋_GB2312" w:cs="仿宋_GB2312"/>
          <w:sz w:val="28"/>
          <w:szCs w:val="28"/>
        </w:rPr>
        <w:t>政府信息管理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在信息公开发布工作上，我街道严格落实“三审三校”信息审核发布机制，做到分类分层审核，依规及时发布。一方面，根据上级要求和本街道实际情况，遵守保密规定，保证公开发布的信息内容安全完整准确。另一方面，不断加大政府信息公开力度，增强政府信息公开实效，切实履行信息公开责任，保障人民群众的知情权、参与权和监督权。</w:t>
      </w:r>
    </w:p>
    <w:p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（四）</w:t>
      </w:r>
      <w:r>
        <w:rPr>
          <w:rFonts w:hint="eastAsia" w:ascii="仿宋_GB2312" w:hAnsi="仿宋_GB2312" w:eastAsia="仿宋_GB2312" w:cs="仿宋_GB2312"/>
          <w:sz w:val="28"/>
          <w:szCs w:val="28"/>
        </w:rPr>
        <w:t>政府信息公开平台建设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依托拱墅区门户网站政务公开平台，安排专员定期</w:t>
      </w:r>
      <w:r>
        <w:rPr>
          <w:rFonts w:hint="eastAsia" w:ascii="仿宋_GB2312" w:hAnsi="仿宋_GB2312" w:eastAsia="仿宋_GB2312" w:cs="仿宋_GB2312"/>
          <w:sz w:val="28"/>
          <w:szCs w:val="28"/>
        </w:rPr>
        <w:t>规范信息发布，完善栏目设置，增加更新频率，提高信息质量，不断提高政府信息公开平台建设水平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，努力做到让群众知情，让公众满意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同时，我街道持续推进新媒体平台建设，通过微信公众号“米市印象”等渠道不断扩大信息公开影响力。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（五）监督保障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街道不断建立健全和严格执行政府信息公开制度，严格落实科室主体责任，明确专人负责政府信息公开日常工作，组织工作人员学习《中华人民共和国政府信息公开条例》，强化人员信息公开意识。加强对信息公开工作的督查指导,及时上报和解决工作中出现的新情况、新问题。定期检查公开情况，接受各单位和群众的社会评议及监督，确保政府信息公开工作规范有序开展，2024年未发生责任追究情况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主动公开政府信息情况</w:t>
      </w:r>
      <w:bookmarkStart w:id="0" w:name="_GoBack"/>
      <w:bookmarkEnd w:id="0"/>
    </w:p>
    <w:tbl>
      <w:tblPr>
        <w:tblStyle w:val="3"/>
        <w:tblW w:w="974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5"/>
        <w:gridCol w:w="2435"/>
        <w:gridCol w:w="2435"/>
        <w:gridCol w:w="243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第二十条第（一）项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制发件数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本年废止件数</w:t>
            </w:r>
          </w:p>
        </w:tc>
        <w:tc>
          <w:tcPr>
            <w:tcW w:w="24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现行有效件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规章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行政规范性文件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24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第二十条第（五）项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行政许可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第二十条第（六）项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行政处罚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288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行政强制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97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第二十条第（八）项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本年收费金额（单位：万元）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4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行政事业性收费</w:t>
            </w:r>
          </w:p>
        </w:tc>
        <w:tc>
          <w:tcPr>
            <w:tcW w:w="730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收到和处理政府信息公开申请情况</w:t>
      </w:r>
    </w:p>
    <w:tbl>
      <w:tblPr>
        <w:tblStyle w:val="3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9"/>
        <w:gridCol w:w="943"/>
        <w:gridCol w:w="3220"/>
        <w:gridCol w:w="688"/>
        <w:gridCol w:w="688"/>
        <w:gridCol w:w="688"/>
        <w:gridCol w:w="688"/>
        <w:gridCol w:w="688"/>
        <w:gridCol w:w="688"/>
        <w:gridCol w:w="68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（本列数据的勾稽关系为：第一项加第二项之和，等于第三项加第四项之和）</w:t>
            </w:r>
          </w:p>
        </w:tc>
        <w:tc>
          <w:tcPr>
            <w:tcW w:w="4816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申请人情况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法人或其他组织</w:t>
            </w:r>
          </w:p>
        </w:tc>
        <w:tc>
          <w:tcPr>
            <w:tcW w:w="688" w:type="dxa"/>
            <w:vMerge w:val="restart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商业</w:t>
            </w:r>
          </w:p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科研</w:t>
            </w:r>
          </w:p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</w:p>
        </w:tc>
        <w:tc>
          <w:tcPr>
            <w:tcW w:w="688" w:type="dxa"/>
            <w:vMerge w:val="continue"/>
            <w:tcBorders>
              <w:top w:val="single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restart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三、本年度办理结果</w:t>
            </w: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（二）部分公开（区分处理的，只计这一情形，不计其他情形）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（三）不予公开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2.其他法律行政法规禁止公开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（四）无法提供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（五）不予处理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inset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（六）其他处理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1.申请人无正当理由逾期不补正、行政机关不再处理其政府信息公开申请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2.申请人逾期未按收费通知要求缴纳费用、行政机关不再处理其政府信息公开申请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</w:p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inset" w:color="auto" w:sz="8" w:space="0"/>
              <w:left w:val="nil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9" w:type="dxa"/>
            <w:vMerge w:val="continue"/>
            <w:tcBorders>
              <w:top w:val="nil"/>
              <w:left w:val="single" w:color="auto" w:sz="8" w:space="0"/>
              <w:bottom w:val="inset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2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政府信息公开行政复议、行政诉讼情况</w:t>
      </w:r>
    </w:p>
    <w:tbl>
      <w:tblPr>
        <w:tblStyle w:val="3"/>
        <w:tblW w:w="974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650"/>
        <w:gridCol w:w="650"/>
        <w:gridCol w:w="650"/>
        <w:gridCol w:w="650"/>
        <w:gridCol w:w="649"/>
        <w:gridCol w:w="649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行政复议</w:t>
            </w:r>
          </w:p>
        </w:tc>
        <w:tc>
          <w:tcPr>
            <w:tcW w:w="6498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行政诉讼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5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总计</w:t>
            </w:r>
          </w:p>
        </w:tc>
        <w:tc>
          <w:tcPr>
            <w:tcW w:w="324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未经复议直接起诉</w:t>
            </w:r>
          </w:p>
        </w:tc>
        <w:tc>
          <w:tcPr>
            <w:tcW w:w="325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复议后起诉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5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维持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结果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尚未</w:t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存在的主要问题及改进情况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2024年，米市巷街道政务公开工作虽然取得了一定的进步，但对标上级工作要求和社会公众需求期盼还存在差距和不足，主要体现在：一是重点领域公开内容有待丰富，二是政务公开工作人员业务能力有待提升，三是各类政府信息缺乏街道特色化内容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2025年，我们将从以下几个方面发力突破：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2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一是丰富重点领域公开内容。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 xml:space="preserve">聚焦群众日益增长的政府信息需求和不同时期的关注重点，动态调整完善重大领域公开内容重点，以基层群众实际需求为导向进行提升完善，增强公开的准确性、实效性。   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二是提升政务公开工作专业度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。一方面，更加重视政府信息公开业务学习培训，针对主动公开、依申请公开不同特点，开展定期学习，强化工作技能。另一方面，落实具体科室责任机制，建立信息公开联动机制，完善问题解决路径，不断提高信息公开人员业务能力和水平，形成程序化、制度化的办事手续。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三是持续推进各类政府信息资源汇聚。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通过拓展信息收集渠道，聚焦街道及各社区重点、特色工作，扩大政府信息公开范围，提升信息公开质量。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42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</w:pPr>
      <w:r>
        <w:rPr>
          <w:rFonts w:hint="eastAsia" w:ascii="仿宋_GB2312" w:hAnsi="仿宋_GB2312" w:eastAsia="仿宋_GB2312" w:cs="仿宋_GB2312"/>
          <w:b/>
          <w:bCs/>
          <w:color w:val="333333"/>
          <w:kern w:val="0"/>
          <w:sz w:val="27"/>
          <w:szCs w:val="27"/>
        </w:rPr>
        <w:t>其他需要报告的事项</w:t>
      </w:r>
    </w:p>
    <w:p>
      <w:pPr>
        <w:widowControl/>
        <w:shd w:val="clear" w:color="auto" w:fill="FFFFFF"/>
        <w:ind w:firstLine="480"/>
        <w:rPr>
          <w:rFonts w:hint="eastAsia" w:ascii="仿宋_GB2312" w:hAnsi="仿宋_GB2312" w:eastAsia="仿宋_GB2312" w:cs="仿宋_GB2312"/>
          <w:b/>
          <w:bCs/>
          <w:color w:val="333333"/>
          <w:kern w:val="0"/>
          <w:sz w:val="36"/>
          <w:szCs w:val="36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2024年，我街道未收取信息处理费。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Noto Sans CJK JP Bold">
    <w:panose1 w:val="020B0800000000000000"/>
    <w:charset w:val="86"/>
    <w:family w:val="auto"/>
    <w:pitch w:val="default"/>
    <w:sig w:usb0="30000003" w:usb1="2BDF3C10" w:usb2="00000016" w:usb3="00000000" w:csb0="602E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569409"/>
    <w:multiLevelType w:val="singleLevel"/>
    <w:tmpl w:val="4156940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830CD"/>
    <w:rsid w:val="0A1016FD"/>
    <w:rsid w:val="0A12161E"/>
    <w:rsid w:val="0A773A3A"/>
    <w:rsid w:val="0F4A7948"/>
    <w:rsid w:val="105830CD"/>
    <w:rsid w:val="10AA31BA"/>
    <w:rsid w:val="1BE023A8"/>
    <w:rsid w:val="1D1A5753"/>
    <w:rsid w:val="1F2F72E1"/>
    <w:rsid w:val="24DD12D5"/>
    <w:rsid w:val="26727D28"/>
    <w:rsid w:val="2B075F1F"/>
    <w:rsid w:val="2CB51C49"/>
    <w:rsid w:val="2DE938F5"/>
    <w:rsid w:val="2E940B59"/>
    <w:rsid w:val="2E951C3D"/>
    <w:rsid w:val="31F035A9"/>
    <w:rsid w:val="33176F80"/>
    <w:rsid w:val="3F862E5A"/>
    <w:rsid w:val="46B7276A"/>
    <w:rsid w:val="508166BD"/>
    <w:rsid w:val="63DB6077"/>
    <w:rsid w:val="663F7663"/>
    <w:rsid w:val="68E065CE"/>
    <w:rsid w:val="6DF6FCDB"/>
    <w:rsid w:val="74337A99"/>
    <w:rsid w:val="764A3689"/>
    <w:rsid w:val="77787A56"/>
    <w:rsid w:val="77F78C93"/>
    <w:rsid w:val="7DFF386E"/>
    <w:rsid w:val="7EBF2EEB"/>
    <w:rsid w:val="ECB6FB54"/>
    <w:rsid w:val="EE6B315B"/>
    <w:rsid w:val="EFFB8C28"/>
    <w:rsid w:val="FBFD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2406</Words>
  <Characters>2458</Characters>
  <Lines>0</Lines>
  <Paragraphs>0</Paragraphs>
  <TotalTime>29</TotalTime>
  <ScaleCrop>false</ScaleCrop>
  <LinksUpToDate>false</LinksUpToDate>
  <CharactersWithSpaces>2463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2024-12-25T15:53:00Z</dcterms:created>
  <dc:creator>.PHI</dc:creator>
  <cp:lastModifiedBy>user</cp:lastModifiedBy>
  <dcterms:modified xsi:type="dcterms:W3CDTF">2025-01-09T15:04:25Z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2052-11.1.0.11664</vt:lpwstr>
  </property>
  <property fmtid="{D5CDD505-2E9C-101B-9397-08002B2CF9AE}" pid="3" name="ICV">
    <vt:lpwstr>DA4059F3155B4C4F97568AC368441361_11</vt:lpwstr>
  </property>
  <property fmtid="{D5CDD505-2E9C-101B-9397-08002B2CF9AE}" pid="4" name="KSOTemplateDocerSaveRecord">
    <vt:lpwstr>eyJoZGlkIjoiNGY4NDEzZmUyMGFiMzIyZmE4NDY3YmQ1Njk2Y2NhMWIiLCJ1c2VySWQiOiIzOTE3NTQxNzIifQ==</vt:lpwstr>
  </property>
</Properties>
</file>