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Times New Roman" w:hAnsi="Times New Roman" w:eastAsia="仿宋_GB2312" w:cs="仿宋_GB2312"/>
        </w:rPr>
      </w:pPr>
      <w:bookmarkStart w:id="6" w:name="_GoBack"/>
      <w:bookmarkEnd w:id="6"/>
      <w:r>
        <w:rPr>
          <w:rFonts w:hint="eastAsia" w:ascii="Times New Roman" w:hAnsi="Times New Roman" w:eastAsia="仿宋_GB2312" w:cs="仿宋_GB2312"/>
        </w:rPr>
        <w:t>《浙江省人民政府防汛防台抗旱指挥部关于切实加强防汛防台应急物资储备工作的通知》（浙防指〔</w:t>
      </w:r>
      <w:r>
        <w:rPr>
          <w:rFonts w:ascii="Times New Roman" w:hAnsi="Times New Roman" w:eastAsia="仿宋_GB2312" w:cs="仿宋_GB2312"/>
        </w:rPr>
        <w:t>2020</w:t>
      </w:r>
      <w:r>
        <w:rPr>
          <w:rFonts w:hint="eastAsia" w:ascii="Times New Roman" w:hAnsi="Times New Roman" w:eastAsia="仿宋_GB2312" w:cs="仿宋_GB2312"/>
        </w:rPr>
        <w:t>〕</w:t>
      </w:r>
      <w:r>
        <w:rPr>
          <w:rFonts w:ascii="Times New Roman" w:hAnsi="Times New Roman" w:eastAsia="仿宋_GB2312" w:cs="仿宋_GB2312"/>
        </w:rPr>
        <w:t>3</w:t>
      </w:r>
      <w:r>
        <w:rPr>
          <w:rFonts w:hint="eastAsia" w:ascii="Times New Roman" w:hAnsi="Times New Roman" w:eastAsia="仿宋_GB2312" w:cs="仿宋_GB2312"/>
        </w:rPr>
        <w:t>号）之附件</w:t>
      </w:r>
      <w:r>
        <w:rPr>
          <w:rFonts w:ascii="Times New Roman" w:hAnsi="Times New Roman" w:eastAsia="仿宋_GB2312" w:cs="仿宋_GB2312"/>
        </w:rPr>
        <w:t>2</w:t>
      </w:r>
    </w:p>
    <w:p>
      <w:pPr>
        <w:spacing w:line="560" w:lineRule="exact"/>
        <w:ind w:left="173" w:leftChars="54"/>
        <w:jc w:val="center"/>
        <w:rPr>
          <w:rFonts w:ascii="Times New Roman" w:hAnsi="Times New Roman" w:eastAsia="方正小标宋简体" w:cs="Times New Roman"/>
          <w:sz w:val="44"/>
          <w:szCs w:val="44"/>
        </w:rPr>
      </w:pPr>
    </w:p>
    <w:p>
      <w:pPr>
        <w:spacing w:line="560" w:lineRule="exact"/>
        <w:ind w:left="173" w:leftChars="54"/>
        <w:jc w:val="center"/>
        <w:rPr>
          <w:rFonts w:ascii="Times New Roman" w:hAnsi="Times New Roman" w:cs="Times New Roman"/>
          <w:color w:val="000000"/>
          <w:sz w:val="44"/>
          <w:szCs w:val="44"/>
        </w:rPr>
      </w:pPr>
      <w:r>
        <w:rPr>
          <w:rFonts w:hint="eastAsia" w:ascii="Times New Roman" w:hAnsi="Times New Roman" w:eastAsia="方正小标宋简体" w:cs="方正小标宋简体"/>
          <w:sz w:val="44"/>
          <w:szCs w:val="44"/>
        </w:rPr>
        <w:t>浙江省应急物资</w:t>
      </w:r>
      <w:r>
        <w:rPr>
          <w:rFonts w:hint="eastAsia" w:ascii="Times New Roman" w:hAnsi="Times New Roman" w:eastAsia="方正小标宋简体" w:cs="方正小标宋简体"/>
          <w:color w:val="000000"/>
          <w:sz w:val="44"/>
          <w:szCs w:val="44"/>
        </w:rPr>
        <w:t>储备参考标准</w:t>
      </w:r>
    </w:p>
    <w:p>
      <w:pPr>
        <w:spacing w:line="560" w:lineRule="exact"/>
        <w:jc w:val="center"/>
        <w:rPr>
          <w:rFonts w:ascii="楷体_GB2312" w:hAnsi="楷体_GB2312" w:eastAsia="楷体_GB2312" w:cs="Times New Roman"/>
        </w:rPr>
      </w:pPr>
      <w:r>
        <w:rPr>
          <w:rFonts w:hint="eastAsia" w:ascii="楷体_GB2312" w:hAnsi="楷体_GB2312" w:eastAsia="楷体_GB2312" w:cs="楷体_GB2312"/>
        </w:rPr>
        <w:t>（试行）</w:t>
      </w:r>
    </w:p>
    <w:p>
      <w:pPr>
        <w:spacing w:line="560" w:lineRule="exact"/>
        <w:rPr>
          <w:rFonts w:ascii="Times New Roman" w:hAnsi="Times New Roman" w:eastAsia="仿宋_GB2312" w:cs="Times New Roman"/>
        </w:rPr>
      </w:pPr>
    </w:p>
    <w:p>
      <w:pPr>
        <w:spacing w:line="560" w:lineRule="exact"/>
        <w:ind w:firstLine="640" w:firstLineChars="200"/>
        <w:rPr>
          <w:rFonts w:ascii="Times New Roman" w:hAnsi="Times New Roman" w:eastAsia="仿宋_GB2312" w:cs="Times New Roman"/>
        </w:rPr>
      </w:pPr>
      <w:r>
        <w:rPr>
          <w:rFonts w:hint="eastAsia" w:ascii="Times New Roman" w:hAnsi="Times New Roman" w:eastAsia="仿宋_GB2312" w:cs="仿宋_GB2312"/>
        </w:rPr>
        <w:t>为全面加强基层防灾减灾救灾体系建设，指导各级做好防汛防台应急物资储备工作，根据《中华人民共和国突发事件应对法》《浙江省防汛防台抗旱条例》《浙江省自然灾害救助应急预案》以及省政府关于提升台风洪涝灾害科学防控能力的部署要求，特制定本标准。</w:t>
      </w:r>
      <w:bookmarkStart w:id="0" w:name="_Toc323804558"/>
      <w:bookmarkStart w:id="1" w:name="_Toc323804222"/>
      <w:bookmarkStart w:id="2" w:name="_Toc323804351"/>
    </w:p>
    <w:p>
      <w:pPr>
        <w:spacing w:line="560" w:lineRule="exact"/>
        <w:ind w:firstLine="640"/>
        <w:rPr>
          <w:rFonts w:ascii="Times New Roman" w:hAnsi="Times New Roman" w:eastAsia="黑体" w:cs="Times New Roman"/>
        </w:rPr>
      </w:pPr>
      <w:r>
        <w:rPr>
          <w:rFonts w:hint="eastAsia" w:ascii="Times New Roman" w:hAnsi="Times New Roman" w:eastAsia="黑体" w:cs="黑体"/>
        </w:rPr>
        <w:t>一、省级应急物资储备目录</w:t>
      </w:r>
    </w:p>
    <w:p>
      <w:pPr>
        <w:spacing w:line="560" w:lineRule="exact"/>
        <w:ind w:firstLine="640"/>
        <w:rPr>
          <w:rFonts w:ascii="Times New Roman" w:hAnsi="Times New Roman" w:eastAsia="仿宋_GB2312" w:cs="Times New Roman"/>
        </w:rPr>
      </w:pPr>
      <w:r>
        <w:rPr>
          <w:rFonts w:hint="eastAsia" w:ascii="Times New Roman" w:hAnsi="Times New Roman" w:eastAsia="仿宋_GB2312" w:cs="仿宋_GB2312"/>
        </w:rPr>
        <w:t>省级应急物资储备应当综合考虑全省灾害特点和应对重大突发事件等多方面需求，着眼“救大灾、抢大险”安排储备，主要用于支援全省各地的紧急调度。储备规模总量原则上按保障全省</w:t>
      </w:r>
      <w:r>
        <w:rPr>
          <w:rFonts w:ascii="Times New Roman" w:hAnsi="Times New Roman" w:eastAsia="仿宋_GB2312" w:cs="Times New Roman"/>
        </w:rPr>
        <w:t>50</w:t>
      </w:r>
      <w:r>
        <w:rPr>
          <w:rFonts w:hint="eastAsia" w:ascii="Times New Roman" w:hAnsi="Times New Roman" w:eastAsia="仿宋_GB2312" w:cs="仿宋_GB2312"/>
        </w:rPr>
        <w:t>万以上人口转移安置和应急抢险救援等需求计算。储备品种参照国家发展改革委办公厅《应急保障重点物资分类目录（</w:t>
      </w:r>
      <w:r>
        <w:rPr>
          <w:rFonts w:ascii="Times New Roman" w:hAnsi="Times New Roman" w:eastAsia="仿宋_GB2312" w:cs="Times New Roman"/>
        </w:rPr>
        <w:t>2015</w:t>
      </w:r>
      <w:r>
        <w:rPr>
          <w:rFonts w:hint="eastAsia" w:ascii="Times New Roman" w:hAnsi="Times New Roman" w:eastAsia="仿宋_GB2312" w:cs="仿宋_GB2312"/>
        </w:rPr>
        <w:t>年）》，并按照“专、特、多”要求进行安排。侧重于市县级不宜储备的专用、特种应急物资和用量大、储备不足的应急物资。</w:t>
      </w:r>
    </w:p>
    <w:p>
      <w:pPr>
        <w:spacing w:line="560" w:lineRule="exact"/>
        <w:ind w:firstLine="640"/>
        <w:rPr>
          <w:rFonts w:ascii="Times New Roman" w:hAnsi="Times New Roman" w:eastAsia="仿宋_GB2312" w:cs="Times New Roman"/>
        </w:rPr>
      </w:pPr>
      <w:r>
        <w:rPr>
          <w:rFonts w:hint="eastAsia" w:ascii="Times New Roman" w:hAnsi="Times New Roman" w:eastAsia="黑体" w:cs="黑体"/>
        </w:rPr>
        <w:t>二、市级应急物资储备目录</w:t>
      </w:r>
    </w:p>
    <w:p>
      <w:pPr>
        <w:spacing w:line="560" w:lineRule="exact"/>
        <w:rPr>
          <w:rFonts w:ascii="Times New Roman" w:hAnsi="Times New Roman" w:eastAsia="仿宋_GB2312" w:cs="Times New Roman"/>
        </w:rPr>
      </w:pPr>
      <w:r>
        <w:rPr>
          <w:rFonts w:ascii="Times New Roman" w:hAnsi="Times New Roman" w:eastAsia="仿宋_GB2312" w:cs="Times New Roman"/>
        </w:rPr>
        <w:t xml:space="preserve">    </w:t>
      </w:r>
      <w:r>
        <w:rPr>
          <w:rFonts w:hint="eastAsia" w:ascii="Times New Roman" w:hAnsi="Times New Roman" w:eastAsia="仿宋_GB2312" w:cs="仿宋_GB2312"/>
        </w:rPr>
        <w:t>市级应急物资储备应综合考虑本地区灾情种类、风险程度、发生灾害后损失程度等多方面因素，储备防护用品、通讯预警设备、救护救援装备、生活物资、抢险物资装备等应急物资，储备总量以全市自然灾害救助预案三级响应启动条件规定的紧急转移安置人口数量为基准，至少满足</w:t>
      </w:r>
      <w:r>
        <w:rPr>
          <w:rFonts w:ascii="Times New Roman" w:hAnsi="Times New Roman" w:eastAsia="仿宋_GB2312" w:cs="Times New Roman"/>
        </w:rPr>
        <w:t>1</w:t>
      </w:r>
      <w:r>
        <w:rPr>
          <w:rFonts w:hint="eastAsia" w:ascii="Times New Roman" w:hAnsi="Times New Roman" w:eastAsia="仿宋_GB2312" w:cs="仿宋_GB2312"/>
        </w:rPr>
        <w:t>个县（市、区）应急抢险救援和受灾群众安置需要。其中，大型设备装备一般由市级统一储备，抢险物料、抢险机具、救生器材、排水设备、生活物资基本储备等由各县（市、区）按需做好储备。工程专用物料土工布、编织布、合金网兜等抢险物资，要在县级储备的基础上增加储备量。应急通信保障车、挖掘机、移动泵车、强排车、冲锋舟、无人机、大功率发电机等以政府储备为主，企业储备为辅，砂石料、块石类抢险物料、短期生活食物等以商业储备和生产能力储备为主。</w:t>
      </w:r>
    </w:p>
    <w:p>
      <w:pPr>
        <w:spacing w:line="560" w:lineRule="exact"/>
        <w:rPr>
          <w:rFonts w:ascii="Times New Roman" w:hAnsi="Times New Roman" w:eastAsia="黑体" w:cs="Times New Roman"/>
        </w:rPr>
      </w:pPr>
      <w:r>
        <w:rPr>
          <w:rFonts w:ascii="Times New Roman" w:hAnsi="Times New Roman" w:eastAsia="黑体" w:cs="Times New Roman"/>
        </w:rPr>
        <w:t xml:space="preserve">    </w:t>
      </w:r>
      <w:r>
        <w:rPr>
          <w:rFonts w:hint="eastAsia" w:ascii="Times New Roman" w:hAnsi="Times New Roman" w:eastAsia="黑体" w:cs="黑体"/>
        </w:rPr>
        <w:t>二、县级应急物资储备目录</w:t>
      </w:r>
    </w:p>
    <w:p>
      <w:pPr>
        <w:spacing w:line="560" w:lineRule="exact"/>
        <w:rPr>
          <w:rFonts w:ascii="Times New Roman" w:hAnsi="Times New Roman" w:eastAsia="仿宋_GB2312" w:cs="Times New Roman"/>
        </w:rPr>
      </w:pPr>
      <w:r>
        <w:rPr>
          <w:rFonts w:ascii="Times New Roman" w:hAnsi="Times New Roman" w:eastAsia="仿宋_GB2312" w:cs="Times New Roman"/>
        </w:rPr>
        <w:t xml:space="preserve">    </w:t>
      </w:r>
      <w:r>
        <w:rPr>
          <w:rFonts w:hint="eastAsia" w:ascii="Times New Roman" w:hAnsi="Times New Roman" w:eastAsia="仿宋_GB2312" w:cs="仿宋_GB2312"/>
        </w:rPr>
        <w:t>县级应急物资储备应结合本地区易发多发灾种，综合考虑历年受灾情况、风险程度、发生灾害后损失程度等多方面因素，储备防护用品、通讯预警设备、救护救援装备、生活物资、抢险物资装备等应急物资，储备总量以全县自然灾害救助预案三级响应启动条件规定的紧急转移安置人口数量为基准，至少满足</w:t>
      </w:r>
      <w:r>
        <w:rPr>
          <w:rFonts w:ascii="Times New Roman" w:hAnsi="Times New Roman" w:eastAsia="仿宋_GB2312" w:cs="Times New Roman"/>
        </w:rPr>
        <w:t>2</w:t>
      </w:r>
      <w:r>
        <w:rPr>
          <w:rFonts w:hint="eastAsia" w:ascii="Times New Roman" w:hAnsi="Times New Roman" w:eastAsia="仿宋_GB2312" w:cs="仿宋_GB2312"/>
        </w:rPr>
        <w:t>个乡镇（街道）应急抢险救援和受灾群众安置需要。其中，县级应急物资储备库应适度储备一定比例的大型设备装备，与设区市、周边县（市、区）应急物资储备建立联动保障机制，确保应急抢险救援及时有序开展，受灾群众得到及时安置、基本生活得到保障。按需做好抢险物料、抢险机具、救生器材、机动强排设备、生活物资基本储备等的储备工作。视情实物储备应急通信保障车、挖掘机、移动泵车、强排车、冲锋舟、无人机、大功率发电机等物资，以企业储备、商业储备、生产能力储备等形式储备砂石料、块石类抢险物料、短期生活食品等物资。其中，工程专用物料土工布、编织布、合金网兜等抢险物资和冲锋舟、橡皮艇等救援装备，要在乡镇储备的基础上增加储备量。</w:t>
      </w:r>
    </w:p>
    <w:p>
      <w:pPr>
        <w:spacing w:line="560" w:lineRule="exact"/>
        <w:rPr>
          <w:rFonts w:ascii="Times New Roman" w:hAnsi="Times New Roman" w:eastAsia="仿宋_GB2312" w:cs="Times New Roman"/>
        </w:rPr>
      </w:pPr>
      <w:r>
        <w:rPr>
          <w:rFonts w:ascii="Times New Roman" w:hAnsi="Times New Roman" w:eastAsia="黑体" w:cs="Times New Roman"/>
        </w:rPr>
        <w:t xml:space="preserve">    </w:t>
      </w:r>
      <w:r>
        <w:rPr>
          <w:rFonts w:hint="eastAsia" w:ascii="Times New Roman" w:hAnsi="Times New Roman" w:eastAsia="黑体" w:cs="黑体"/>
        </w:rPr>
        <w:t>三、</w:t>
      </w:r>
      <w:bookmarkEnd w:id="0"/>
      <w:bookmarkEnd w:id="1"/>
      <w:bookmarkEnd w:id="2"/>
      <w:bookmarkStart w:id="3" w:name="_Toc323804559"/>
      <w:bookmarkStart w:id="4" w:name="_Toc323804352"/>
      <w:bookmarkStart w:id="5" w:name="_Toc323804223"/>
      <w:r>
        <w:rPr>
          <w:rFonts w:hint="eastAsia" w:ascii="Times New Roman" w:hAnsi="Times New Roman" w:eastAsia="黑体" w:cs="黑体"/>
        </w:rPr>
        <w:t>乡村级应急物资储备标准</w:t>
      </w:r>
      <w:bookmarkEnd w:id="3"/>
      <w:bookmarkEnd w:id="4"/>
      <w:bookmarkEnd w:id="5"/>
    </w:p>
    <w:p>
      <w:pPr>
        <w:spacing w:line="560" w:lineRule="exact"/>
        <w:ind w:firstLine="640"/>
        <w:rPr>
          <w:rFonts w:ascii="Times New Roman" w:hAnsi="Times New Roman" w:eastAsia="仿宋_GB2312" w:cs="Times New Roman"/>
          <w:color w:val="000000"/>
        </w:rPr>
      </w:pPr>
      <w:r>
        <w:rPr>
          <w:rFonts w:hint="eastAsia" w:ascii="Times New Roman" w:hAnsi="Times New Roman" w:eastAsia="仿宋_GB2312" w:cs="仿宋_GB2312"/>
        </w:rPr>
        <w:t>乡镇（街道）、村（社区）处于防汛防台第一线，应急物资要结合当地实际，以政府储备、委托储备等方式，储备防护用品、通讯预警设备、救护救援装备、生活物资、抢险物资装备等应急物资，便于基层干部及时报送灾情和第一时间开展灾害救助，有效应对区域内的险情灾情，最大限度降低损失，确保人民生命财产安全。</w:t>
      </w:r>
      <w:r>
        <w:rPr>
          <w:rFonts w:hint="eastAsia" w:ascii="Times New Roman" w:hAnsi="Times New Roman" w:eastAsia="仿宋_GB2312" w:cs="仿宋_GB2312"/>
          <w:color w:val="000000"/>
        </w:rPr>
        <w:t>按照沿海、山区、平原（低洼）和城镇四大类区域，提出具体储备标准如下：</w:t>
      </w:r>
    </w:p>
    <w:p>
      <w:pPr>
        <w:spacing w:line="560" w:lineRule="exact"/>
        <w:ind w:firstLine="640"/>
        <w:rPr>
          <w:rFonts w:ascii="Times New Roman" w:hAnsi="Times New Roman" w:eastAsia="楷体_GB2312" w:cs="Times New Roman"/>
          <w:b/>
          <w:bCs/>
        </w:rPr>
      </w:pPr>
      <w:r>
        <w:rPr>
          <w:rFonts w:hint="eastAsia" w:ascii="Times New Roman" w:hAnsi="Times New Roman" w:eastAsia="楷体_GB2312" w:cs="楷体_GB2312"/>
          <w:b/>
          <w:bCs/>
        </w:rPr>
        <w:t>（一）沿海地区。</w:t>
      </w:r>
    </w:p>
    <w:p>
      <w:pPr>
        <w:spacing w:line="560" w:lineRule="exact"/>
        <w:ind w:firstLine="640"/>
        <w:rPr>
          <w:rFonts w:ascii="Times New Roman" w:hAnsi="Times New Roman" w:eastAsia="楷体_GB2312" w:cs="Times New Roman"/>
          <w:b/>
          <w:bCs/>
        </w:rPr>
      </w:pPr>
    </w:p>
    <w:tbl>
      <w:tblPr>
        <w:tblStyle w:val="5"/>
        <w:tblW w:w="8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
        <w:gridCol w:w="490"/>
        <w:gridCol w:w="1218"/>
        <w:gridCol w:w="688"/>
        <w:gridCol w:w="1134"/>
        <w:gridCol w:w="1328"/>
        <w:gridCol w:w="1032"/>
        <w:gridCol w:w="1145"/>
        <w:gridCol w:w="1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blHeader/>
          <w:jc w:val="center"/>
        </w:trPr>
        <w:tc>
          <w:tcPr>
            <w:tcW w:w="980" w:type="dxa"/>
            <w:gridSpan w:val="2"/>
            <w:vMerge w:val="restart"/>
            <w:tcBorders>
              <w:top w:val="single" w:color="auto" w:sz="12" w:space="0"/>
              <w:lef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物资</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分类</w:t>
            </w:r>
          </w:p>
        </w:tc>
        <w:tc>
          <w:tcPr>
            <w:tcW w:w="1218"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品种</w:t>
            </w:r>
          </w:p>
        </w:tc>
        <w:tc>
          <w:tcPr>
            <w:tcW w:w="688"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单位</w:t>
            </w:r>
          </w:p>
        </w:tc>
        <w:tc>
          <w:tcPr>
            <w:tcW w:w="2462"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乡镇（街道）</w:t>
            </w:r>
          </w:p>
        </w:tc>
        <w:tc>
          <w:tcPr>
            <w:tcW w:w="2177"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村（社区）</w:t>
            </w:r>
          </w:p>
        </w:tc>
        <w:tc>
          <w:tcPr>
            <w:tcW w:w="1309" w:type="dxa"/>
            <w:vMerge w:val="restart"/>
            <w:tcBorders>
              <w:top w:val="single" w:color="auto" w:sz="12" w:space="0"/>
              <w:righ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备</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blHeader/>
          <w:jc w:val="center"/>
        </w:trPr>
        <w:tc>
          <w:tcPr>
            <w:tcW w:w="980" w:type="dxa"/>
            <w:gridSpan w:val="2"/>
            <w:vMerge w:val="continue"/>
            <w:tcBorders>
              <w:left w:val="single" w:color="auto" w:sz="12" w:space="0"/>
            </w:tcBorders>
            <w:vAlign w:val="center"/>
          </w:tcPr>
          <w:p>
            <w:pPr>
              <w:jc w:val="center"/>
              <w:rPr>
                <w:rFonts w:ascii="Times New Roman" w:hAnsi="Times New Roman" w:eastAsia="楷体_GB2312" w:cs="Times New Roman"/>
              </w:rPr>
            </w:pPr>
          </w:p>
        </w:tc>
        <w:tc>
          <w:tcPr>
            <w:tcW w:w="1218" w:type="dxa"/>
            <w:vMerge w:val="continue"/>
            <w:vAlign w:val="center"/>
          </w:tcPr>
          <w:p>
            <w:pPr>
              <w:jc w:val="center"/>
              <w:rPr>
                <w:rFonts w:ascii="Times New Roman" w:hAnsi="Times New Roman" w:eastAsia="楷体_GB2312" w:cs="Times New Roman"/>
              </w:rPr>
            </w:pPr>
          </w:p>
        </w:tc>
        <w:tc>
          <w:tcPr>
            <w:tcW w:w="688" w:type="dxa"/>
            <w:vMerge w:val="continue"/>
            <w:vAlign w:val="center"/>
          </w:tcPr>
          <w:p>
            <w:pPr>
              <w:jc w:val="center"/>
              <w:rPr>
                <w:rFonts w:ascii="Times New Roman" w:hAnsi="Times New Roman" w:eastAsia="楷体_GB2312" w:cs="Times New Roman"/>
              </w:rPr>
            </w:pPr>
          </w:p>
        </w:tc>
        <w:tc>
          <w:tcPr>
            <w:tcW w:w="1134" w:type="dxa"/>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28" w:type="dxa"/>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032" w:type="dxa"/>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09" w:type="dxa"/>
            <w:vMerge w:val="continue"/>
            <w:tcBorders>
              <w:right w:val="single" w:color="auto" w:sz="12" w:space="0"/>
            </w:tcBorders>
            <w:vAlign w:val="center"/>
          </w:tcPr>
          <w:p>
            <w:pPr>
              <w:jc w:val="center"/>
              <w:rPr>
                <w:rFonts w:ascii="Times New Roman" w:hAnsi="Times New Roman" w:eastAsia="楷体_GB2312"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防护</w:t>
            </w: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用品</w:t>
            </w: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雨衣</w:t>
            </w:r>
          </w:p>
        </w:tc>
        <w:tc>
          <w:tcPr>
            <w:tcW w:w="688" w:type="dxa"/>
            <w:vAlign w:val="center"/>
          </w:tcPr>
          <w:p>
            <w:pPr>
              <w:spacing w:line="280" w:lineRule="exact"/>
              <w:jc w:val="center"/>
              <w:rPr>
                <w:rFonts w:ascii="仿宋_GB2312" w:hAnsi="仿宋_GB2312" w:eastAsia="仿宋_GB2312" w:cs="Times New Roman"/>
                <w:spacing w:val="-20"/>
                <w:sz w:val="24"/>
                <w:szCs w:val="24"/>
              </w:rPr>
            </w:pPr>
            <w:r>
              <w:rPr>
                <w:rFonts w:hint="eastAsia" w:ascii="仿宋_GB2312" w:hAnsi="仿宋_GB2312" w:eastAsia="仿宋_GB2312" w:cs="仿宋_GB2312"/>
                <w:spacing w:val="-20"/>
                <w:sz w:val="24"/>
                <w:szCs w:val="24"/>
              </w:rPr>
              <w:t>套（件）</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50-100</w:t>
            </w:r>
          </w:p>
        </w:tc>
        <w:tc>
          <w:tcPr>
            <w:tcW w:w="1328" w:type="dxa"/>
            <w:vAlign w:val="center"/>
          </w:tcPr>
          <w:p>
            <w:pPr>
              <w:spacing w:line="280" w:lineRule="exact"/>
              <w:ind w:firstLine="268" w:firstLineChars="112"/>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雨鞋</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50-100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便携式</w:t>
            </w:r>
          </w:p>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工作灯</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手电筒</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安全帽</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顶</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安全警示服</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通讯预警设备</w:t>
            </w: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卫星电话</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对讲机</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3-5</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4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手摇（或电动）报警器</w:t>
            </w:r>
          </w:p>
        </w:tc>
        <w:tc>
          <w:tcPr>
            <w:tcW w:w="688" w:type="dxa"/>
            <w:vAlign w:val="center"/>
          </w:tcPr>
          <w:p>
            <w:pPr>
              <w:spacing w:line="24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村级按自然村配备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手提喇叭</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铜锣等</w:t>
            </w:r>
          </w:p>
        </w:tc>
        <w:tc>
          <w:tcPr>
            <w:tcW w:w="68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面</w:t>
            </w:r>
          </w:p>
        </w:tc>
        <w:tc>
          <w:tcPr>
            <w:tcW w:w="1134"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28"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03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9" w:type="dxa"/>
            <w:tcBorders>
              <w:bottom w:val="single" w:color="auto" w:sz="12" w:space="0"/>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救护救援装备</w:t>
            </w:r>
          </w:p>
        </w:tc>
        <w:tc>
          <w:tcPr>
            <w:tcW w:w="1218"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救生衣</w:t>
            </w:r>
          </w:p>
        </w:tc>
        <w:tc>
          <w:tcPr>
            <w:tcW w:w="688"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34"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28"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032"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tcBorders>
              <w:top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top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救生圈</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冲锋舟</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可由县（市、区）统一布局，分片集中储备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橡皮艇</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可由县（市、区）统一布局，分片集中储备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抛绳（普通）</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根</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生活</w:t>
            </w: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物资</w:t>
            </w: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折叠床</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行军床</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棉被</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毛巾被</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睡袋</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20-60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应急生活包</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食物</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适宜采用商业储备模式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restart"/>
            <w:tcBorders>
              <w:left w:val="single" w:color="auto" w:sz="12" w:space="0"/>
            </w:tcBorders>
            <w:vAlign w:val="center"/>
          </w:tcPr>
          <w:p>
            <w:pPr>
              <w:tabs>
                <w:tab w:val="left" w:pos="1260"/>
              </w:tabs>
              <w:rPr>
                <w:rFonts w:ascii="仿宋_GB2312" w:hAnsi="仿宋_GB2312" w:eastAsia="仿宋_GB2312" w:cs="Times New Roman"/>
                <w:sz w:val="24"/>
                <w:szCs w:val="24"/>
              </w:rPr>
            </w:pPr>
            <w:r>
              <w:rPr>
                <w:rFonts w:hint="eastAsia" w:ascii="仿宋_GB2312" w:hAnsi="仿宋_GB2312" w:eastAsia="仿宋_GB2312" w:cs="仿宋_GB2312"/>
                <w:sz w:val="24"/>
                <w:szCs w:val="24"/>
              </w:rPr>
              <w:t>应急抢险物资装备</w:t>
            </w: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w:t>
            </w:r>
          </w:p>
          <w:p>
            <w:pPr>
              <w:tabs>
                <w:tab w:val="left" w:pos="1260"/>
              </w:tabs>
              <w:jc w:val="center"/>
              <w:rPr>
                <w:rFonts w:ascii="仿宋_GB2312" w:hAnsi="仿宋_GB2312" w:eastAsia="仿宋_GB2312" w:cs="Times New Roman"/>
                <w:sz w:val="24"/>
                <w:szCs w:val="24"/>
              </w:rPr>
            </w:pP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料</w:t>
            </w: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砂石料、块石</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3</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300-1000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编织袋</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2000-5000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土工布</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2</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有水库（山塘）、堤防（海塘）的必须配置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编织布</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2</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有水库（山塘）、堤防（海塘）的必须配置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麻绳</w:t>
            </w:r>
          </w:p>
        </w:tc>
        <w:tc>
          <w:tcPr>
            <w:tcW w:w="688" w:type="dxa"/>
            <w:vAlign w:val="center"/>
          </w:tcPr>
          <w:p>
            <w:pPr>
              <w:spacing w:line="28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rPr>
              <w:t>kg</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铅丝</w:t>
            </w:r>
          </w:p>
        </w:tc>
        <w:tc>
          <w:tcPr>
            <w:tcW w:w="688" w:type="dxa"/>
            <w:vAlign w:val="center"/>
          </w:tcPr>
          <w:p>
            <w:pPr>
              <w:spacing w:line="28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rPr>
              <w:t>kg</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木桩</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3</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2-10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90" w:type="dxa"/>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合金网兜</w:t>
            </w:r>
          </w:p>
        </w:tc>
        <w:tc>
          <w:tcPr>
            <w:tcW w:w="68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34"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328" w:type="dxa"/>
            <w:tcBorders>
              <w:bottom w:val="single" w:color="auto" w:sz="12" w:space="0"/>
            </w:tcBorders>
            <w:vAlign w:val="center"/>
          </w:tcPr>
          <w:p>
            <w:pPr>
              <w:spacing w:line="280" w:lineRule="exact"/>
              <w:ind w:firstLine="240" w:firstLineChars="100"/>
              <w:jc w:val="center"/>
              <w:rPr>
                <w:rFonts w:ascii="Times New Roman" w:hAnsi="Times New Roman" w:eastAsia="仿宋_GB2312" w:cs="Times New Roman"/>
                <w:sz w:val="24"/>
                <w:szCs w:val="24"/>
              </w:rPr>
            </w:pPr>
          </w:p>
        </w:tc>
        <w:tc>
          <w:tcPr>
            <w:tcW w:w="103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bottom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可由县（市、区）统一布局，分片集中配置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应急抢险物资装备</w:t>
            </w:r>
          </w:p>
        </w:tc>
        <w:tc>
          <w:tcPr>
            <w:tcW w:w="490" w:type="dxa"/>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工具</w:t>
            </w:r>
          </w:p>
        </w:tc>
        <w:tc>
          <w:tcPr>
            <w:tcW w:w="1218"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铁锹</w:t>
            </w:r>
          </w:p>
        </w:tc>
        <w:tc>
          <w:tcPr>
            <w:tcW w:w="688"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34"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30-50</w:t>
            </w:r>
          </w:p>
        </w:tc>
        <w:tc>
          <w:tcPr>
            <w:tcW w:w="1328"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032"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tcBorders>
              <w:top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top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锄头</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畚箕</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副</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液压钳</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打桩机具</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套（台）</w:t>
            </w:r>
          </w:p>
        </w:tc>
        <w:tc>
          <w:tcPr>
            <w:tcW w:w="1134" w:type="dxa"/>
            <w:vAlign w:val="center"/>
          </w:tcPr>
          <w:p>
            <w:pPr>
              <w:spacing w:line="280" w:lineRule="exact"/>
              <w:ind w:firstLine="240" w:firstLineChars="100"/>
              <w:jc w:val="center"/>
              <w:rPr>
                <w:rFonts w:ascii="Times New Roman" w:hAnsi="Times New Roman" w:eastAsia="仿宋_GB2312" w:cs="Times New Roman"/>
                <w:sz w:val="24"/>
                <w:szCs w:val="24"/>
              </w:rPr>
            </w:pPr>
          </w:p>
        </w:tc>
        <w:tc>
          <w:tcPr>
            <w:tcW w:w="1328" w:type="dxa"/>
            <w:vAlign w:val="center"/>
          </w:tcPr>
          <w:p>
            <w:pPr>
              <w:spacing w:line="280" w:lineRule="exact"/>
              <w:ind w:firstLine="240" w:firstLineChars="100"/>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2-10</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设备</w:t>
            </w: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普通投光灯</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移动式升降照明灯组</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组</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汽（柴）油应急发电机</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ascii="仿宋_GB2312" w:hAnsi="仿宋_GB2312" w:eastAsia="仿宋_GB2312" w:cs="仿宋_GB2312"/>
                <w:sz w:val="18"/>
                <w:szCs w:val="18"/>
              </w:rPr>
              <w:t>10</w:t>
            </w:r>
            <w:r>
              <w:rPr>
                <w:rFonts w:hint="eastAsia" w:ascii="仿宋_GB2312" w:hAnsi="仿宋_GB2312" w:eastAsia="仿宋_GB2312" w:cs="仿宋_GB2312"/>
                <w:sz w:val="18"/>
                <w:szCs w:val="18"/>
              </w:rPr>
              <w:t>千瓦以上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排水车</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辆</w:t>
            </w:r>
          </w:p>
        </w:tc>
        <w:tc>
          <w:tcPr>
            <w:tcW w:w="1134" w:type="dxa"/>
            <w:vAlign w:val="center"/>
          </w:tcPr>
          <w:p>
            <w:pPr>
              <w:spacing w:line="280" w:lineRule="exact"/>
              <w:jc w:val="center"/>
              <w:rPr>
                <w:rFonts w:ascii="Times New Roman" w:hAnsi="Times New Roman" w:eastAsia="仿宋_GB2312" w:cs="Times New Roman"/>
                <w:sz w:val="24"/>
                <w:szCs w:val="24"/>
              </w:rPr>
            </w:pPr>
          </w:p>
        </w:tc>
        <w:tc>
          <w:tcPr>
            <w:tcW w:w="1328"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03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1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排水泵</w:t>
            </w:r>
          </w:p>
        </w:tc>
        <w:tc>
          <w:tcPr>
            <w:tcW w:w="688"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台（套）</w:t>
            </w:r>
          </w:p>
        </w:tc>
        <w:tc>
          <w:tcPr>
            <w:tcW w:w="1134"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328" w:type="dxa"/>
            <w:vAlign w:val="center"/>
          </w:tcPr>
          <w:p>
            <w:pPr>
              <w:spacing w:line="280" w:lineRule="exact"/>
              <w:jc w:val="center"/>
              <w:rPr>
                <w:rFonts w:ascii="Times New Roman" w:hAnsi="Times New Roman" w:eastAsia="仿宋_GB2312" w:cs="Times New Roman"/>
                <w:sz w:val="24"/>
                <w:szCs w:val="24"/>
              </w:rPr>
            </w:pPr>
          </w:p>
        </w:tc>
        <w:tc>
          <w:tcPr>
            <w:tcW w:w="103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配备相应水管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90" w:type="dxa"/>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1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电缆</w:t>
            </w:r>
          </w:p>
        </w:tc>
        <w:tc>
          <w:tcPr>
            <w:tcW w:w="688"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米</w:t>
            </w:r>
          </w:p>
        </w:tc>
        <w:tc>
          <w:tcPr>
            <w:tcW w:w="1134"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28"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50-200</w:t>
            </w:r>
          </w:p>
        </w:tc>
        <w:tc>
          <w:tcPr>
            <w:tcW w:w="103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bottom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bl>
    <w:p>
      <w:pPr>
        <w:spacing w:line="560" w:lineRule="exact"/>
        <w:ind w:firstLine="640"/>
        <w:rPr>
          <w:rFonts w:ascii="Times New Roman" w:hAnsi="Times New Roman" w:eastAsia="楷体_GB2312" w:cs="Times New Roman"/>
          <w:b/>
          <w:bCs/>
        </w:rPr>
      </w:pPr>
    </w:p>
    <w:p>
      <w:pPr>
        <w:spacing w:line="560" w:lineRule="exact"/>
        <w:ind w:firstLine="640"/>
        <w:rPr>
          <w:rFonts w:ascii="Times New Roman" w:hAnsi="Times New Roman" w:eastAsia="楷体_GB2312" w:cs="Times New Roman"/>
          <w:b/>
          <w:bCs/>
        </w:rPr>
      </w:pPr>
      <w:r>
        <w:rPr>
          <w:rFonts w:hint="eastAsia" w:ascii="Times New Roman" w:hAnsi="Times New Roman" w:eastAsia="楷体_GB2312" w:cs="楷体_GB2312"/>
          <w:b/>
          <w:bCs/>
        </w:rPr>
        <w:t>（二）山区。</w:t>
      </w:r>
    </w:p>
    <w:p>
      <w:pPr>
        <w:spacing w:line="240" w:lineRule="exact"/>
        <w:ind w:firstLine="641"/>
        <w:rPr>
          <w:rFonts w:ascii="Times New Roman" w:hAnsi="Times New Roman" w:eastAsia="楷体_GB2312" w:cs="Times New Roman"/>
          <w:b/>
          <w:bCs/>
        </w:rPr>
      </w:pPr>
    </w:p>
    <w:tbl>
      <w:tblPr>
        <w:tblStyle w:val="5"/>
        <w:tblW w:w="883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
        <w:gridCol w:w="490"/>
        <w:gridCol w:w="1144"/>
        <w:gridCol w:w="851"/>
        <w:gridCol w:w="961"/>
        <w:gridCol w:w="1302"/>
        <w:gridCol w:w="1145"/>
        <w:gridCol w:w="1145"/>
        <w:gridCol w:w="1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blHeader/>
        </w:trPr>
        <w:tc>
          <w:tcPr>
            <w:tcW w:w="980" w:type="dxa"/>
            <w:gridSpan w:val="2"/>
            <w:vMerge w:val="restart"/>
            <w:tcBorders>
              <w:top w:val="single" w:color="auto" w:sz="12" w:space="0"/>
              <w:lef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物资</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分类</w:t>
            </w:r>
          </w:p>
        </w:tc>
        <w:tc>
          <w:tcPr>
            <w:tcW w:w="1144"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品种</w:t>
            </w:r>
          </w:p>
        </w:tc>
        <w:tc>
          <w:tcPr>
            <w:tcW w:w="851"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单位</w:t>
            </w:r>
          </w:p>
        </w:tc>
        <w:tc>
          <w:tcPr>
            <w:tcW w:w="2263"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乡镇（街道）</w:t>
            </w:r>
          </w:p>
        </w:tc>
        <w:tc>
          <w:tcPr>
            <w:tcW w:w="2290"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村（社区）</w:t>
            </w:r>
          </w:p>
        </w:tc>
        <w:tc>
          <w:tcPr>
            <w:tcW w:w="1306" w:type="dxa"/>
            <w:vMerge w:val="restart"/>
            <w:tcBorders>
              <w:top w:val="single" w:color="auto" w:sz="12" w:space="0"/>
              <w:righ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备</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blHeader/>
        </w:trPr>
        <w:tc>
          <w:tcPr>
            <w:tcW w:w="980" w:type="dxa"/>
            <w:gridSpan w:val="2"/>
            <w:vMerge w:val="continue"/>
            <w:tcBorders>
              <w:left w:val="single" w:color="auto" w:sz="12" w:space="0"/>
            </w:tcBorders>
            <w:vAlign w:val="center"/>
          </w:tcPr>
          <w:p>
            <w:pPr>
              <w:jc w:val="center"/>
              <w:rPr>
                <w:rFonts w:ascii="Times New Roman" w:hAnsi="Times New Roman" w:eastAsia="楷体_GB2312" w:cs="Times New Roman"/>
              </w:rPr>
            </w:pPr>
          </w:p>
        </w:tc>
        <w:tc>
          <w:tcPr>
            <w:tcW w:w="1144" w:type="dxa"/>
            <w:vMerge w:val="continue"/>
            <w:vAlign w:val="center"/>
          </w:tcPr>
          <w:p>
            <w:pPr>
              <w:jc w:val="center"/>
              <w:rPr>
                <w:rFonts w:ascii="Times New Roman" w:hAnsi="Times New Roman" w:eastAsia="楷体_GB2312" w:cs="Times New Roman"/>
              </w:rPr>
            </w:pPr>
          </w:p>
        </w:tc>
        <w:tc>
          <w:tcPr>
            <w:tcW w:w="851" w:type="dxa"/>
            <w:vMerge w:val="continue"/>
            <w:vAlign w:val="center"/>
          </w:tcPr>
          <w:p>
            <w:pPr>
              <w:jc w:val="center"/>
              <w:rPr>
                <w:rFonts w:ascii="Times New Roman" w:hAnsi="Times New Roman" w:eastAsia="楷体_GB2312" w:cs="Times New Roman"/>
              </w:rPr>
            </w:pPr>
          </w:p>
        </w:tc>
        <w:tc>
          <w:tcPr>
            <w:tcW w:w="961" w:type="dxa"/>
            <w:vAlign w:val="center"/>
          </w:tcPr>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02" w:type="dxa"/>
            <w:vAlign w:val="center"/>
          </w:tcPr>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vAlign w:val="center"/>
          </w:tcPr>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vAlign w:val="center"/>
          </w:tcPr>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spacing w:line="300" w:lineRule="exact"/>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06" w:type="dxa"/>
            <w:vMerge w:val="continue"/>
            <w:tcBorders>
              <w:right w:val="single" w:color="auto" w:sz="12" w:space="0"/>
            </w:tcBorders>
            <w:vAlign w:val="center"/>
          </w:tcPr>
          <w:p>
            <w:pPr>
              <w:jc w:val="center"/>
              <w:rPr>
                <w:rFonts w:ascii="Times New Roman" w:hAnsi="Times New Roman" w:eastAsia="楷体_GB2312"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防护用品</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雨衣</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套（件）</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ind w:left="-358" w:leftChars="-112" w:firstLine="268" w:firstLineChars="112"/>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雨鞋</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便携式工作灯</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手电筒</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手套</w:t>
            </w:r>
          </w:p>
        </w:tc>
        <w:tc>
          <w:tcPr>
            <w:tcW w:w="851"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961"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6" w:type="dxa"/>
            <w:tcBorders>
              <w:bottom w:val="single" w:color="auto" w:sz="12" w:space="0"/>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防护用品</w:t>
            </w:r>
          </w:p>
        </w:tc>
        <w:tc>
          <w:tcPr>
            <w:tcW w:w="1144"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安全帽</w:t>
            </w:r>
          </w:p>
        </w:tc>
        <w:tc>
          <w:tcPr>
            <w:tcW w:w="851"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顶</w:t>
            </w:r>
          </w:p>
        </w:tc>
        <w:tc>
          <w:tcPr>
            <w:tcW w:w="961"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2"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6" w:type="dxa"/>
            <w:tcBorders>
              <w:top w:val="single" w:color="auto" w:sz="12" w:space="0"/>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安全警示服</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通讯预警设备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手摇（或电动）报警器</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村级按自然村配备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手提喇叭</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收音机</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村级按自然村配备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卫星电话</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铜锣</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面</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对讲机</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救护救援装备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救生衣</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救生圈</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抛绳（普通）</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根</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生活</w:t>
            </w: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物资</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折叠床</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行军床</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棉被</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毛巾被</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睡袋</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20-60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防潮垫</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应急生活包</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980" w:type="dxa"/>
            <w:gridSpan w:val="2"/>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食物</w:t>
            </w:r>
          </w:p>
        </w:tc>
        <w:tc>
          <w:tcPr>
            <w:tcW w:w="851"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961"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0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bottom w:val="single" w:color="auto" w:sz="12" w:space="0"/>
              <w:right w:val="single" w:color="auto" w:sz="12" w:space="0"/>
            </w:tcBorders>
            <w:vAlign w:val="center"/>
          </w:tcPr>
          <w:p>
            <w:pPr>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适宜采用商业储备模式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p>
          <w:p>
            <w:pPr>
              <w:tabs>
                <w:tab w:val="left" w:pos="1260"/>
              </w:tabs>
              <w:jc w:val="center"/>
              <w:rPr>
                <w:rFonts w:ascii="仿宋_GB2312" w:hAnsi="仿宋_GB2312" w:eastAsia="仿宋_GB2312" w:cs="Times New Roman"/>
                <w:sz w:val="24"/>
                <w:szCs w:val="24"/>
              </w:rPr>
            </w:pP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应急抢险物资装备</w:t>
            </w:r>
          </w:p>
          <w:p>
            <w:pPr>
              <w:tabs>
                <w:tab w:val="left" w:pos="1260"/>
              </w:tabs>
              <w:jc w:val="center"/>
              <w:rPr>
                <w:rFonts w:ascii="仿宋_GB2312" w:hAnsi="仿宋_GB2312" w:eastAsia="仿宋_GB2312" w:cs="Times New Roman"/>
                <w:sz w:val="24"/>
                <w:szCs w:val="24"/>
              </w:rPr>
            </w:pPr>
          </w:p>
          <w:p>
            <w:pPr>
              <w:tabs>
                <w:tab w:val="left" w:pos="1260"/>
              </w:tabs>
              <w:jc w:val="center"/>
              <w:rPr>
                <w:rFonts w:ascii="仿宋_GB2312" w:hAnsi="仿宋_GB2312" w:eastAsia="仿宋_GB2312" w:cs="Times New Roman"/>
                <w:sz w:val="24"/>
                <w:szCs w:val="24"/>
              </w:rPr>
            </w:pPr>
          </w:p>
        </w:tc>
        <w:tc>
          <w:tcPr>
            <w:tcW w:w="490" w:type="dxa"/>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物料</w:t>
            </w:r>
          </w:p>
        </w:tc>
        <w:tc>
          <w:tcPr>
            <w:tcW w:w="1144"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块石、砂石料</w:t>
            </w:r>
          </w:p>
        </w:tc>
        <w:tc>
          <w:tcPr>
            <w:tcW w:w="851"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3</w:t>
            </w:r>
          </w:p>
        </w:tc>
        <w:tc>
          <w:tcPr>
            <w:tcW w:w="961"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2"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200-500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10-200</w:t>
            </w:r>
          </w:p>
        </w:tc>
        <w:tc>
          <w:tcPr>
            <w:tcW w:w="1306" w:type="dxa"/>
            <w:tcBorders>
              <w:top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袋类</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2000-5000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土工布</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2</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有水库（山塘）的必须配置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编织布</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2</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有水库（山塘）</w:t>
            </w:r>
            <w:r>
              <w:rPr>
                <w:rFonts w:hint="eastAsia" w:ascii="仿宋_GB2312" w:hAnsi="仿宋_GB2312" w:eastAsia="仿宋_GB2312" w:cs="仿宋_GB2312"/>
                <w:sz w:val="18"/>
                <w:szCs w:val="18"/>
                <w:lang w:eastAsia="zh-CN"/>
              </w:rPr>
              <w:t>必需的</w:t>
            </w:r>
            <w:r>
              <w:rPr>
                <w:rFonts w:hint="eastAsia" w:ascii="仿宋_GB2312" w:hAnsi="仿宋_GB2312" w:eastAsia="仿宋_GB2312" w:cs="仿宋_GB2312"/>
                <w:sz w:val="18"/>
                <w:szCs w:val="18"/>
              </w:rPr>
              <w:t>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麻绳</w:t>
            </w:r>
          </w:p>
        </w:tc>
        <w:tc>
          <w:tcPr>
            <w:tcW w:w="851" w:type="dxa"/>
            <w:vAlign w:val="center"/>
          </w:tcPr>
          <w:p>
            <w:pPr>
              <w:spacing w:line="28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rPr>
              <w:t>kg</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铅丝</w:t>
            </w:r>
          </w:p>
        </w:tc>
        <w:tc>
          <w:tcPr>
            <w:tcW w:w="851" w:type="dxa"/>
            <w:vAlign w:val="center"/>
          </w:tcPr>
          <w:p>
            <w:pPr>
              <w:spacing w:line="28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rPr>
              <w:t>kg</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毛竹</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根</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500-1000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合金网兜</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可由县（市、区）统一布局，在山区中心集镇集中储备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工具</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铁锹</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锄头</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畚箕</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副</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钢镐</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液压钳</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柴刀（斧头）</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2-5</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手推车</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辆</w:t>
            </w:r>
          </w:p>
        </w:tc>
        <w:tc>
          <w:tcPr>
            <w:tcW w:w="961" w:type="dxa"/>
            <w:vAlign w:val="center"/>
          </w:tcPr>
          <w:p>
            <w:pPr>
              <w:spacing w:line="280" w:lineRule="exact"/>
              <w:jc w:val="center"/>
              <w:rPr>
                <w:rFonts w:ascii="Times New Roman" w:hAnsi="Times New Roman" w:eastAsia="仿宋_GB2312" w:cs="Times New Roman"/>
                <w:sz w:val="24"/>
                <w:szCs w:val="24"/>
              </w:rPr>
            </w:pPr>
          </w:p>
        </w:tc>
        <w:tc>
          <w:tcPr>
            <w:tcW w:w="1302"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设备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普通投光灯</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可分片集中储备，每个乡镇至少</w:t>
            </w:r>
            <w:r>
              <w:rPr>
                <w:rFonts w:ascii="仿宋_GB2312" w:hAnsi="仿宋_GB2312" w:eastAsia="仿宋_GB2312" w:cs="仿宋_GB2312"/>
                <w:sz w:val="18"/>
                <w:szCs w:val="18"/>
              </w:rPr>
              <w:t>1</w:t>
            </w:r>
            <w:r>
              <w:rPr>
                <w:rFonts w:hint="eastAsia" w:ascii="仿宋_GB2312" w:hAnsi="仿宋_GB2312" w:eastAsia="仿宋_GB2312" w:cs="仿宋_GB2312"/>
                <w:sz w:val="18"/>
                <w:szCs w:val="18"/>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移动式升降照明灯组</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组</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汽（柴）油应急发电机</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ascii="仿宋_GB2312" w:hAnsi="仿宋_GB2312" w:eastAsia="仿宋_GB2312" w:cs="仿宋_GB2312"/>
                <w:sz w:val="18"/>
                <w:szCs w:val="18"/>
              </w:rPr>
              <w:t>10</w:t>
            </w:r>
            <w:r>
              <w:rPr>
                <w:rFonts w:hint="eastAsia" w:ascii="仿宋_GB2312" w:hAnsi="仿宋_GB2312" w:eastAsia="仿宋_GB2312" w:cs="仿宋_GB2312"/>
                <w:sz w:val="18"/>
                <w:szCs w:val="18"/>
              </w:rPr>
              <w:t>千瓦以上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排水泵</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台（套）</w:t>
            </w:r>
          </w:p>
        </w:tc>
        <w:tc>
          <w:tcPr>
            <w:tcW w:w="961"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302"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配备相应水管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电缆</w:t>
            </w:r>
          </w:p>
        </w:tc>
        <w:tc>
          <w:tcPr>
            <w:tcW w:w="851"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米</w:t>
            </w:r>
          </w:p>
        </w:tc>
        <w:tc>
          <w:tcPr>
            <w:tcW w:w="961"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2"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50-200</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6" w:type="dxa"/>
            <w:tcBorders>
              <w:bottom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bl>
    <w:p>
      <w:pPr>
        <w:ind w:firstLine="560"/>
        <w:rPr>
          <w:rFonts w:ascii="Times New Roman" w:hAnsi="Times New Roman" w:eastAsia="楷体_GB2312" w:cs="Times New Roman"/>
          <w:b/>
          <w:bCs/>
        </w:rPr>
      </w:pPr>
    </w:p>
    <w:p>
      <w:pPr>
        <w:ind w:firstLine="560"/>
        <w:rPr>
          <w:rFonts w:ascii="Times New Roman" w:hAnsi="Times New Roman" w:eastAsia="楷体_GB2312" w:cs="Times New Roman"/>
          <w:b/>
          <w:bCs/>
        </w:rPr>
      </w:pPr>
    </w:p>
    <w:p>
      <w:pPr>
        <w:ind w:firstLine="560"/>
        <w:rPr>
          <w:rFonts w:ascii="Times New Roman" w:hAnsi="Times New Roman" w:eastAsia="楷体_GB2312" w:cs="Times New Roman"/>
          <w:b/>
          <w:bCs/>
        </w:rPr>
      </w:pPr>
      <w:r>
        <w:rPr>
          <w:rFonts w:hint="eastAsia" w:ascii="Times New Roman" w:hAnsi="Times New Roman" w:eastAsia="楷体_GB2312" w:cs="楷体_GB2312"/>
          <w:b/>
          <w:bCs/>
        </w:rPr>
        <w:t>（三）平原（低洼）地区。</w:t>
      </w:r>
    </w:p>
    <w:p>
      <w:pPr>
        <w:spacing w:line="240" w:lineRule="exact"/>
        <w:ind w:firstLine="561"/>
        <w:rPr>
          <w:rFonts w:ascii="Times New Roman" w:hAnsi="Times New Roman" w:eastAsia="楷体_GB2312" w:cs="Times New Roman"/>
          <w:b/>
          <w:bCs/>
        </w:rPr>
      </w:pPr>
    </w:p>
    <w:tbl>
      <w:tblPr>
        <w:tblStyle w:val="5"/>
        <w:tblW w:w="883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
        <w:gridCol w:w="490"/>
        <w:gridCol w:w="1255"/>
        <w:gridCol w:w="740"/>
        <w:gridCol w:w="1115"/>
        <w:gridCol w:w="1145"/>
        <w:gridCol w:w="1145"/>
        <w:gridCol w:w="1145"/>
        <w:gridCol w:w="1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blHeader/>
        </w:trPr>
        <w:tc>
          <w:tcPr>
            <w:tcW w:w="980" w:type="dxa"/>
            <w:gridSpan w:val="2"/>
            <w:vMerge w:val="restart"/>
            <w:tcBorders>
              <w:top w:val="single" w:color="auto" w:sz="12" w:space="0"/>
              <w:lef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物资</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分类</w:t>
            </w:r>
          </w:p>
        </w:tc>
        <w:tc>
          <w:tcPr>
            <w:tcW w:w="1255"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品种</w:t>
            </w:r>
          </w:p>
        </w:tc>
        <w:tc>
          <w:tcPr>
            <w:tcW w:w="740"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单位</w:t>
            </w:r>
          </w:p>
        </w:tc>
        <w:tc>
          <w:tcPr>
            <w:tcW w:w="2260"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乡镇（街道）</w:t>
            </w:r>
          </w:p>
        </w:tc>
        <w:tc>
          <w:tcPr>
            <w:tcW w:w="2290"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村（社区）</w:t>
            </w:r>
          </w:p>
        </w:tc>
        <w:tc>
          <w:tcPr>
            <w:tcW w:w="1309" w:type="dxa"/>
            <w:vMerge w:val="restart"/>
            <w:tcBorders>
              <w:top w:val="single" w:color="auto" w:sz="12" w:space="0"/>
              <w:right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备</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blHeader/>
        </w:trPr>
        <w:tc>
          <w:tcPr>
            <w:tcW w:w="980" w:type="dxa"/>
            <w:gridSpan w:val="2"/>
            <w:vMerge w:val="continue"/>
            <w:tcBorders>
              <w:left w:val="single" w:color="auto" w:sz="12" w:space="0"/>
              <w:bottom w:val="single" w:color="auto" w:sz="12" w:space="0"/>
            </w:tcBorders>
            <w:vAlign w:val="center"/>
          </w:tcPr>
          <w:p>
            <w:pPr>
              <w:jc w:val="center"/>
              <w:rPr>
                <w:rFonts w:ascii="Times New Roman" w:hAnsi="Times New Roman" w:eastAsia="楷体_GB2312" w:cs="Times New Roman"/>
              </w:rPr>
            </w:pPr>
          </w:p>
        </w:tc>
        <w:tc>
          <w:tcPr>
            <w:tcW w:w="1255" w:type="dxa"/>
            <w:vMerge w:val="continue"/>
            <w:tcBorders>
              <w:bottom w:val="single" w:color="auto" w:sz="12" w:space="0"/>
            </w:tcBorders>
            <w:vAlign w:val="center"/>
          </w:tcPr>
          <w:p>
            <w:pPr>
              <w:jc w:val="center"/>
              <w:rPr>
                <w:rFonts w:ascii="Times New Roman" w:hAnsi="Times New Roman" w:eastAsia="楷体_GB2312" w:cs="Times New Roman"/>
              </w:rPr>
            </w:pPr>
          </w:p>
        </w:tc>
        <w:tc>
          <w:tcPr>
            <w:tcW w:w="740" w:type="dxa"/>
            <w:vMerge w:val="continue"/>
            <w:tcBorders>
              <w:bottom w:val="single" w:color="auto" w:sz="12" w:space="0"/>
            </w:tcBorders>
            <w:vAlign w:val="center"/>
          </w:tcPr>
          <w:p>
            <w:pPr>
              <w:jc w:val="center"/>
              <w:rPr>
                <w:rFonts w:ascii="Times New Roman" w:hAnsi="Times New Roman" w:eastAsia="楷体_GB2312" w:cs="Times New Roman"/>
              </w:rPr>
            </w:pPr>
          </w:p>
        </w:tc>
        <w:tc>
          <w:tcPr>
            <w:tcW w:w="111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09" w:type="dxa"/>
            <w:vMerge w:val="continue"/>
            <w:tcBorders>
              <w:bottom w:val="single" w:color="auto" w:sz="12" w:space="0"/>
              <w:right w:val="single" w:color="auto" w:sz="12" w:space="0"/>
            </w:tcBorders>
            <w:vAlign w:val="center"/>
          </w:tcPr>
          <w:p>
            <w:pPr>
              <w:jc w:val="center"/>
              <w:rPr>
                <w:rFonts w:ascii="Times New Roman" w:hAnsi="Times New Roman" w:eastAsia="楷体_GB2312"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980" w:type="dxa"/>
            <w:gridSpan w:val="2"/>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防护用品</w:t>
            </w:r>
          </w:p>
        </w:tc>
        <w:tc>
          <w:tcPr>
            <w:tcW w:w="1255"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雨衣</w:t>
            </w:r>
          </w:p>
        </w:tc>
        <w:tc>
          <w:tcPr>
            <w:tcW w:w="740" w:type="dxa"/>
            <w:tcBorders>
              <w:top w:val="single" w:color="auto" w:sz="12" w:space="0"/>
            </w:tcBorders>
            <w:vAlign w:val="center"/>
          </w:tcPr>
          <w:p>
            <w:pPr>
              <w:spacing w:line="280" w:lineRule="exact"/>
              <w:jc w:val="center"/>
              <w:rPr>
                <w:rFonts w:ascii="仿宋_GB2312" w:hAnsi="仿宋_GB2312" w:eastAsia="仿宋_GB2312" w:cs="Times New Roman"/>
                <w:spacing w:val="-20"/>
                <w:sz w:val="21"/>
                <w:szCs w:val="21"/>
              </w:rPr>
            </w:pPr>
            <w:r>
              <w:rPr>
                <w:rFonts w:hint="eastAsia" w:ascii="仿宋_GB2312" w:hAnsi="仿宋_GB2312" w:eastAsia="仿宋_GB2312" w:cs="仿宋_GB2312"/>
                <w:spacing w:val="-20"/>
                <w:sz w:val="21"/>
                <w:szCs w:val="21"/>
              </w:rPr>
              <w:t>套（件）</w:t>
            </w:r>
          </w:p>
        </w:tc>
        <w:tc>
          <w:tcPr>
            <w:tcW w:w="111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tcBorders>
              <w:top w:val="single" w:color="auto" w:sz="12" w:space="0"/>
            </w:tcBorders>
            <w:vAlign w:val="center"/>
          </w:tcPr>
          <w:p>
            <w:pPr>
              <w:spacing w:line="280" w:lineRule="exact"/>
              <w:ind w:left="-358" w:leftChars="-112" w:firstLine="268" w:firstLineChars="112"/>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tcBorders>
              <w:top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top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雨鞋</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便携式工作灯</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手电筒</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手套</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安全帽</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顶</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安全警示服</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通讯预警设备</w:t>
            </w:r>
          </w:p>
        </w:tc>
        <w:tc>
          <w:tcPr>
            <w:tcW w:w="1255" w:type="dxa"/>
            <w:vAlign w:val="center"/>
          </w:tcPr>
          <w:p>
            <w:pPr>
              <w:spacing w:line="240" w:lineRule="exact"/>
              <w:jc w:val="center"/>
              <w:rPr>
                <w:rFonts w:ascii="仿宋_GB2312" w:hAnsi="仿宋_GB2312" w:eastAsia="仿宋_GB2312" w:cs="Times New Roman"/>
                <w:sz w:val="21"/>
                <w:szCs w:val="21"/>
              </w:rPr>
            </w:pPr>
            <w:r>
              <w:rPr>
                <w:rFonts w:hint="eastAsia" w:ascii="仿宋_GB2312" w:hAnsi="仿宋_GB2312" w:eastAsia="仿宋_GB2312" w:cs="仿宋_GB2312"/>
                <w:sz w:val="21"/>
                <w:szCs w:val="21"/>
              </w:rPr>
              <w:t>手摇（或电动）报警器</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村级按自然村配备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手提喇叭</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卫星电话</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对讲机</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救护救援装备</w:t>
            </w: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救生衣</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救生圈</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2-5</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冲锋舟</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由县（市、区）统一布局，分片集中储备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橡皮艇</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由县（市、区）统一布局，分片集中储备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pacing w:val="-20"/>
                <w:sz w:val="21"/>
                <w:szCs w:val="21"/>
              </w:rPr>
            </w:pPr>
            <w:r>
              <w:rPr>
                <w:rFonts w:hint="eastAsia" w:ascii="仿宋_GB2312" w:hAnsi="仿宋_GB2312" w:eastAsia="仿宋_GB2312" w:cs="仿宋_GB2312"/>
                <w:spacing w:val="-20"/>
                <w:sz w:val="21"/>
                <w:szCs w:val="21"/>
              </w:rPr>
              <w:t>抛绳（普通）</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根</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restart"/>
            <w:tcBorders>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生活</w:t>
            </w: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物资</w:t>
            </w: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折叠床</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行军床</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棉被</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毛巾被</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睡袋</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20-60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应急生活包</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80" w:type="dxa"/>
            <w:gridSpan w:val="2"/>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食物</w:t>
            </w:r>
          </w:p>
        </w:tc>
        <w:tc>
          <w:tcPr>
            <w:tcW w:w="740"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1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bottom w:val="single" w:color="auto" w:sz="12" w:space="0"/>
              <w:right w:val="single" w:color="auto" w:sz="12" w:space="0"/>
            </w:tcBorders>
            <w:vAlign w:val="center"/>
          </w:tcPr>
          <w:p>
            <w:pPr>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适宜采用商业储备模式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490" w:type="dxa"/>
            <w:vMerge w:val="restart"/>
            <w:tcBorders>
              <w:top w:val="single" w:color="auto" w:sz="12" w:space="0"/>
              <w:left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应急抢险物资装备</w:t>
            </w:r>
          </w:p>
        </w:tc>
        <w:tc>
          <w:tcPr>
            <w:tcW w:w="490" w:type="dxa"/>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物料</w:t>
            </w:r>
          </w:p>
        </w:tc>
        <w:tc>
          <w:tcPr>
            <w:tcW w:w="1255"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块石、砂石料</w:t>
            </w:r>
          </w:p>
        </w:tc>
        <w:tc>
          <w:tcPr>
            <w:tcW w:w="740"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3</w:t>
            </w:r>
          </w:p>
        </w:tc>
        <w:tc>
          <w:tcPr>
            <w:tcW w:w="111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200-1000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100-300</w:t>
            </w:r>
          </w:p>
        </w:tc>
        <w:tc>
          <w:tcPr>
            <w:tcW w:w="1309" w:type="dxa"/>
            <w:tcBorders>
              <w:top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袋类</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2000-10000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1000-2000</w:t>
            </w: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编织布</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2</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1000-2000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木桩</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ｍ</w:t>
            </w:r>
            <w:r>
              <w:rPr>
                <w:rFonts w:ascii="仿宋_GB2312" w:hAnsi="仿宋_GB2312" w:eastAsia="仿宋_GB2312" w:cs="仿宋_GB2312"/>
                <w:sz w:val="24"/>
                <w:szCs w:val="24"/>
                <w:vertAlign w:val="superscript"/>
              </w:rPr>
              <w:t>3</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有工程抢险任务的必须配置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工具</w:t>
            </w: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铁锹</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锄头</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打桩工具</w:t>
            </w:r>
          </w:p>
        </w:tc>
        <w:tc>
          <w:tcPr>
            <w:tcW w:w="740" w:type="dxa"/>
            <w:vAlign w:val="center"/>
          </w:tcPr>
          <w:p>
            <w:pPr>
              <w:spacing w:line="28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套</w:t>
            </w:r>
            <w:r>
              <w:rPr>
                <w:rFonts w:ascii="仿宋_GB2312" w:hAnsi="仿宋_GB2312" w:eastAsia="仿宋_GB2312" w:cs="仿宋_GB2312"/>
                <w:sz w:val="24"/>
                <w:szCs w:val="24"/>
              </w:rPr>
              <w:t>(</w:t>
            </w:r>
            <w:r>
              <w:rPr>
                <w:rFonts w:hint="eastAsia" w:ascii="仿宋_GB2312" w:hAnsi="仿宋_GB2312" w:eastAsia="仿宋_GB2312" w:cs="仿宋_GB2312"/>
                <w:sz w:val="24"/>
                <w:szCs w:val="24"/>
              </w:rPr>
              <w:t>台</w:t>
            </w:r>
            <w:r>
              <w:rPr>
                <w:rFonts w:ascii="仿宋_GB2312" w:hAnsi="仿宋_GB2312" w:eastAsia="仿宋_GB2312" w:cs="仿宋_GB2312"/>
                <w:sz w:val="24"/>
                <w:szCs w:val="24"/>
              </w:rPr>
              <w:t>)</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设备</w:t>
            </w: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普通投光灯</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可分片集中配置，每个乡镇至少</w:t>
            </w:r>
            <w:r>
              <w:rPr>
                <w:rFonts w:ascii="仿宋_GB2312" w:hAnsi="仿宋_GB2312" w:eastAsia="仿宋_GB2312" w:cs="仿宋_GB2312"/>
                <w:sz w:val="18"/>
                <w:szCs w:val="18"/>
              </w:rPr>
              <w:t>1</w:t>
            </w:r>
            <w:r>
              <w:rPr>
                <w:rFonts w:hint="eastAsia" w:ascii="仿宋_GB2312" w:hAnsi="仿宋_GB2312" w:eastAsia="仿宋_GB2312" w:cs="仿宋_GB2312"/>
                <w:sz w:val="18"/>
                <w:szCs w:val="18"/>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移动式升降照明灯组</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组</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应急灯</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汽（柴）油应急发电机</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ascii="仿宋_GB2312" w:hAnsi="仿宋_GB2312" w:eastAsia="仿宋_GB2312" w:cs="仿宋_GB2312"/>
                <w:sz w:val="18"/>
                <w:szCs w:val="18"/>
              </w:rPr>
              <w:t>10</w:t>
            </w:r>
            <w:r>
              <w:rPr>
                <w:rFonts w:hint="eastAsia" w:ascii="仿宋_GB2312" w:hAnsi="仿宋_GB2312" w:eastAsia="仿宋_GB2312" w:cs="仿宋_GB2312"/>
                <w:sz w:val="18"/>
                <w:szCs w:val="18"/>
              </w:rPr>
              <w:t>千瓦以上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排水车</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辆</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90" w:type="dxa"/>
            <w:vMerge w:val="continue"/>
            <w:tcBorders>
              <w:left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255"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排水泵</w:t>
            </w:r>
          </w:p>
        </w:tc>
        <w:tc>
          <w:tcPr>
            <w:tcW w:w="740"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台（套）</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配备相应水管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490" w:type="dxa"/>
            <w:vMerge w:val="continue"/>
            <w:tcBorders>
              <w:left w:val="single" w:color="auto" w:sz="12" w:space="0"/>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255"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电缆</w:t>
            </w:r>
          </w:p>
        </w:tc>
        <w:tc>
          <w:tcPr>
            <w:tcW w:w="740"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米</w:t>
            </w:r>
          </w:p>
        </w:tc>
        <w:tc>
          <w:tcPr>
            <w:tcW w:w="111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50-200</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tabs>
                <w:tab w:val="left" w:pos="1260"/>
              </w:tabs>
              <w:spacing w:line="280" w:lineRule="exact"/>
              <w:jc w:val="center"/>
              <w:rPr>
                <w:rFonts w:ascii="Times New Roman" w:hAnsi="Times New Roman" w:eastAsia="仿宋_GB2312" w:cs="Times New Roman"/>
                <w:sz w:val="24"/>
                <w:szCs w:val="24"/>
              </w:rPr>
            </w:pPr>
          </w:p>
        </w:tc>
        <w:tc>
          <w:tcPr>
            <w:tcW w:w="1309" w:type="dxa"/>
            <w:tcBorders>
              <w:bottom w:val="single" w:color="auto" w:sz="12" w:space="0"/>
              <w:right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bl>
    <w:p>
      <w:pPr>
        <w:spacing w:line="560" w:lineRule="exact"/>
        <w:rPr>
          <w:rFonts w:ascii="Times New Roman" w:hAnsi="Times New Roman" w:eastAsia="楷体_GB2312" w:cs="Times New Roman"/>
          <w:b/>
          <w:bCs/>
        </w:rPr>
      </w:pPr>
    </w:p>
    <w:p>
      <w:pPr>
        <w:spacing w:line="560" w:lineRule="exact"/>
        <w:rPr>
          <w:rFonts w:ascii="Times New Roman" w:hAnsi="Times New Roman" w:eastAsia="楷体_GB2312" w:cs="Times New Roman"/>
          <w:b/>
          <w:bCs/>
        </w:rPr>
      </w:pPr>
    </w:p>
    <w:p>
      <w:pPr>
        <w:spacing w:line="560" w:lineRule="exact"/>
        <w:rPr>
          <w:rFonts w:ascii="Times New Roman" w:hAnsi="Times New Roman" w:eastAsia="楷体_GB2312" w:cs="Times New Roman"/>
          <w:b/>
          <w:bCs/>
        </w:rPr>
      </w:pPr>
    </w:p>
    <w:p>
      <w:pPr>
        <w:spacing w:line="560" w:lineRule="exact"/>
        <w:rPr>
          <w:rFonts w:ascii="Times New Roman" w:hAnsi="Times New Roman" w:eastAsia="楷体_GB2312" w:cs="Times New Roman"/>
          <w:b/>
          <w:bCs/>
        </w:rPr>
      </w:pPr>
    </w:p>
    <w:p>
      <w:pPr>
        <w:spacing w:line="560" w:lineRule="exact"/>
        <w:ind w:firstLine="560"/>
        <w:rPr>
          <w:rFonts w:ascii="Times New Roman" w:hAnsi="Times New Roman" w:eastAsia="仿宋_GB2312" w:cs="Times New Roman"/>
        </w:rPr>
      </w:pPr>
      <w:r>
        <w:rPr>
          <w:rFonts w:hint="eastAsia" w:ascii="Times New Roman" w:hAnsi="Times New Roman" w:eastAsia="楷体_GB2312" w:cs="楷体_GB2312"/>
          <w:b/>
          <w:bCs/>
        </w:rPr>
        <w:t>（四）城镇区域。</w:t>
      </w:r>
    </w:p>
    <w:p>
      <w:pPr>
        <w:spacing w:line="560" w:lineRule="exact"/>
        <w:ind w:firstLine="560"/>
        <w:rPr>
          <w:rFonts w:ascii="Times New Roman" w:hAnsi="Times New Roman" w:eastAsia="仿宋_GB2312" w:cs="Times New Roman"/>
        </w:rPr>
      </w:pPr>
    </w:p>
    <w:tbl>
      <w:tblPr>
        <w:tblStyle w:val="5"/>
        <w:tblW w:w="8834" w:type="dxa"/>
        <w:tblInd w:w="-10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90"/>
        <w:gridCol w:w="490"/>
        <w:gridCol w:w="1144"/>
        <w:gridCol w:w="851"/>
        <w:gridCol w:w="1115"/>
        <w:gridCol w:w="1145"/>
        <w:gridCol w:w="1145"/>
        <w:gridCol w:w="1145"/>
        <w:gridCol w:w="130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8" w:hRule="atLeast"/>
          <w:tblHeader/>
        </w:trPr>
        <w:tc>
          <w:tcPr>
            <w:tcW w:w="980" w:type="dxa"/>
            <w:gridSpan w:val="2"/>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物资</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分类</w:t>
            </w:r>
          </w:p>
        </w:tc>
        <w:tc>
          <w:tcPr>
            <w:tcW w:w="1144"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品种</w:t>
            </w:r>
          </w:p>
        </w:tc>
        <w:tc>
          <w:tcPr>
            <w:tcW w:w="851"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单位</w:t>
            </w:r>
          </w:p>
        </w:tc>
        <w:tc>
          <w:tcPr>
            <w:tcW w:w="2260"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街</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道</w:t>
            </w:r>
          </w:p>
        </w:tc>
        <w:tc>
          <w:tcPr>
            <w:tcW w:w="2290" w:type="dxa"/>
            <w:gridSpan w:val="2"/>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社</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区</w:t>
            </w:r>
          </w:p>
        </w:tc>
        <w:tc>
          <w:tcPr>
            <w:tcW w:w="1309" w:type="dxa"/>
            <w:vMerge w:val="restart"/>
            <w:tcBorders>
              <w:top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备</w:t>
            </w:r>
            <w:r>
              <w:rPr>
                <w:rFonts w:ascii="Times New Roman" w:hAnsi="Times New Roman" w:eastAsia="楷体_GB2312" w:cs="Times New Roman"/>
                <w:b/>
                <w:bCs/>
                <w:sz w:val="24"/>
                <w:szCs w:val="24"/>
              </w:rPr>
              <w:t xml:space="preserve"> </w:t>
            </w:r>
            <w:r>
              <w:rPr>
                <w:rFonts w:hint="eastAsia" w:ascii="Times New Roman" w:hAnsi="Times New Roman" w:eastAsia="楷体_GB2312" w:cs="楷体_GB2312"/>
                <w:b/>
                <w:bCs/>
                <w:sz w:val="24"/>
                <w:szCs w:val="24"/>
              </w:rPr>
              <w:t>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blHeader/>
        </w:trPr>
        <w:tc>
          <w:tcPr>
            <w:tcW w:w="980" w:type="dxa"/>
            <w:gridSpan w:val="2"/>
            <w:vMerge w:val="continue"/>
            <w:tcBorders>
              <w:bottom w:val="single" w:color="auto" w:sz="12" w:space="0"/>
            </w:tcBorders>
            <w:vAlign w:val="center"/>
          </w:tcPr>
          <w:p>
            <w:pPr>
              <w:jc w:val="center"/>
              <w:rPr>
                <w:rFonts w:ascii="Times New Roman" w:hAnsi="Times New Roman" w:eastAsia="楷体_GB2312" w:cs="Times New Roman"/>
              </w:rPr>
            </w:pPr>
          </w:p>
        </w:tc>
        <w:tc>
          <w:tcPr>
            <w:tcW w:w="1144" w:type="dxa"/>
            <w:vMerge w:val="continue"/>
            <w:tcBorders>
              <w:bottom w:val="single" w:color="auto" w:sz="12" w:space="0"/>
            </w:tcBorders>
            <w:vAlign w:val="center"/>
          </w:tcPr>
          <w:p>
            <w:pPr>
              <w:jc w:val="center"/>
              <w:rPr>
                <w:rFonts w:ascii="Times New Roman" w:hAnsi="Times New Roman" w:eastAsia="楷体_GB2312" w:cs="Times New Roman"/>
              </w:rPr>
            </w:pPr>
          </w:p>
        </w:tc>
        <w:tc>
          <w:tcPr>
            <w:tcW w:w="851" w:type="dxa"/>
            <w:vMerge w:val="continue"/>
            <w:tcBorders>
              <w:bottom w:val="single" w:color="auto" w:sz="12" w:space="0"/>
            </w:tcBorders>
            <w:vAlign w:val="center"/>
          </w:tcPr>
          <w:p>
            <w:pPr>
              <w:jc w:val="center"/>
              <w:rPr>
                <w:rFonts w:ascii="Times New Roman" w:hAnsi="Times New Roman" w:eastAsia="楷体_GB2312" w:cs="Times New Roman"/>
              </w:rPr>
            </w:pPr>
          </w:p>
        </w:tc>
        <w:tc>
          <w:tcPr>
            <w:tcW w:w="111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标准</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145" w:type="dxa"/>
            <w:tcBorders>
              <w:bottom w:val="single" w:color="auto" w:sz="12" w:space="0"/>
            </w:tcBorders>
            <w:vAlign w:val="center"/>
          </w:tcPr>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可选</w:t>
            </w:r>
          </w:p>
          <w:p>
            <w:pPr>
              <w:jc w:val="center"/>
              <w:rPr>
                <w:rFonts w:ascii="Times New Roman" w:hAnsi="Times New Roman" w:eastAsia="楷体_GB2312" w:cs="Times New Roman"/>
                <w:b/>
                <w:bCs/>
                <w:sz w:val="24"/>
                <w:szCs w:val="24"/>
              </w:rPr>
            </w:pPr>
            <w:r>
              <w:rPr>
                <w:rFonts w:hint="eastAsia" w:ascii="Times New Roman" w:hAnsi="Times New Roman" w:eastAsia="楷体_GB2312" w:cs="楷体_GB2312"/>
                <w:b/>
                <w:bCs/>
                <w:sz w:val="24"/>
                <w:szCs w:val="24"/>
              </w:rPr>
              <w:t>配置</w:t>
            </w:r>
          </w:p>
        </w:tc>
        <w:tc>
          <w:tcPr>
            <w:tcW w:w="1309" w:type="dxa"/>
            <w:vMerge w:val="continue"/>
            <w:tcBorders>
              <w:bottom w:val="single" w:color="auto" w:sz="12" w:space="0"/>
            </w:tcBorders>
            <w:vAlign w:val="center"/>
          </w:tcPr>
          <w:p>
            <w:pPr>
              <w:jc w:val="center"/>
              <w:rPr>
                <w:rFonts w:ascii="Times New Roman" w:hAnsi="Times New Roman" w:eastAsia="楷体_GB2312" w:cs="Times New Roma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980" w:type="dxa"/>
            <w:gridSpan w:val="2"/>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防护用品</w:t>
            </w:r>
          </w:p>
        </w:tc>
        <w:tc>
          <w:tcPr>
            <w:tcW w:w="1144"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雨衣</w:t>
            </w:r>
          </w:p>
        </w:tc>
        <w:tc>
          <w:tcPr>
            <w:tcW w:w="851"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套（件）</w:t>
            </w:r>
          </w:p>
        </w:tc>
        <w:tc>
          <w:tcPr>
            <w:tcW w:w="111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9" w:type="dxa"/>
            <w:tcBorders>
              <w:top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雨鞋</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便携式工作灯</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手电筒</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手套</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双</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安全帽</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顶</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安全警示服</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5-20</w:t>
            </w: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预警通讯设备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手提喇叭</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卫星电话</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对讲机</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部</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救护救援装备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救生衣</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件</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救生圈</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冲锋舟</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橡皮艇</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艘</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生活</w:t>
            </w:r>
          </w:p>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物资</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折叠床</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行军床</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张</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棉被</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毛巾被</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30-100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睡袋</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20-60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应急生活包</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个</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10-30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980" w:type="dxa"/>
            <w:gridSpan w:val="2"/>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食物</w:t>
            </w:r>
          </w:p>
        </w:tc>
        <w:tc>
          <w:tcPr>
            <w:tcW w:w="851"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1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9" w:type="dxa"/>
            <w:tcBorders>
              <w:bottom w:val="single" w:color="auto" w:sz="12" w:space="0"/>
            </w:tcBorders>
            <w:vAlign w:val="center"/>
          </w:tcPr>
          <w:p>
            <w:pPr>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适宜采用商业储备模式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490" w:type="dxa"/>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应急抢险物资装备</w:t>
            </w:r>
          </w:p>
        </w:tc>
        <w:tc>
          <w:tcPr>
            <w:tcW w:w="490" w:type="dxa"/>
            <w:vMerge w:val="restart"/>
            <w:tcBorders>
              <w:top w:val="single" w:color="auto" w:sz="12" w:space="0"/>
            </w:tcBorders>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物料</w:t>
            </w:r>
          </w:p>
        </w:tc>
        <w:tc>
          <w:tcPr>
            <w:tcW w:w="1144"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沙袋</w:t>
            </w:r>
          </w:p>
        </w:tc>
        <w:tc>
          <w:tcPr>
            <w:tcW w:w="851" w:type="dxa"/>
            <w:tcBorders>
              <w:top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只</w:t>
            </w:r>
          </w:p>
        </w:tc>
        <w:tc>
          <w:tcPr>
            <w:tcW w:w="111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100-200</w:t>
            </w: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top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20-50</w:t>
            </w:r>
          </w:p>
        </w:tc>
        <w:tc>
          <w:tcPr>
            <w:tcW w:w="1309" w:type="dxa"/>
            <w:tcBorders>
              <w:top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按城区堵水需求（如地下室规模等）配置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防水挡板</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15" w:type="dxa"/>
            <w:vAlign w:val="center"/>
          </w:tcPr>
          <w:p>
            <w:pPr>
              <w:spacing w:line="280" w:lineRule="exact"/>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按需</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hint="eastAsia" w:ascii="Times New Roman" w:hAnsi="Times New Roman" w:eastAsia="仿宋_GB2312" w:cs="仿宋_GB2312"/>
                <w:sz w:val="24"/>
                <w:szCs w:val="24"/>
              </w:rPr>
              <w:t>按需</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小区地下室、地下空间入口等按需配备安装</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袋类</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条</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1000-2000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有堵水需求的必须配置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钢管</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吨</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1-5</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脚手（架）垫片</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片</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100-300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工具</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铁锹</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把</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20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w:t>
            </w: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有抢险作业的必须配置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restart"/>
            <w:vAlign w:val="center"/>
          </w:tcPr>
          <w:p>
            <w:pPr>
              <w:tabs>
                <w:tab w:val="left" w:pos="1260"/>
              </w:tabs>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设备</w:t>
            </w: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移动式升降照明灯组</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组</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应急灯</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批</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汽（柴）油发电机</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r>
              <w:rPr>
                <w:rFonts w:ascii="仿宋_GB2312" w:hAnsi="仿宋_GB2312" w:eastAsia="仿宋_GB2312" w:cs="仿宋_GB2312"/>
                <w:sz w:val="18"/>
                <w:szCs w:val="18"/>
              </w:rPr>
              <w:t>5</w:t>
            </w:r>
            <w:r>
              <w:rPr>
                <w:rFonts w:hint="eastAsia" w:ascii="仿宋_GB2312" w:hAnsi="仿宋_GB2312" w:eastAsia="仿宋_GB2312" w:cs="仿宋_GB2312"/>
                <w:sz w:val="18"/>
                <w:szCs w:val="18"/>
              </w:rPr>
              <w:t>千瓦以上</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排水车</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辆</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排水泵</w:t>
            </w:r>
          </w:p>
        </w:tc>
        <w:tc>
          <w:tcPr>
            <w:tcW w:w="851"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台（套）</w:t>
            </w:r>
          </w:p>
        </w:tc>
        <w:tc>
          <w:tcPr>
            <w:tcW w:w="111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5-10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1-2</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r>
              <w:rPr>
                <w:rFonts w:hint="eastAsia" w:ascii="仿宋_GB2312" w:hAnsi="仿宋_GB2312" w:eastAsia="仿宋_GB2312" w:cs="仿宋_GB2312"/>
                <w:sz w:val="18"/>
                <w:szCs w:val="18"/>
              </w:rPr>
              <w:t>配备相应水管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490" w:type="dxa"/>
            <w:vMerge w:val="continue"/>
            <w:vAlign w:val="center"/>
          </w:tcPr>
          <w:p>
            <w:pPr>
              <w:tabs>
                <w:tab w:val="left" w:pos="1260"/>
              </w:tabs>
              <w:jc w:val="center"/>
              <w:rPr>
                <w:rFonts w:ascii="仿宋_GB2312" w:hAnsi="仿宋_GB2312" w:eastAsia="仿宋_GB2312" w:cs="Times New Roman"/>
                <w:sz w:val="24"/>
                <w:szCs w:val="24"/>
              </w:rPr>
            </w:pPr>
          </w:p>
        </w:tc>
        <w:tc>
          <w:tcPr>
            <w:tcW w:w="1144" w:type="dxa"/>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电缆</w:t>
            </w:r>
          </w:p>
        </w:tc>
        <w:tc>
          <w:tcPr>
            <w:tcW w:w="851" w:type="dxa"/>
            <w:vAlign w:val="center"/>
          </w:tcPr>
          <w:p>
            <w:pPr>
              <w:spacing w:line="280" w:lineRule="exact"/>
              <w:jc w:val="center"/>
              <w:rPr>
                <w:rFonts w:ascii="仿宋_GB2312" w:hAnsi="仿宋_GB2312" w:eastAsia="仿宋_GB2312" w:cs="仿宋_GB2312"/>
                <w:sz w:val="24"/>
                <w:szCs w:val="24"/>
              </w:rPr>
            </w:pPr>
            <w:r>
              <w:rPr>
                <w:rFonts w:ascii="仿宋_GB2312" w:hAnsi="仿宋_GB2312" w:eastAsia="仿宋_GB2312" w:cs="仿宋_GB2312"/>
                <w:sz w:val="24"/>
                <w:szCs w:val="24"/>
              </w:rPr>
              <w:t>m</w:t>
            </w:r>
          </w:p>
        </w:tc>
        <w:tc>
          <w:tcPr>
            <w:tcW w:w="111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100-500</w:t>
            </w:r>
          </w:p>
        </w:tc>
        <w:tc>
          <w:tcPr>
            <w:tcW w:w="1145" w:type="dxa"/>
            <w:vAlign w:val="center"/>
          </w:tcPr>
          <w:p>
            <w:pPr>
              <w:spacing w:line="280" w:lineRule="exact"/>
              <w:jc w:val="center"/>
              <w:rPr>
                <w:rFonts w:ascii="Times New Roman" w:hAnsi="Times New Roman" w:eastAsia="仿宋_GB2312" w:cs="Times New Roman"/>
                <w:sz w:val="24"/>
                <w:szCs w:val="24"/>
              </w:rPr>
            </w:pPr>
          </w:p>
        </w:tc>
        <w:tc>
          <w:tcPr>
            <w:tcW w:w="1145" w:type="dxa"/>
            <w:vAlign w:val="center"/>
          </w:tcPr>
          <w:p>
            <w:pPr>
              <w:spacing w:line="280" w:lineRule="exact"/>
              <w:jc w:val="center"/>
              <w:rPr>
                <w:rFonts w:ascii="Times New Roman" w:hAnsi="Times New Roman" w:eastAsia="仿宋_GB2312" w:cs="Times New Roman"/>
                <w:sz w:val="24"/>
                <w:szCs w:val="24"/>
              </w:rPr>
            </w:pPr>
          </w:p>
        </w:tc>
        <w:tc>
          <w:tcPr>
            <w:tcW w:w="1309" w:type="dxa"/>
            <w:vAlign w:val="center"/>
          </w:tcPr>
          <w:p>
            <w:pPr>
              <w:tabs>
                <w:tab w:val="left" w:pos="1260"/>
              </w:tabs>
              <w:spacing w:line="220" w:lineRule="exact"/>
              <w:jc w:val="center"/>
              <w:rPr>
                <w:rFonts w:ascii="仿宋_GB2312" w:hAnsi="仿宋_GB2312" w:eastAsia="仿宋_GB2312" w:cs="Times New Roman"/>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490" w:type="dxa"/>
            <w:vMerge w:val="continue"/>
            <w:tcBorders>
              <w:bottom w:val="single" w:color="auto" w:sz="12" w:space="0"/>
            </w:tcBorders>
            <w:vAlign w:val="center"/>
          </w:tcPr>
          <w:p>
            <w:pPr>
              <w:tabs>
                <w:tab w:val="left" w:pos="1260"/>
              </w:tabs>
              <w:jc w:val="center"/>
              <w:rPr>
                <w:rFonts w:ascii="仿宋_GB2312" w:hAnsi="仿宋_GB2312" w:eastAsia="仿宋_GB2312" w:cs="Times New Roman"/>
                <w:sz w:val="24"/>
                <w:szCs w:val="24"/>
              </w:rPr>
            </w:pPr>
          </w:p>
        </w:tc>
        <w:tc>
          <w:tcPr>
            <w:tcW w:w="1144"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普通投光灯</w:t>
            </w:r>
          </w:p>
        </w:tc>
        <w:tc>
          <w:tcPr>
            <w:tcW w:w="851" w:type="dxa"/>
            <w:tcBorders>
              <w:bottom w:val="single" w:color="auto" w:sz="12" w:space="0"/>
            </w:tcBorders>
            <w:vAlign w:val="center"/>
          </w:tcPr>
          <w:p>
            <w:pPr>
              <w:spacing w:line="280" w:lineRule="exact"/>
              <w:jc w:val="center"/>
              <w:rPr>
                <w:rFonts w:ascii="仿宋_GB2312" w:hAnsi="仿宋_GB2312" w:eastAsia="仿宋_GB2312" w:cs="Times New Roman"/>
                <w:sz w:val="24"/>
                <w:szCs w:val="24"/>
              </w:rPr>
            </w:pPr>
            <w:r>
              <w:rPr>
                <w:rFonts w:hint="eastAsia" w:ascii="仿宋_GB2312" w:hAnsi="仿宋_GB2312" w:eastAsia="仿宋_GB2312" w:cs="仿宋_GB2312"/>
                <w:sz w:val="24"/>
                <w:szCs w:val="24"/>
              </w:rPr>
              <w:t>台</w:t>
            </w:r>
          </w:p>
        </w:tc>
        <w:tc>
          <w:tcPr>
            <w:tcW w:w="111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r>
              <w:rPr>
                <w:rFonts w:ascii="Times New Roman" w:hAnsi="Times New Roman" w:eastAsia="仿宋_GB2312" w:cs="Times New Roman"/>
                <w:sz w:val="24"/>
                <w:szCs w:val="24"/>
              </w:rPr>
              <w:t>1-3</w:t>
            </w: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145" w:type="dxa"/>
            <w:tcBorders>
              <w:bottom w:val="single" w:color="auto" w:sz="12" w:space="0"/>
            </w:tcBorders>
            <w:vAlign w:val="center"/>
          </w:tcPr>
          <w:p>
            <w:pPr>
              <w:spacing w:line="280" w:lineRule="exact"/>
              <w:jc w:val="center"/>
              <w:rPr>
                <w:rFonts w:ascii="Times New Roman" w:hAnsi="Times New Roman" w:eastAsia="仿宋_GB2312" w:cs="Times New Roman"/>
                <w:sz w:val="24"/>
                <w:szCs w:val="24"/>
              </w:rPr>
            </w:pPr>
          </w:p>
        </w:tc>
        <w:tc>
          <w:tcPr>
            <w:tcW w:w="1309" w:type="dxa"/>
            <w:tcBorders>
              <w:bottom w:val="single" w:color="auto" w:sz="12" w:space="0"/>
            </w:tcBorders>
            <w:vAlign w:val="center"/>
          </w:tcPr>
          <w:p>
            <w:pPr>
              <w:tabs>
                <w:tab w:val="left" w:pos="1260"/>
              </w:tabs>
              <w:spacing w:line="220" w:lineRule="exact"/>
              <w:jc w:val="center"/>
              <w:rPr>
                <w:rFonts w:ascii="仿宋_GB2312" w:hAnsi="仿宋_GB2312" w:eastAsia="仿宋_GB2312" w:cs="Times New Roman"/>
                <w:sz w:val="18"/>
                <w:szCs w:val="18"/>
              </w:rPr>
            </w:pPr>
          </w:p>
        </w:tc>
      </w:tr>
    </w:tbl>
    <w:p>
      <w:pPr>
        <w:spacing w:line="400" w:lineRule="exact"/>
        <w:rPr>
          <w:rFonts w:ascii="Times New Roman" w:hAnsi="Times New Roman" w:cs="Times New Roman"/>
          <w:sz w:val="18"/>
          <w:szCs w:val="18"/>
        </w:rPr>
      </w:pPr>
    </w:p>
    <w:p>
      <w:pPr>
        <w:spacing w:line="560" w:lineRule="exact"/>
        <w:ind w:firstLine="640" w:firstLineChars="200"/>
        <w:rPr>
          <w:rFonts w:ascii="Times New Roman" w:hAnsi="Times New Roman" w:eastAsia="仿宋_GB2312" w:cs="Times New Roman"/>
        </w:rPr>
      </w:pPr>
      <w:r>
        <w:rPr>
          <w:rFonts w:hint="eastAsia" w:ascii="Times New Roman" w:hAnsi="Times New Roman" w:eastAsia="仿宋_GB2312" w:cs="仿宋_GB2312"/>
        </w:rPr>
        <w:t>上述品种和数量的配置标准，标准配置部分为必须配置的物资，可选配置部分由各市、县根据当地灾情、险情及灾害风险研究确定。</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587" w:bottom="1417" w:left="1587" w:header="851" w:footer="992" w:gutter="0"/>
      <w:cols w:space="0" w:num="1"/>
      <w:docGrid w:type="lines" w:linePitch="43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cs="Times New Roman"/>
      </w:rPr>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0.5pt" joinstyle="miter"/>
          <v:imagedata o:title=""/>
          <o:lock v:ext="edit"/>
          <v:textbox inset="0mm,0mm,0mm,0mm" style="mso-fit-shape-to-text:t;">
            <w:txbxContent>
              <w:p>
                <w:pPr>
                  <w:snapToGrid w:val="0"/>
                  <w:rPr>
                    <w:rFonts w:cs="Times New Roman"/>
                    <w:sz w:val="18"/>
                    <w:szCs w:val="18"/>
                  </w:rPr>
                </w:pPr>
                <w:r>
                  <w:fldChar w:fldCharType="begin"/>
                </w:r>
                <w:r>
                  <w:instrText xml:space="preserve"> PAGE  \* MERGEFORMAT </w:instrText>
                </w:r>
                <w:r>
                  <w:fldChar w:fldCharType="separate"/>
                </w:r>
                <w:r>
                  <w:rPr>
                    <w:sz w:val="18"/>
                    <w:szCs w:val="18"/>
                  </w:rPr>
                  <w:t>3</w:t>
                </w:r>
                <w:r>
                  <w:rPr>
                    <w:sz w:val="18"/>
                    <w:szCs w:val="18"/>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top w:val="none" w:color="auto" w:sz="0" w:space="0"/>
        <w:left w:val="none" w:color="auto" w:sz="0" w:space="0"/>
        <w:bottom w:val="none" w:color="auto" w:sz="0" w:space="0"/>
        <w:right w:val="none" w:color="auto" w:sz="0" w:space="0"/>
      </w:pBdr>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oNotHyphenateCaps/>
  <w:drawingGridVerticalSpacing w:val="219"/>
  <w:noPunctuationKerning w:val="1"/>
  <w:characterSpacingControl w:val="compressPunctuation"/>
  <w:noLineBreaksAfter w:lang="zh-CN" w:val="$([{£¥·‘“〈《「『【〔〖〝﹙﹛﹝＄（．［｛￡￥"/>
  <w:noLineBreaksBefore w:lang="zh-CN" w:val="!%),.:;&gt;?]}¢¨°·ˇˉ―‖’”…‰′″›℃∶、。〃〉》」』】〕〗〞︶︺︾﹀﹄﹚﹜﹞！＂％＇），．：；？］｀｜｝～￠"/>
  <w:doNotValidateAgainstSchema/>
  <w:doNotDemarcateInvalidXml/>
  <w:hdrShapeDefaults>
    <o:shapelayout v:ext="edit">
      <o:idmap v:ext="edit" data="2"/>
    </o:shapelayout>
  </w:hdrShapeDefaults>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gyNTgxNjlhMjdhMjVhYjFhMzg5OWFiZDcwNDY3NDkifQ=="/>
  </w:docVars>
  <w:rsids>
    <w:rsidRoot w:val="5FE043F7"/>
    <w:rsid w:val="000110F4"/>
    <w:rsid w:val="00015121"/>
    <w:rsid w:val="0001529C"/>
    <w:rsid w:val="00062798"/>
    <w:rsid w:val="00086C0D"/>
    <w:rsid w:val="000E4DBE"/>
    <w:rsid w:val="000F0763"/>
    <w:rsid w:val="0010619A"/>
    <w:rsid w:val="00114824"/>
    <w:rsid w:val="00141FB5"/>
    <w:rsid w:val="00146910"/>
    <w:rsid w:val="00154F6E"/>
    <w:rsid w:val="00182499"/>
    <w:rsid w:val="001835DD"/>
    <w:rsid w:val="001B5F8B"/>
    <w:rsid w:val="002135A8"/>
    <w:rsid w:val="00255959"/>
    <w:rsid w:val="002576C7"/>
    <w:rsid w:val="00285A77"/>
    <w:rsid w:val="002A53B0"/>
    <w:rsid w:val="002A678D"/>
    <w:rsid w:val="002A7656"/>
    <w:rsid w:val="002F78EA"/>
    <w:rsid w:val="00364B58"/>
    <w:rsid w:val="003746C0"/>
    <w:rsid w:val="003A5799"/>
    <w:rsid w:val="003B1297"/>
    <w:rsid w:val="003D13D0"/>
    <w:rsid w:val="004533D5"/>
    <w:rsid w:val="004567C8"/>
    <w:rsid w:val="004D378A"/>
    <w:rsid w:val="004D7A6E"/>
    <w:rsid w:val="004D7FF7"/>
    <w:rsid w:val="004E3C04"/>
    <w:rsid w:val="004E5EBC"/>
    <w:rsid w:val="004E6240"/>
    <w:rsid w:val="004F77C4"/>
    <w:rsid w:val="00555C7D"/>
    <w:rsid w:val="00593F05"/>
    <w:rsid w:val="005A7E5D"/>
    <w:rsid w:val="005C138E"/>
    <w:rsid w:val="005F6119"/>
    <w:rsid w:val="00621990"/>
    <w:rsid w:val="006839FB"/>
    <w:rsid w:val="0069073A"/>
    <w:rsid w:val="007103A6"/>
    <w:rsid w:val="007370B5"/>
    <w:rsid w:val="00773684"/>
    <w:rsid w:val="00791040"/>
    <w:rsid w:val="007A0B47"/>
    <w:rsid w:val="00800550"/>
    <w:rsid w:val="00812439"/>
    <w:rsid w:val="00844B61"/>
    <w:rsid w:val="00862B19"/>
    <w:rsid w:val="00867789"/>
    <w:rsid w:val="00896577"/>
    <w:rsid w:val="008A62EE"/>
    <w:rsid w:val="009822E5"/>
    <w:rsid w:val="009870B8"/>
    <w:rsid w:val="009A3918"/>
    <w:rsid w:val="009D08B6"/>
    <w:rsid w:val="009D12BC"/>
    <w:rsid w:val="009D6909"/>
    <w:rsid w:val="009E13D8"/>
    <w:rsid w:val="009F0D4C"/>
    <w:rsid w:val="009F6CEB"/>
    <w:rsid w:val="00A0755F"/>
    <w:rsid w:val="00A27F50"/>
    <w:rsid w:val="00A45B26"/>
    <w:rsid w:val="00A73432"/>
    <w:rsid w:val="00A77D9B"/>
    <w:rsid w:val="00A91EAA"/>
    <w:rsid w:val="00AB3055"/>
    <w:rsid w:val="00AB5305"/>
    <w:rsid w:val="00AC6425"/>
    <w:rsid w:val="00AC6DA0"/>
    <w:rsid w:val="00AF0F0D"/>
    <w:rsid w:val="00B001BB"/>
    <w:rsid w:val="00B17C37"/>
    <w:rsid w:val="00B24BC2"/>
    <w:rsid w:val="00B43E07"/>
    <w:rsid w:val="00B812F7"/>
    <w:rsid w:val="00BF0569"/>
    <w:rsid w:val="00C02D13"/>
    <w:rsid w:val="00C106E9"/>
    <w:rsid w:val="00C2583B"/>
    <w:rsid w:val="00C422FB"/>
    <w:rsid w:val="00C4244E"/>
    <w:rsid w:val="00C47F4B"/>
    <w:rsid w:val="00C64E88"/>
    <w:rsid w:val="00C7500B"/>
    <w:rsid w:val="00CD3418"/>
    <w:rsid w:val="00D44C07"/>
    <w:rsid w:val="00D634DD"/>
    <w:rsid w:val="00D83004"/>
    <w:rsid w:val="00DF2732"/>
    <w:rsid w:val="00E36016"/>
    <w:rsid w:val="00E43E87"/>
    <w:rsid w:val="00E730DF"/>
    <w:rsid w:val="00E773E3"/>
    <w:rsid w:val="00E80318"/>
    <w:rsid w:val="00EF2C9B"/>
    <w:rsid w:val="00F15C10"/>
    <w:rsid w:val="00FB2215"/>
    <w:rsid w:val="00FB7FA8"/>
    <w:rsid w:val="01EA5748"/>
    <w:rsid w:val="0200554D"/>
    <w:rsid w:val="02243376"/>
    <w:rsid w:val="028B01BC"/>
    <w:rsid w:val="033A0F23"/>
    <w:rsid w:val="03494D52"/>
    <w:rsid w:val="036A7989"/>
    <w:rsid w:val="039212CF"/>
    <w:rsid w:val="05D85A78"/>
    <w:rsid w:val="06A80859"/>
    <w:rsid w:val="076C3695"/>
    <w:rsid w:val="08695BCF"/>
    <w:rsid w:val="08B945BA"/>
    <w:rsid w:val="09456281"/>
    <w:rsid w:val="0A6A5AEB"/>
    <w:rsid w:val="0D9C2D73"/>
    <w:rsid w:val="0DC274F3"/>
    <w:rsid w:val="0ECF2D22"/>
    <w:rsid w:val="10406D8D"/>
    <w:rsid w:val="105207EF"/>
    <w:rsid w:val="117E3980"/>
    <w:rsid w:val="12F86A47"/>
    <w:rsid w:val="130121DA"/>
    <w:rsid w:val="137C35EC"/>
    <w:rsid w:val="14413E12"/>
    <w:rsid w:val="16BB62DB"/>
    <w:rsid w:val="176333EB"/>
    <w:rsid w:val="19C94116"/>
    <w:rsid w:val="1A1420DA"/>
    <w:rsid w:val="1A732433"/>
    <w:rsid w:val="1BB02A7A"/>
    <w:rsid w:val="1C8D4BFD"/>
    <w:rsid w:val="1D5060D8"/>
    <w:rsid w:val="1F1C3E80"/>
    <w:rsid w:val="1FBF1213"/>
    <w:rsid w:val="21894169"/>
    <w:rsid w:val="224F07DB"/>
    <w:rsid w:val="22AB5BEA"/>
    <w:rsid w:val="23745FBF"/>
    <w:rsid w:val="23776E5A"/>
    <w:rsid w:val="245F7A07"/>
    <w:rsid w:val="24AD7437"/>
    <w:rsid w:val="26B72AC3"/>
    <w:rsid w:val="26BD585D"/>
    <w:rsid w:val="270A419B"/>
    <w:rsid w:val="27DD1479"/>
    <w:rsid w:val="28D10362"/>
    <w:rsid w:val="28EA3DB8"/>
    <w:rsid w:val="2A024EFD"/>
    <w:rsid w:val="2B8B1247"/>
    <w:rsid w:val="2B9E4081"/>
    <w:rsid w:val="2CB1089B"/>
    <w:rsid w:val="2EFD7566"/>
    <w:rsid w:val="2F444FF3"/>
    <w:rsid w:val="2FA71F7E"/>
    <w:rsid w:val="2FBE317D"/>
    <w:rsid w:val="2FD964C7"/>
    <w:rsid w:val="30084F45"/>
    <w:rsid w:val="3036773B"/>
    <w:rsid w:val="32AD1946"/>
    <w:rsid w:val="32AD2388"/>
    <w:rsid w:val="33C55FB0"/>
    <w:rsid w:val="3619296F"/>
    <w:rsid w:val="370754ED"/>
    <w:rsid w:val="37B73DE5"/>
    <w:rsid w:val="386F0FFC"/>
    <w:rsid w:val="38BA76AF"/>
    <w:rsid w:val="39050710"/>
    <w:rsid w:val="3983283E"/>
    <w:rsid w:val="3BDC295B"/>
    <w:rsid w:val="3CD74B18"/>
    <w:rsid w:val="3DFA2DD4"/>
    <w:rsid w:val="3EEE30EA"/>
    <w:rsid w:val="3EF64E94"/>
    <w:rsid w:val="404F7A54"/>
    <w:rsid w:val="40D6072A"/>
    <w:rsid w:val="414B32EA"/>
    <w:rsid w:val="44465D28"/>
    <w:rsid w:val="44F136D2"/>
    <w:rsid w:val="454A3E3E"/>
    <w:rsid w:val="458541F2"/>
    <w:rsid w:val="46D36F19"/>
    <w:rsid w:val="473B02B2"/>
    <w:rsid w:val="4759580C"/>
    <w:rsid w:val="47D25A24"/>
    <w:rsid w:val="483704EE"/>
    <w:rsid w:val="48E53127"/>
    <w:rsid w:val="49BD6BE8"/>
    <w:rsid w:val="4A441835"/>
    <w:rsid w:val="4AC54C44"/>
    <w:rsid w:val="4B001DEC"/>
    <w:rsid w:val="4B5C0B4E"/>
    <w:rsid w:val="4B8871CC"/>
    <w:rsid w:val="4BA51AD5"/>
    <w:rsid w:val="4C3F2489"/>
    <w:rsid w:val="4DF23FBE"/>
    <w:rsid w:val="4EEC65FE"/>
    <w:rsid w:val="4F673F28"/>
    <w:rsid w:val="50162E3F"/>
    <w:rsid w:val="51E63131"/>
    <w:rsid w:val="523828C8"/>
    <w:rsid w:val="523C48FF"/>
    <w:rsid w:val="526240A3"/>
    <w:rsid w:val="526C01B6"/>
    <w:rsid w:val="53306F5D"/>
    <w:rsid w:val="547D1204"/>
    <w:rsid w:val="547D25C4"/>
    <w:rsid w:val="54B134C7"/>
    <w:rsid w:val="56542DA7"/>
    <w:rsid w:val="56AF74E2"/>
    <w:rsid w:val="58202C43"/>
    <w:rsid w:val="5822161C"/>
    <w:rsid w:val="58374237"/>
    <w:rsid w:val="5894495D"/>
    <w:rsid w:val="58C36CFB"/>
    <w:rsid w:val="59DC288B"/>
    <w:rsid w:val="5AEF4CEE"/>
    <w:rsid w:val="5C103361"/>
    <w:rsid w:val="5D3F670F"/>
    <w:rsid w:val="5D887404"/>
    <w:rsid w:val="5E587D11"/>
    <w:rsid w:val="5E7F1A2B"/>
    <w:rsid w:val="5FE043F7"/>
    <w:rsid w:val="6009478C"/>
    <w:rsid w:val="606157C4"/>
    <w:rsid w:val="61423E68"/>
    <w:rsid w:val="614D3EDA"/>
    <w:rsid w:val="61871D31"/>
    <w:rsid w:val="61BE0BA7"/>
    <w:rsid w:val="63690545"/>
    <w:rsid w:val="643D73A1"/>
    <w:rsid w:val="64D70AAF"/>
    <w:rsid w:val="66731AA2"/>
    <w:rsid w:val="674F30C9"/>
    <w:rsid w:val="67840EF9"/>
    <w:rsid w:val="680A0D85"/>
    <w:rsid w:val="68D903EC"/>
    <w:rsid w:val="68FF6E62"/>
    <w:rsid w:val="694545CE"/>
    <w:rsid w:val="69D21A77"/>
    <w:rsid w:val="6B172EBA"/>
    <w:rsid w:val="6B2A7BB9"/>
    <w:rsid w:val="6C633600"/>
    <w:rsid w:val="6ED64908"/>
    <w:rsid w:val="6F073CC0"/>
    <w:rsid w:val="6F145AFD"/>
    <w:rsid w:val="6FBE3ED1"/>
    <w:rsid w:val="706934B4"/>
    <w:rsid w:val="71A3216A"/>
    <w:rsid w:val="71B4192A"/>
    <w:rsid w:val="71B84D24"/>
    <w:rsid w:val="72AF4DF6"/>
    <w:rsid w:val="74460973"/>
    <w:rsid w:val="7469246E"/>
    <w:rsid w:val="74930017"/>
    <w:rsid w:val="754A4ED5"/>
    <w:rsid w:val="78297212"/>
    <w:rsid w:val="7A120DEB"/>
    <w:rsid w:val="7A926FA6"/>
    <w:rsid w:val="7A940102"/>
    <w:rsid w:val="7B0B6F59"/>
    <w:rsid w:val="7BC71778"/>
    <w:rsid w:val="7C1C6F28"/>
    <w:rsid w:val="7C7F1C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ocked="1"/>
    <w:lsdException w:uiPriority="99" w:name="footnote text" w:locked="1"/>
    <w:lsdException w:uiPriority="99" w:name="annotation text" w:locked="1"/>
    <w:lsdException w:qFormat="1" w:unhideWhenUsed="0" w:uiPriority="99" w:semiHidden="0" w:name="header"/>
    <w:lsdException w:unhideWhenUsed="0" w:uiPriority="99" w:semiHidden="0" w:name="footer"/>
    <w:lsdException w:uiPriority="99" w:name="index heading" w:locked="1"/>
    <w:lsdException w:qFormat="1" w:uiPriority="0" w:name="caption"/>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qFormat="1"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99" w:semiHidden="0" w:name="Strong"/>
    <w:lsdException w:qFormat="1" w:unhideWhenUsed="0" w:uiPriority="0" w:semiHidden="0" w:name="Emphasis"/>
    <w:lsdException w:uiPriority="99"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unhideWhenUsed="0" w:uiPriority="0"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32"/>
      <w:szCs w:val="3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iPriority w:val="99"/>
    <w:pPr>
      <w:tabs>
        <w:tab w:val="center" w:pos="4153"/>
        <w:tab w:val="right" w:pos="8306"/>
      </w:tabs>
      <w:snapToGrid w:val="0"/>
      <w:jc w:val="left"/>
    </w:pPr>
    <w:rPr>
      <w:sz w:val="18"/>
      <w:szCs w:val="18"/>
    </w:rPr>
  </w:style>
  <w:style w:type="paragraph" w:styleId="3">
    <w:name w:val="header"/>
    <w:basedOn w:val="1"/>
    <w:link w:val="1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szCs w:val="18"/>
    </w:rPr>
  </w:style>
  <w:style w:type="paragraph" w:styleId="4">
    <w:name w:val="Normal (Web)"/>
    <w:basedOn w:val="1"/>
    <w:qFormat/>
    <w:uiPriority w:val="99"/>
    <w:pPr>
      <w:spacing w:beforeAutospacing="1" w:afterAutospacing="1"/>
      <w:jc w:val="left"/>
    </w:pPr>
    <w:rPr>
      <w:kern w:val="0"/>
      <w:sz w:val="24"/>
      <w:szCs w:val="24"/>
    </w:rPr>
  </w:style>
  <w:style w:type="character" w:styleId="7">
    <w:name w:val="Strong"/>
    <w:qFormat/>
    <w:uiPriority w:val="99"/>
    <w:rPr>
      <w:b/>
      <w:bCs/>
    </w:rPr>
  </w:style>
  <w:style w:type="character" w:styleId="8">
    <w:name w:val="page number"/>
    <w:basedOn w:val="6"/>
    <w:qFormat/>
    <w:uiPriority w:val="99"/>
  </w:style>
  <w:style w:type="character" w:customStyle="1" w:styleId="9">
    <w:name w:val="页脚 Char"/>
    <w:link w:val="2"/>
    <w:semiHidden/>
    <w:qFormat/>
    <w:locked/>
    <w:uiPriority w:val="99"/>
    <w:rPr>
      <w:rFonts w:ascii="Calibri" w:hAnsi="Calibri" w:cs="Calibri"/>
      <w:sz w:val="18"/>
      <w:szCs w:val="18"/>
    </w:rPr>
  </w:style>
  <w:style w:type="character" w:customStyle="1" w:styleId="10">
    <w:name w:val="页眉 Char"/>
    <w:link w:val="3"/>
    <w:semiHidden/>
    <w:locked/>
    <w:uiPriority w:val="99"/>
    <w:rPr>
      <w:rFonts w:ascii="Calibri" w:hAnsi="Calibri" w:cs="Calibri"/>
      <w:sz w:val="18"/>
      <w:szCs w:val="18"/>
    </w:rPr>
  </w:style>
  <w:style w:type="character" w:customStyle="1" w:styleId="11">
    <w:name w:val="bsharetext"/>
    <w:basedOn w:val="6"/>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浙江省安全生产监督管理局</Company>
  <Pages>11</Pages>
  <Words>3292</Words>
  <Characters>4168</Characters>
  <Lines>20</Lines>
  <Paragraphs>11</Paragraphs>
  <TotalTime>44</TotalTime>
  <ScaleCrop>false</ScaleCrop>
  <LinksUpToDate>false</LinksUpToDate>
  <CharactersWithSpaces>4192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2019-11-26T02:04:00Z</dcterms:created>
  <dc:creator>林健东</dc:creator>
  <cp:lastModifiedBy>Icarus</cp:lastModifiedBy>
  <cp:lastPrinted>2020-03-04T00:14:00Z</cp:lastPrinted>
  <dcterms:modified xsi:type="dcterms:W3CDTF">2022-09-09T09:00:28Z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5FEF741A324B44188B0C195013DE4613</vt:lpwstr>
  </property>
</Properties>
</file>