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pPr w:leftFromText="180" w:rightFromText="180" w:vertAnchor="text" w:horzAnchor="page" w:tblpX="1540" w:tblpY="588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>
        <w:tc>
          <w:tcPr>
            <w:tcW w:w="4530" w:type="dxa"/>
            <w:noWrap w:val="0"/>
            <w:vAlign w:val="bottom"/>
          </w:tcPr>
          <w:p>
            <w:pPr>
              <w:snapToGrid w:val="0"/>
              <w:spacing w:line="560" w:lineRule="exact"/>
              <w:rPr>
                <w:rFonts w:hint="eastAsia" w:ascii="黑体" w:eastAsia="黑体"/>
                <w:sz w:val="32"/>
              </w:rPr>
            </w:pPr>
          </w:p>
        </w:tc>
        <w:tc>
          <w:tcPr>
            <w:tcW w:w="4530" w:type="dxa"/>
            <w:noWrap w:val="0"/>
            <w:vAlign w:val="bottom"/>
          </w:tcPr>
          <w:p>
            <w:pPr>
              <w:snapToGrid w:val="0"/>
              <w:spacing w:line="560" w:lineRule="exact"/>
              <w:jc w:val="right"/>
              <w:rPr>
                <w:rFonts w:hint="eastAsia" w:ascii="Times New Roman" w:hAnsi="Times New Roman" w:eastAsia="黑体" w:cs="Times New Roman"/>
                <w:sz w:val="32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  <w:noWrap w:val="0"/>
            <w:vAlign w:val="bottom"/>
          </w:tcPr>
          <w:p>
            <w:pPr>
              <w:snapToGrid w:val="0"/>
              <w:spacing w:line="560" w:lineRule="exact"/>
              <w:rPr>
                <w:rFonts w:hint="eastAsia" w:ascii="黑体" w:eastAsia="黑体"/>
                <w:sz w:val="32"/>
              </w:rPr>
            </w:pPr>
            <w:r>
              <w:rPr>
                <w:rFonts w:ascii="仿宋_GB2312" w:eastAsia="仿宋_GB2312"/>
                <w:color w:val="FF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64770</wp:posOffset>
                      </wp:positionH>
                      <wp:positionV relativeFrom="page">
                        <wp:posOffset>107315</wp:posOffset>
                      </wp:positionV>
                      <wp:extent cx="5665470" cy="927735"/>
                      <wp:effectExtent l="0" t="0" r="0" b="0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65470" cy="9277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 w:eastAsia="方正大标宋简体"/>
                                      <w:sz w:val="72"/>
                                      <w:szCs w:val="60"/>
                                    </w:rPr>
                                  </w:pPr>
                                  <w:r>
                                    <w:rPr>
                                      <w:rFonts w:hint="eastAsia" w:eastAsia="方正大标宋简体"/>
                                      <w:b/>
                                      <w:bCs/>
                                      <w:color w:val="FF0000"/>
                                      <w:sz w:val="72"/>
                                      <w:szCs w:val="72"/>
                                    </w:rPr>
                                    <w:t>青田县人民政府办公室文件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1pt;margin-top:8.45pt;height:73.05pt;width:446.1pt;mso-position-vertical-relative:page;z-index:251662336;mso-width-relative:page;mso-height-relative:page;" filled="f" stroked="f" coordsize="21600,21600" o:gfxdata="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CkeuQbXAAAACQEAAA8AAAAAAAAAAQAgAAAAIgAAAGRycy9kb3ducmV2LnhtbFBLAQIU&#10;ABQAAAAIAIdO4kCUZOdPuwEAAHIDAAAOAAAAAAAAAAEAIAAAACYBAABkcnMvZTJvRG9jLnhtbFBL&#10;BQYAAAAABgAGAFkBAABT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jc w:val="center"/>
                              <w:rPr>
                                <w:rFonts w:hint="eastAsia" w:eastAsia="方正大标宋简体"/>
                                <w:sz w:val="72"/>
                                <w:szCs w:val="60"/>
                              </w:rPr>
                            </w:pPr>
                            <w:r>
                              <w:rPr>
                                <w:rFonts w:hint="eastAsia" w:eastAsia="方正大标宋简体"/>
                                <w:b/>
                                <w:bCs/>
                                <w:color w:val="FF0000"/>
                                <w:sz w:val="72"/>
                                <w:szCs w:val="72"/>
                              </w:rPr>
                              <w:t>青田县人民政府办公室文件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snapToGrid w:val="0"/>
              <w:spacing w:line="560" w:lineRule="exact"/>
              <w:rPr>
                <w:rFonts w:hint="eastAsia" w:ascii="黑体" w:eastAsia="黑体"/>
                <w:sz w:val="32"/>
              </w:rPr>
            </w:pPr>
          </w:p>
        </w:tc>
        <w:tc>
          <w:tcPr>
            <w:tcW w:w="4530" w:type="dxa"/>
            <w:noWrap w:val="0"/>
            <w:vAlign w:val="bottom"/>
          </w:tcPr>
          <w:p>
            <w:pPr>
              <w:snapToGrid w:val="0"/>
              <w:spacing w:line="560" w:lineRule="exact"/>
              <w:jc w:val="right"/>
              <w:rPr>
                <w:rFonts w:ascii="黑体" w:eastAsia="黑体"/>
                <w:sz w:val="32"/>
              </w:rPr>
            </w:pPr>
          </w:p>
        </w:tc>
      </w:tr>
    </w:tbl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</w:rPr>
      </w:pPr>
    </w:p>
    <w:p>
      <w:pPr>
        <w:snapToGrid w:val="0"/>
        <w:spacing w:line="560" w:lineRule="atLeast"/>
        <w:jc w:val="both"/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 xml:space="preserve"> </w:t>
      </w:r>
    </w:p>
    <w:p>
      <w:pPr>
        <w:snapToGrid w:val="0"/>
        <w:spacing w:line="560" w:lineRule="atLeast"/>
        <w:jc w:val="center"/>
        <w:rPr>
          <w:rFonts w:hint="eastAsia" w:ascii="仿宋_GB2312" w:eastAsia="仿宋_GB2312"/>
          <w:sz w:val="32"/>
        </w:rPr>
      </w:pPr>
      <w:r>
        <w:rPr>
          <w:rFonts w:ascii="仿宋_GB2312" w:eastAsia="仿宋_GB2312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1468755</wp:posOffset>
                </wp:positionH>
                <wp:positionV relativeFrom="paragraph">
                  <wp:posOffset>60325</wp:posOffset>
                </wp:positionV>
                <wp:extent cx="2600325" cy="47117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471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仿宋_GB2312" w:eastAsia="仿宋_GB2312"/>
                                <w:sz w:val="32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32"/>
                              </w:rPr>
                              <w:t>青政办发〔202</w:t>
                            </w:r>
                            <w:r>
                              <w:rPr>
                                <w:rFonts w:hint="eastAsia" w:ascii="仿宋_GB2312" w:eastAsia="仿宋_GB2312"/>
                                <w:sz w:val="32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仿宋_GB2312" w:eastAsia="仿宋_GB2312"/>
                                <w:sz w:val="32"/>
                              </w:rPr>
                              <w:t>〕</w:t>
                            </w:r>
                            <w:r>
                              <w:rPr>
                                <w:rFonts w:hint="eastAsia" w:ascii="仿宋_GB2312" w:eastAsia="仿宋_GB2312"/>
                                <w:sz w:val="32"/>
                                <w:lang w:val="en-US" w:eastAsia="zh-CN"/>
                              </w:rPr>
                              <w:t>45</w:t>
                            </w:r>
                            <w:r>
                              <w:rPr>
                                <w:rFonts w:hint="eastAsia" w:ascii="仿宋_GB2312" w:eastAsia="仿宋_GB2312"/>
                                <w:sz w:val="32"/>
                              </w:rPr>
                              <w:t>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5.65pt;margin-top:4.75pt;height:37.1pt;width:204.75pt;z-index:251661312;mso-width-relative:page;mso-height-relative:page;" filled="f" stroked="f" coordsize="21600,21600" o:gfxdata="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LBEMzvVAAAA&#10;CAEAAA8AAAAAAAAAAQAgAAAAIgAAAGRycy9kb3ducmV2LnhtbFBLAQIUABQAAAAIAIdO4kAnHSFU&#10;rgEAAE4DAAAOAAAAAAAAAAEAIAAAACQBAABkcnMvZTJvRG9jLnhtbFBLBQYAAAAABgAGAFkBAABE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仿宋_GB2312" w:eastAsia="仿宋_GB2312"/>
                          <w:sz w:val="32"/>
                        </w:rPr>
                      </w:pPr>
                      <w:r>
                        <w:rPr>
                          <w:rFonts w:hint="eastAsia" w:ascii="仿宋_GB2312" w:eastAsia="仿宋_GB2312"/>
                          <w:sz w:val="32"/>
                        </w:rPr>
                        <w:t>青政办发〔202</w:t>
                      </w:r>
                      <w:r>
                        <w:rPr>
                          <w:rFonts w:hint="eastAsia" w:ascii="仿宋_GB2312" w:eastAsia="仿宋_GB2312"/>
                          <w:sz w:val="32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仿宋_GB2312" w:eastAsia="仿宋_GB2312"/>
                          <w:sz w:val="32"/>
                        </w:rPr>
                        <w:t>〕</w:t>
                      </w:r>
                      <w:r>
                        <w:rPr>
                          <w:rFonts w:hint="eastAsia" w:ascii="仿宋_GB2312" w:eastAsia="仿宋_GB2312"/>
                          <w:sz w:val="32"/>
                          <w:lang w:val="en-US" w:eastAsia="zh-CN"/>
                        </w:rPr>
                        <w:t>45</w:t>
                      </w:r>
                      <w:r>
                        <w:rPr>
                          <w:rFonts w:hint="eastAsia" w:ascii="仿宋_GB2312" w:eastAsia="仿宋_GB2312"/>
                          <w:sz w:val="32"/>
                        </w:rPr>
                        <w:t>号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 w:val="0"/>
        <w:spacing w:line="540" w:lineRule="exact"/>
        <w:ind w:left="0" w:left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000000"/>
          <w:kern w:val="2"/>
          <w:sz w:val="44"/>
          <w:szCs w:val="44"/>
          <w:lang w:val="en-US" w:eastAsia="zh-CN" w:bidi="ar"/>
        </w:rPr>
      </w:pPr>
      <w:r>
        <w:rPr>
          <w:rFonts w:ascii="仿宋_GB2312" w:eastAsia="仿宋_GB2312"/>
          <w:color w:val="FF0000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278130</wp:posOffset>
                </wp:positionV>
                <wp:extent cx="5579745" cy="0"/>
                <wp:effectExtent l="0" t="12700" r="1905" b="15875"/>
                <wp:wrapTopAndBottom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21.9pt;height:0pt;width:439.35pt;mso-wrap-distance-bottom:0pt;mso-wrap-distance-top:0pt;z-index:251659264;mso-width-relative:page;mso-height-relative:page;" filled="f" stroked="t" coordsize="21600,21600" o:gfxdata="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LfKNWrVAAAACAEAAA8AAAAAAAAAAQAgAAAAIgAAAGRycy9kb3ducmV2LnhtbFBL&#10;AQIUABQAAAAIAIdO4kAvNi8I+QEAAOUDAAAOAAAAAAAAAAEAIAAAACQBAABkcnMvZTJvRG9jLnht&#10;bFBLBQYAAAAABgAGAFkBAACPBQAAAAA=&#10;">
                <v:fill on="f" focussize="0,0"/>
                <v:stroke weight="2pt" color="#FF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bookmarkStart w:id="0" w:name="Body"/>
      <w:bookmarkEnd w:id="0"/>
      <w:bookmarkStart w:id="1" w:name="BodyEnd"/>
      <w:bookmarkEnd w:id="1"/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Autospacing="0" w:afterAutospacing="0" w:line="540" w:lineRule="exact"/>
        <w:ind w:left="0" w:leftChars="0" w:right="0"/>
        <w:jc w:val="center"/>
        <w:textAlignment w:val="auto"/>
        <w:rPr>
          <w:rFonts w:hint="eastAsia" w:ascii="小标宋" w:hAnsi="小标宋" w:eastAsia="小标宋" w:cs="小标宋"/>
          <w:color w:val="000000"/>
          <w:kern w:val="2"/>
          <w:sz w:val="44"/>
          <w:szCs w:val="44"/>
          <w:lang w:val="en-US" w:eastAsia="zh-CN" w:bidi="ar"/>
        </w:rPr>
      </w:pPr>
      <w:r>
        <w:rPr>
          <w:rFonts w:hint="eastAsia" w:ascii="小标宋" w:hAnsi="小标宋" w:eastAsia="小标宋" w:cs="小标宋"/>
          <w:color w:val="000000"/>
          <w:kern w:val="2"/>
          <w:sz w:val="44"/>
          <w:szCs w:val="44"/>
          <w:lang w:val="en-US" w:eastAsia="zh-CN" w:bidi="ar"/>
        </w:rPr>
        <w:t>青田县人民政府办公室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Autospacing="0" w:afterAutospacing="0" w:line="540" w:lineRule="exact"/>
        <w:ind w:left="0" w:leftChars="0" w:right="0"/>
        <w:jc w:val="center"/>
        <w:textAlignment w:val="auto"/>
        <w:rPr>
          <w:rFonts w:hint="eastAsia" w:ascii="小标宋" w:hAnsi="小标宋" w:eastAsia="小标宋" w:cs="小标宋"/>
          <w:b w:val="0"/>
          <w:bCs w:val="0"/>
          <w:spacing w:val="-11"/>
          <w:sz w:val="44"/>
          <w:szCs w:val="44"/>
          <w:lang w:val="en-US" w:eastAsia="zh-CN"/>
        </w:rPr>
      </w:pPr>
      <w:r>
        <w:rPr>
          <w:rFonts w:hint="eastAsia" w:ascii="方正小标宋简体" w:eastAsia="方正小标宋简体"/>
          <w:color w:val="000000"/>
          <w:spacing w:val="-11"/>
          <w:sz w:val="44"/>
          <w:szCs w:val="44"/>
        </w:rPr>
        <w:t>关于印发《</w:t>
      </w:r>
      <w:r>
        <w:rPr>
          <w:rFonts w:hint="eastAsia" w:ascii="方正小标宋简体" w:hAnsi="微软雅黑" w:eastAsia="方正小标宋简体"/>
          <w:color w:val="auto"/>
          <w:spacing w:val="-11"/>
          <w:sz w:val="44"/>
          <w:szCs w:val="44"/>
          <w:lang w:eastAsia="zh-CN"/>
        </w:rPr>
        <w:t>青田县</w:t>
      </w:r>
      <w:r>
        <w:rPr>
          <w:rFonts w:hint="eastAsia" w:ascii="方正小标宋简体" w:hAnsi="微软雅黑" w:eastAsia="方正小标宋简体"/>
          <w:color w:val="auto"/>
          <w:spacing w:val="-11"/>
          <w:sz w:val="44"/>
          <w:szCs w:val="44"/>
        </w:rPr>
        <w:t>粮食</w:t>
      </w:r>
      <w:r>
        <w:rPr>
          <w:rFonts w:hint="eastAsia" w:ascii="方正小标宋简体" w:hAnsi="微软雅黑" w:eastAsia="方正小标宋简体"/>
          <w:color w:val="auto"/>
          <w:spacing w:val="-11"/>
          <w:sz w:val="44"/>
          <w:szCs w:val="44"/>
          <w:lang w:eastAsia="zh-CN"/>
        </w:rPr>
        <w:t>安全</w:t>
      </w:r>
      <w:r>
        <w:rPr>
          <w:rFonts w:hint="eastAsia" w:ascii="方正小标宋简体" w:hAnsi="微软雅黑" w:eastAsia="方正小标宋简体"/>
          <w:color w:val="auto"/>
          <w:spacing w:val="-11"/>
          <w:sz w:val="44"/>
          <w:szCs w:val="44"/>
        </w:rPr>
        <w:t>应急预案</w:t>
      </w:r>
      <w:r>
        <w:rPr>
          <w:rFonts w:hint="eastAsia" w:ascii="方正小标宋简体" w:eastAsia="方正小标宋简体"/>
          <w:color w:val="000000"/>
          <w:spacing w:val="-11"/>
          <w:sz w:val="44"/>
          <w:szCs w:val="44"/>
        </w:rPr>
        <w:t>》的通知</w:t>
      </w:r>
    </w:p>
    <w:p>
      <w:pPr>
        <w:pStyle w:val="4"/>
        <w:keepNext w:val="0"/>
        <w:keepLines w:val="0"/>
        <w:pageBreakBefore w:val="0"/>
        <w:widowControl w:val="0"/>
        <w:kinsoku/>
        <w:overflowPunct/>
        <w:topLinePunct w:val="0"/>
        <w:autoSpaceDN/>
        <w:bidi w:val="0"/>
        <w:adjustRightInd/>
        <w:snapToGrid/>
        <w:spacing w:after="0" w:line="540" w:lineRule="exact"/>
        <w:jc w:val="center"/>
        <w:textAlignment w:val="auto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left="0" w:leftChars="0" w:firstLine="0" w:firstLineChars="0"/>
        <w:textAlignment w:val="auto"/>
        <w:rPr>
          <w:rFonts w:hint="default" w:ascii="仿宋_GB2312" w:hAnsi="Times New Roman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Times New Roman" w:eastAsia="仿宋_GB2312" w:cs="仿宋_GB2312"/>
          <w:kern w:val="2"/>
          <w:sz w:val="32"/>
          <w:szCs w:val="32"/>
          <w:lang w:val="en-US" w:eastAsia="zh-CN" w:bidi="ar-SA"/>
        </w:rPr>
        <w:t>各乡镇人民政府、街道办事处，县政府直属</w:t>
      </w:r>
      <w:r>
        <w:rPr>
          <w:rFonts w:hint="eastAsia" w:ascii="仿宋_GB2312" w:eastAsia="仿宋_GB2312" w:cs="仿宋_GB2312"/>
          <w:kern w:val="2"/>
          <w:sz w:val="32"/>
          <w:szCs w:val="32"/>
          <w:lang w:val="en-US" w:eastAsia="zh-CN" w:bidi="ar-SA"/>
        </w:rPr>
        <w:t>各</w:t>
      </w:r>
      <w:r>
        <w:rPr>
          <w:rFonts w:hint="default" w:ascii="仿宋_GB2312" w:hAnsi="Times New Roman" w:eastAsia="仿宋_GB2312" w:cs="仿宋_GB2312"/>
          <w:kern w:val="2"/>
          <w:sz w:val="32"/>
          <w:szCs w:val="32"/>
          <w:lang w:val="en-US" w:eastAsia="zh-CN" w:bidi="ar-SA"/>
        </w:rPr>
        <w:t>单位：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540" w:lineRule="exact"/>
        <w:ind w:firstLine="480" w:firstLineChars="150"/>
        <w:jc w:val="both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《</w:t>
      </w:r>
      <w:r>
        <w:rPr>
          <w:rFonts w:hint="eastAsia" w:ascii="仿宋_GB2312" w:eastAsia="仿宋_GB2312"/>
          <w:sz w:val="32"/>
          <w:szCs w:val="32"/>
          <w:lang w:eastAsia="zh-CN"/>
        </w:rPr>
        <w:t>青田县</w:t>
      </w:r>
      <w:r>
        <w:rPr>
          <w:rFonts w:hint="eastAsia" w:ascii="仿宋_GB2312" w:eastAsia="仿宋_GB2312"/>
          <w:sz w:val="32"/>
          <w:szCs w:val="32"/>
        </w:rPr>
        <w:t>粮食</w:t>
      </w:r>
      <w:r>
        <w:rPr>
          <w:rFonts w:hint="eastAsia" w:ascii="仿宋_GB2312" w:eastAsia="仿宋_GB2312"/>
          <w:sz w:val="32"/>
          <w:szCs w:val="32"/>
          <w:lang w:eastAsia="zh-CN"/>
        </w:rPr>
        <w:t>安全</w:t>
      </w:r>
      <w:r>
        <w:rPr>
          <w:rFonts w:hint="eastAsia" w:ascii="仿宋_GB2312" w:eastAsia="仿宋_GB2312"/>
          <w:sz w:val="32"/>
          <w:szCs w:val="32"/>
        </w:rPr>
        <w:t>应急预案》已经县政府</w:t>
      </w:r>
      <w:r>
        <w:rPr>
          <w:rFonts w:hint="eastAsia" w:ascii="仿宋_GB2312" w:eastAsia="仿宋_GB2312"/>
          <w:sz w:val="32"/>
          <w:szCs w:val="32"/>
          <w:lang w:eastAsia="zh-CN"/>
        </w:rPr>
        <w:t>研究</w:t>
      </w:r>
      <w:r>
        <w:rPr>
          <w:rFonts w:hint="eastAsia" w:ascii="仿宋_GB2312" w:eastAsia="仿宋_GB2312"/>
          <w:sz w:val="32"/>
          <w:szCs w:val="32"/>
        </w:rPr>
        <w:t>同意，现印发给你们，请认真组织实施。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left="0" w:leftChars="0" w:firstLine="640" w:firstLineChars="200"/>
        <w:textAlignment w:val="auto"/>
        <w:rPr>
          <w:rFonts w:hint="default" w:ascii="仿宋_GB2312" w:hAnsi="Times New Roman" w:eastAsia="仿宋_GB2312" w:cs="仿宋_GB2312"/>
          <w:kern w:val="2"/>
          <w:sz w:val="32"/>
          <w:szCs w:val="32"/>
          <w:lang w:val="en-US" w:eastAsia="zh-CN" w:bidi="ar-SA"/>
        </w:rPr>
      </w:pP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left="0" w:leftChars="0" w:firstLine="0" w:firstLineChars="0"/>
        <w:textAlignment w:val="auto"/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-SA"/>
        </w:rPr>
      </w:pPr>
    </w:p>
    <w:p>
      <w:pPr>
        <w:pStyle w:val="5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540" w:lineRule="exact"/>
        <w:ind w:left="0" w:leftChars="0" w:firstLine="0" w:firstLineChars="0"/>
        <w:jc w:val="right"/>
        <w:textAlignment w:val="auto"/>
        <w:rPr>
          <w:rFonts w:hint="default" w:ascii="仿宋_GB2312" w:hAnsi="Times New Roman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-SA"/>
        </w:rPr>
        <w:t>青田县人民政府办公室</w:t>
      </w:r>
      <w:r>
        <w:rPr>
          <w:rFonts w:hint="eastAsia" w:ascii="仿宋_GB2312" w:eastAsia="仿宋_GB2312" w:cs="仿宋_GB2312"/>
          <w:kern w:val="2"/>
          <w:sz w:val="32"/>
          <w:szCs w:val="32"/>
          <w:lang w:val="en-US" w:eastAsia="zh-CN" w:bidi="ar-SA"/>
        </w:rPr>
        <w:t xml:space="preserve">       </w:t>
      </w:r>
    </w:p>
    <w:p>
      <w:pPr>
        <w:pStyle w:val="5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540" w:lineRule="exact"/>
        <w:ind w:left="0" w:leftChars="0" w:firstLine="0" w:firstLineChars="0"/>
        <w:jc w:val="right"/>
        <w:textAlignment w:val="auto"/>
        <w:rPr>
          <w:rFonts w:hint="eastAsia"/>
          <w:lang w:val="en-US" w:eastAsia="zh-CN"/>
        </w:rPr>
      </w:pPr>
      <w:r>
        <w:rPr>
          <w:rFonts w:hint="eastAsia" w:ascii="仿宋_GB2312" w:eastAsia="仿宋_GB2312" w:cs="仿宋_GB2312"/>
          <w:kern w:val="2"/>
          <w:sz w:val="32"/>
          <w:szCs w:val="32"/>
          <w:lang w:val="en-US" w:eastAsia="zh-CN" w:bidi="ar-SA"/>
        </w:rPr>
        <w:t xml:space="preserve">2023年12月29日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40" w:lineRule="exact"/>
        <w:ind w:left="0" w:leftChars="0" w:right="0" w:rightChars="0" w:firstLine="640" w:firstLineChars="200"/>
        <w:textAlignment w:val="auto"/>
        <w:rPr>
          <w:rFonts w:hint="eastAsia" w:ascii="仿宋_GB2312" w:hAnsi="宋体" w:eastAsia="仿宋_GB2312" w:cs="宋体"/>
          <w:color w:val="000000"/>
          <w:kern w:val="0"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40" w:lineRule="exact"/>
        <w:ind w:left="0" w:leftChars="0" w:right="0" w:rightChars="0" w:firstLine="640" w:firstLineChars="200"/>
        <w:textAlignment w:val="auto"/>
        <w:rPr>
          <w:rFonts w:hint="eastAsia" w:ascii="仿宋_GB2312" w:hAnsi="宋体" w:eastAsia="仿宋_GB2312" w:cs="宋体"/>
          <w:color w:val="000000"/>
          <w:kern w:val="0"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40" w:lineRule="exact"/>
        <w:ind w:left="0" w:leftChars="0" w:right="0" w:rightChars="0" w:firstLine="640" w:firstLineChars="200"/>
        <w:textAlignment w:val="auto"/>
        <w:rPr>
          <w:rFonts w:ascii="仿宋_GB2312" w:hAnsi="宋体" w:eastAsia="仿宋_GB2312" w:cs="宋体"/>
          <w:color w:val="000000"/>
          <w:kern w:val="0"/>
          <w:sz w:val="32"/>
        </w:rPr>
      </w:pPr>
      <w:r>
        <w:rPr>
          <w:rFonts w:hint="eastAsia" w:ascii="仿宋_GB2312" w:hAnsi="宋体" w:eastAsia="仿宋_GB2312" w:cs="宋体"/>
          <w:color w:val="000000"/>
          <w:kern w:val="0"/>
          <w:sz w:val="32"/>
        </w:rPr>
        <w:t>（此件公开发布）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N/>
        <w:bidi w:val="0"/>
        <w:adjustRightInd/>
        <w:spacing w:line="540" w:lineRule="exact"/>
        <w:textAlignment w:val="auto"/>
        <w:rPr>
          <w:rFonts w:hint="eastAsia"/>
          <w:lang w:val="en-US" w:eastAsia="zh-CN"/>
        </w:rPr>
        <w:sectPr>
          <w:footerReference r:id="rId3" w:type="default"/>
          <w:pgSz w:w="11906" w:h="16838"/>
          <w:pgMar w:top="1440" w:right="1797" w:bottom="1440" w:left="1797" w:header="851" w:footer="992" w:gutter="0"/>
          <w:cols w:space="0" w:num="1"/>
          <w:rtlGutter w:val="0"/>
          <w:docGrid w:type="lines" w:linePitch="312" w:charSpace="0"/>
        </w:sectPr>
      </w:pPr>
    </w:p>
    <w:p>
      <w:pPr>
        <w:pStyle w:val="9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jc w:val="center"/>
        <w:textAlignment w:val="auto"/>
        <w:rPr>
          <w:rFonts w:ascii="方正小标宋简体" w:hAnsi="微软雅黑" w:eastAsia="方正小标宋简体"/>
          <w:color w:val="auto"/>
          <w:sz w:val="44"/>
          <w:szCs w:val="44"/>
        </w:rPr>
      </w:pPr>
      <w:r>
        <w:rPr>
          <w:rFonts w:hint="eastAsia" w:ascii="方正小标宋简体" w:hAnsi="微软雅黑" w:eastAsia="方正小标宋简体"/>
          <w:color w:val="auto"/>
          <w:sz w:val="44"/>
          <w:szCs w:val="44"/>
          <w:lang w:eastAsia="zh-CN"/>
        </w:rPr>
        <w:t>青田县</w:t>
      </w:r>
      <w:r>
        <w:rPr>
          <w:rFonts w:hint="eastAsia" w:ascii="方正小标宋简体" w:hAnsi="微软雅黑" w:eastAsia="方正小标宋简体"/>
          <w:color w:val="auto"/>
          <w:sz w:val="44"/>
          <w:szCs w:val="44"/>
        </w:rPr>
        <w:t>粮食</w:t>
      </w:r>
      <w:r>
        <w:rPr>
          <w:rFonts w:hint="eastAsia" w:ascii="方正小标宋简体" w:hAnsi="微软雅黑" w:eastAsia="方正小标宋简体"/>
          <w:color w:val="auto"/>
          <w:sz w:val="44"/>
          <w:szCs w:val="44"/>
          <w:lang w:eastAsia="zh-CN"/>
        </w:rPr>
        <w:t>安全</w:t>
      </w:r>
      <w:r>
        <w:rPr>
          <w:rFonts w:hint="eastAsia" w:ascii="方正小标宋简体" w:hAnsi="微软雅黑" w:eastAsia="方正小标宋简体"/>
          <w:color w:val="auto"/>
          <w:sz w:val="44"/>
          <w:szCs w:val="44"/>
        </w:rPr>
        <w:t>应急预案</w:t>
      </w:r>
    </w:p>
    <w:p>
      <w:pPr>
        <w:pStyle w:val="9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jc w:val="center"/>
        <w:textAlignment w:val="auto"/>
        <w:rPr>
          <w:rFonts w:hint="eastAsia" w:ascii="黑体" w:hAnsi="黑体" w:eastAsia="黑体"/>
          <w:color w:val="auto"/>
          <w:sz w:val="32"/>
          <w:szCs w:val="32"/>
        </w:rPr>
      </w:pPr>
      <w:r>
        <w:rPr>
          <w:rFonts w:hint="eastAsia" w:ascii="黑体" w:hAnsi="黑体" w:eastAsia="黑体"/>
          <w:color w:val="auto"/>
          <w:sz w:val="32"/>
          <w:szCs w:val="32"/>
        </w:rPr>
        <w:t>目 录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jc w:val="center"/>
        <w:textAlignment w:val="auto"/>
        <w:rPr>
          <w:rFonts w:hint="eastAsia" w:ascii="黑体" w:hAnsi="黑体" w:eastAsia="黑体"/>
          <w:color w:val="auto"/>
          <w:sz w:val="32"/>
          <w:szCs w:val="32"/>
        </w:rPr>
      </w:pP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textAlignment w:val="auto"/>
        <w:rPr>
          <w:rFonts w:hint="eastAsia" w:ascii="黑体" w:hAnsi="黑体" w:eastAsia="黑体" w:cs="黑体"/>
          <w:b w:val="0"/>
          <w:bCs/>
          <w:color w:val="auto"/>
          <w:sz w:val="32"/>
          <w:szCs w:val="32"/>
        </w:rPr>
      </w:pPr>
      <w:r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</w:rPr>
        <w:t xml:space="preserve">1 </w:t>
      </w: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</w:rPr>
        <w:t>总 则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1.1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 xml:space="preserve"> 编制目的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1.2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 xml:space="preserve"> 编制依据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1.3 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适用范围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1.4 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工作原则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textAlignment w:val="auto"/>
        <w:rPr>
          <w:rFonts w:hint="eastAsia" w:ascii="黑体" w:hAnsi="黑体" w:eastAsia="黑体" w:cs="黑体"/>
          <w:b w:val="0"/>
          <w:bCs/>
          <w:color w:val="auto"/>
          <w:sz w:val="32"/>
          <w:szCs w:val="32"/>
        </w:rPr>
      </w:pPr>
      <w:r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</w:rPr>
        <w:t>2</w:t>
      </w: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</w:rPr>
        <w:t xml:space="preserve"> 组织体系及职责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2.1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 xml:space="preserve"> </w:t>
      </w:r>
      <w:r>
        <w:rPr>
          <w:rFonts w:hint="eastAsia" w:ascii="微软雅黑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粮食应急工作指挥部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textAlignment w:val="auto"/>
        <w:rPr>
          <w:rFonts w:hint="eastAsia" w:ascii="黑体" w:hAnsi="黑体" w:eastAsia="黑体" w:cs="黑体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</w:rPr>
        <w:t>3</w:t>
      </w: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</w:rPr>
        <w:t xml:space="preserve"> </w:t>
      </w: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  <w:lang w:val="en-US" w:eastAsia="zh-CN"/>
        </w:rPr>
        <w:t>分级应对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3.1 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粮食应急状态等级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3.2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县级一般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u w:val="none"/>
        </w:rPr>
        <w:t>（</w:t>
      </w:r>
      <w:r>
        <w:rPr>
          <w:rFonts w:hint="default" w:ascii="Times New Roman" w:hAnsi="Times New Roman" w:eastAsia="仿宋_GB2312" w:cs="Times New Roman"/>
          <w:b w:val="0"/>
          <w:bCs/>
          <w:color w:val="auto"/>
          <w:sz w:val="32"/>
          <w:szCs w:val="32"/>
          <w:u w:val="none"/>
        </w:rPr>
        <w:t>Ⅳ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u w:val="none"/>
        </w:rPr>
        <w:t>级）粮食应急状态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textAlignment w:val="auto"/>
        <w:rPr>
          <w:rFonts w:hint="eastAsia" w:ascii="黑体" w:hAnsi="黑体" w:eastAsia="黑体" w:cs="黑体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  <w:lang w:val="en-US" w:eastAsia="zh-CN"/>
        </w:rPr>
        <w:t>4</w:t>
      </w: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</w:rPr>
        <w:t xml:space="preserve"> </w:t>
      </w: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  <w:lang w:val="en-US" w:eastAsia="zh-CN"/>
        </w:rPr>
        <w:t>应急准备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  <w:t>4.1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>粮食储备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 xml:space="preserve">4.2 </w:t>
      </w: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>粮食应急保障体系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textAlignment w:val="auto"/>
        <w:rPr>
          <w:rFonts w:hint="eastAsia" w:ascii="黑体" w:hAnsi="黑体" w:eastAsia="黑体" w:cs="黑体"/>
          <w:b w:val="0"/>
          <w:bCs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  <w:lang w:val="en-US" w:eastAsia="zh-CN"/>
        </w:rPr>
        <w:t>5</w:t>
      </w: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</w:rPr>
        <w:t xml:space="preserve"> 监测</w:t>
      </w: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  <w:lang w:eastAsia="zh-CN"/>
        </w:rPr>
        <w:t>预警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.1 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市场监测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.2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 xml:space="preserve"> 信息报告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textAlignment w:val="auto"/>
        <w:rPr>
          <w:rFonts w:hint="eastAsia" w:ascii="黑体" w:hAnsi="黑体" w:eastAsia="黑体" w:cs="黑体"/>
          <w:b w:val="0"/>
          <w:bCs/>
          <w:color w:val="auto"/>
          <w:sz w:val="32"/>
          <w:szCs w:val="32"/>
        </w:rPr>
      </w:pPr>
      <w:r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  <w:lang w:val="en-US" w:eastAsia="zh-CN"/>
        </w:rPr>
        <w:t>6</w:t>
      </w: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</w:rPr>
        <w:t xml:space="preserve"> 应急响应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6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.1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 xml:space="preserve"> 响应程序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6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.2 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县级（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Ⅳ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级）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应急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响应措施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default" w:ascii="仿宋_GB2312" w:hAnsi="微软雅黑" w:eastAsia="仿宋_GB2312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6.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3</w:t>
      </w: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应急终止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textAlignment w:val="auto"/>
        <w:rPr>
          <w:rFonts w:hint="eastAsia" w:ascii="黑体" w:hAnsi="黑体" w:eastAsia="黑体" w:cs="黑体"/>
          <w:b w:val="0"/>
          <w:bCs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  <w:lang w:val="en-US" w:eastAsia="zh-CN"/>
        </w:rPr>
        <w:t>7</w:t>
      </w: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</w:rPr>
        <w:t xml:space="preserve"> 后期处</w:t>
      </w: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  <w:lang w:eastAsia="zh-CN"/>
        </w:rPr>
        <w:t>置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7.1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 xml:space="preserve"> </w:t>
      </w:r>
      <w:r>
        <w:rPr>
          <w:rFonts w:hint="eastAsia" w:ascii="微软雅黑" w:hAnsi="微软雅黑" w:eastAsia="仿宋_GB2312"/>
          <w:color w:val="auto"/>
          <w:sz w:val="32"/>
          <w:szCs w:val="32"/>
          <w:lang w:eastAsia="zh-CN"/>
        </w:rPr>
        <w:t>评估和改进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7.2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 xml:space="preserve"> </w:t>
      </w:r>
      <w:r>
        <w:rPr>
          <w:rFonts w:hint="eastAsia" w:ascii="微软雅黑" w:hAnsi="微软雅黑" w:eastAsia="仿宋_GB2312"/>
          <w:color w:val="auto"/>
          <w:sz w:val="32"/>
          <w:szCs w:val="32"/>
          <w:lang w:eastAsia="zh-CN"/>
        </w:rPr>
        <w:t>应急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经费和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清算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7.3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 xml:space="preserve"> </w:t>
      </w:r>
      <w:r>
        <w:rPr>
          <w:rFonts w:hint="eastAsia" w:ascii="微软雅黑" w:hAnsi="微软雅黑" w:eastAsia="仿宋_GB2312"/>
          <w:color w:val="auto"/>
          <w:sz w:val="32"/>
          <w:szCs w:val="32"/>
          <w:lang w:eastAsia="zh-CN"/>
        </w:rPr>
        <w:t>应急能力恢复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7.4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 xml:space="preserve"> 奖励和责任追究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textAlignment w:val="auto"/>
        <w:rPr>
          <w:rFonts w:hint="eastAsia" w:ascii="黑体" w:hAnsi="黑体" w:eastAsia="黑体" w:cs="黑体"/>
          <w:b w:val="0"/>
          <w:bCs/>
          <w:color w:val="auto"/>
          <w:sz w:val="32"/>
          <w:szCs w:val="32"/>
        </w:rPr>
      </w:pPr>
      <w:r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  <w:lang w:val="en-US" w:eastAsia="zh-CN"/>
        </w:rPr>
        <w:t>8</w:t>
      </w: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</w:rPr>
        <w:t xml:space="preserve"> 保障措施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8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.1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 xml:space="preserve"> </w:t>
      </w: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>资金和人员保障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8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.2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 xml:space="preserve"> </w:t>
      </w: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>数字化保障</w:t>
      </w:r>
    </w:p>
    <w:p>
      <w:pPr>
        <w:pStyle w:val="9"/>
        <w:keepNext w:val="0"/>
        <w:keepLines w:val="0"/>
        <w:pageBreakBefore w:val="0"/>
        <w:shd w:val="clear" w:color="auto" w:fill="FFFFFF"/>
        <w:tabs>
          <w:tab w:val="left" w:pos="52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8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.3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 xml:space="preserve"> </w:t>
      </w: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>应急设施保障</w:t>
      </w: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ab/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8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.4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 xml:space="preserve"> 通信保障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textAlignment w:val="auto"/>
        <w:rPr>
          <w:rFonts w:ascii="楷体_GB2312" w:hAnsi="微软雅黑" w:eastAsia="楷体_GB2312"/>
          <w:b/>
          <w:color w:val="auto"/>
          <w:sz w:val="32"/>
          <w:szCs w:val="32"/>
        </w:rPr>
      </w:pPr>
      <w:r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  <w:lang w:val="en-US" w:eastAsia="zh-CN"/>
        </w:rPr>
        <w:t>9</w:t>
      </w:r>
      <w:r>
        <w:rPr>
          <w:rFonts w:hint="eastAsia" w:ascii="楷体_GB2312" w:hAnsi="微软雅黑" w:eastAsia="楷体_GB2312"/>
          <w:b/>
          <w:color w:val="auto"/>
          <w:sz w:val="32"/>
          <w:szCs w:val="32"/>
        </w:rPr>
        <w:t xml:space="preserve"> </w:t>
      </w: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</w:rPr>
        <w:t>附 则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9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.1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 xml:space="preserve"> 管理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与更新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9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.2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 xml:space="preserve"> 预案实施时间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ascii="黑体" w:hAnsi="黑体" w:eastAsia="黑体"/>
          <w:b/>
          <w:color w:val="auto"/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textAlignment w:val="auto"/>
        <w:rPr>
          <w:rFonts w:hint="eastAsia" w:ascii="黑体" w:hAnsi="黑体" w:eastAsia="黑体"/>
          <w:b/>
          <w:color w:val="auto"/>
          <w:sz w:val="32"/>
          <w:szCs w:val="32"/>
        </w:rPr>
      </w:pPr>
      <w:r>
        <w:rPr>
          <w:rFonts w:ascii="黑体" w:hAnsi="黑体" w:eastAsia="黑体"/>
          <w:b/>
          <w:color w:val="auto"/>
          <w:sz w:val="32"/>
          <w:szCs w:val="32"/>
        </w:rPr>
        <w:br w:type="page"/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黑体" w:hAnsi="黑体" w:eastAsia="黑体"/>
          <w:b w:val="0"/>
          <w:bCs/>
          <w:color w:val="auto"/>
          <w:sz w:val="32"/>
          <w:szCs w:val="32"/>
        </w:rPr>
      </w:pPr>
      <w:r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</w:rPr>
        <w:t>1</w:t>
      </w:r>
      <w:r>
        <w:rPr>
          <w:rFonts w:hint="eastAsia" w:ascii="黑体" w:hAnsi="黑体" w:eastAsia="黑体"/>
          <w:b w:val="0"/>
          <w:bCs/>
          <w:color w:val="auto"/>
          <w:sz w:val="32"/>
          <w:szCs w:val="32"/>
        </w:rPr>
        <w:t xml:space="preserve"> </w:t>
      </w:r>
      <w:r>
        <w:rPr>
          <w:rFonts w:hint="eastAsia" w:ascii="黑体" w:hAnsi="黑体" w:eastAsia="黑体"/>
          <w:b w:val="0"/>
          <w:bCs/>
          <w:color w:val="auto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/>
          <w:b w:val="0"/>
          <w:bCs/>
          <w:color w:val="auto"/>
          <w:sz w:val="32"/>
          <w:szCs w:val="32"/>
        </w:rPr>
        <w:t>总则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楷体_GB2312" w:hAnsi="微软雅黑" w:eastAsia="楷体_GB2312"/>
          <w:b w:val="0"/>
          <w:bCs/>
          <w:color w:val="auto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</w:rPr>
        <w:t>1.1</w:t>
      </w:r>
      <w:r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</w:rPr>
        <w:t xml:space="preserve"> 编制目的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有效监测、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及时应对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和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妥善处置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青田县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内粮食市场异常波动，确保粮食市场供应，保持粮食市场价格基本稳定，维护市场秩序和社会安定。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楷体_GB2312" w:hAnsi="微软雅黑" w:eastAsia="楷体_GB2312"/>
          <w:b w:val="0"/>
          <w:bCs/>
          <w:color w:val="auto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</w:rPr>
        <w:t>1.2</w:t>
      </w:r>
      <w:r>
        <w:rPr>
          <w:rFonts w:hint="eastAsia" w:ascii="楷体_GB2312" w:hAnsi="微软雅黑" w:eastAsia="楷体_GB2312"/>
          <w:b/>
          <w:color w:val="auto"/>
          <w:sz w:val="32"/>
          <w:szCs w:val="32"/>
        </w:rPr>
        <w:t xml:space="preserve"> </w:t>
      </w:r>
      <w:r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</w:rPr>
        <w:t>编制依据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依据《中华人民共和国突发事件应对法》《中华人民共和国价格法》《粮食流通管理条例》《国家粮食应急预案》，以及《浙江省突发公共事件总体应急预案》《浙江省粮食安全保障条例》《浙江省地方储备粮管理办法》《浙江省粮食应急预案》《丽水市突发公共事件总体应急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案》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《</w:t>
      </w:r>
      <w:r>
        <w:rPr>
          <w:rFonts w:hint="eastAsia" w:ascii="仿宋_GB2312" w:hAnsi="仿宋_GB2312" w:eastAsia="仿宋_GB2312" w:cs="仿宋_GB2312"/>
          <w:sz w:val="32"/>
          <w:szCs w:val="32"/>
        </w:rPr>
        <w:t>丽水市粮食安全应急预案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》</w:t>
      </w:r>
      <w:r>
        <w:rPr>
          <w:rFonts w:hint="eastAsia" w:ascii="仿宋_GB2312" w:hAnsi="仿宋_GB2312" w:eastAsia="仿宋_GB2312" w:cs="仿宋_GB2312"/>
          <w:i w:val="0"/>
          <w:caps w:val="0"/>
          <w:color w:val="171A1D"/>
          <w:spacing w:val="0"/>
          <w:sz w:val="32"/>
          <w:szCs w:val="32"/>
          <w:shd w:val="clear" w:fill="FFFFFF"/>
        </w:rPr>
        <w:t>《青田县突发公共事件总体应急预案》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法律法规及相关规定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，制定本预案。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楷体_GB2312" w:hAnsi="微软雅黑" w:eastAsia="楷体_GB2312"/>
          <w:b w:val="0"/>
          <w:bCs/>
          <w:color w:val="auto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</w:rPr>
        <w:t>1.3</w:t>
      </w:r>
      <w:r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</w:rPr>
        <w:t xml:space="preserve"> 适用范围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本预案所称粮食应急状态，是指因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自然灾害、事故灾难、公共卫生事件、社会安全事件等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突发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公共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事件或其他原因引起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内粮食市场供求异常波动，在一定地域范围内出现群众大量集中抢购、粮食脱销断档、价格大幅度上涨等粮食市场急剧或异常波动的状况。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hint="eastAsia" w:ascii="楷体_GB2312" w:hAnsi="微软雅黑" w:eastAsia="楷体_GB2312"/>
          <w:b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本预案适用于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青田县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区域内出现粮食应急状态下，对原粮及成品粮油采购、调拨、加工、运输、供应、配送和进出口等方面的应对工作。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楷体_GB2312" w:hAnsi="微软雅黑" w:eastAsia="楷体_GB2312"/>
          <w:b w:val="0"/>
          <w:bCs/>
          <w:color w:val="auto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</w:rPr>
        <w:t xml:space="preserve">1.4 </w:t>
      </w:r>
      <w:r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</w:rPr>
        <w:t>工作原则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b w:val="0"/>
          <w:bCs/>
          <w:color w:val="auto"/>
          <w:sz w:val="32"/>
          <w:szCs w:val="32"/>
        </w:rPr>
        <w:t xml:space="preserve">1.4.1 </w:t>
      </w:r>
      <w:r>
        <w:rPr>
          <w:rFonts w:hint="eastAsia" w:ascii="仿宋_GB2312" w:hAnsi="微软雅黑" w:eastAsia="仿宋_GB2312"/>
          <w:b w:val="0"/>
          <w:bCs/>
          <w:color w:val="auto"/>
          <w:sz w:val="32"/>
          <w:szCs w:val="32"/>
        </w:rPr>
        <w:t>统一领导、分级负责。</w:t>
      </w:r>
      <w:r>
        <w:rPr>
          <w:rFonts w:hint="eastAsia" w:ascii="仿宋_GB2312" w:hAnsi="微软雅黑" w:eastAsia="仿宋_GB2312"/>
          <w:b w:val="0"/>
          <w:color w:val="auto"/>
          <w:sz w:val="32"/>
          <w:szCs w:val="32"/>
        </w:rPr>
        <w:t>切实落实粮食安全党政同责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，在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政府统一领导下，对不同等级的粮食应急工作，实行分级负责、属地管理。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乡镇人民政府（街道办事处）和县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级有关职能部门协调行动，局部服从整体，一般工作服从应急工作。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b w:val="0"/>
          <w:bCs/>
          <w:color w:val="auto"/>
          <w:sz w:val="32"/>
          <w:szCs w:val="32"/>
        </w:rPr>
        <w:t xml:space="preserve">1.4.2 </w:t>
      </w:r>
      <w:r>
        <w:rPr>
          <w:rFonts w:hint="eastAsia" w:ascii="仿宋_GB2312" w:hAnsi="微软雅黑" w:eastAsia="仿宋_GB2312"/>
          <w:b w:val="0"/>
          <w:bCs/>
          <w:color w:val="auto"/>
          <w:sz w:val="32"/>
          <w:szCs w:val="32"/>
        </w:rPr>
        <w:t>科学监测、预防为主。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提高防范突发事件的意识，加强对粮食市场的跟踪监测，出现前兆及时预报预警，提前做好应急准备，防患于未然。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b w:val="0"/>
          <w:bCs/>
          <w:color w:val="auto"/>
          <w:sz w:val="32"/>
          <w:szCs w:val="32"/>
        </w:rPr>
        <w:t xml:space="preserve">1.4.3 </w:t>
      </w:r>
      <w:r>
        <w:rPr>
          <w:rFonts w:hint="eastAsia" w:ascii="仿宋_GB2312" w:hAnsi="微软雅黑" w:eastAsia="仿宋_GB2312"/>
          <w:b w:val="0"/>
          <w:bCs/>
          <w:color w:val="auto"/>
          <w:sz w:val="32"/>
          <w:szCs w:val="32"/>
        </w:rPr>
        <w:t>快速反应、处理果断。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出现粮食应急状态及时报告情况，并迅速采取先期处置措施，确保应急处置快速果断，取得实效。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黑体" w:hAnsi="黑体" w:eastAsia="黑体"/>
          <w:b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b w:val="0"/>
          <w:bCs/>
          <w:color w:val="auto"/>
          <w:sz w:val="32"/>
          <w:szCs w:val="32"/>
        </w:rPr>
        <w:t>1.4.4</w:t>
      </w:r>
      <w:r>
        <w:rPr>
          <w:rFonts w:hint="eastAsia" w:ascii="仿宋_GB2312" w:hAnsi="微软雅黑" w:eastAsia="仿宋_GB2312"/>
          <w:b w:val="0"/>
          <w:bCs/>
          <w:color w:val="auto"/>
          <w:sz w:val="32"/>
          <w:szCs w:val="32"/>
        </w:rPr>
        <w:t xml:space="preserve"> 适时干预、重点保供。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经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政府批准，可实施强制性干预措施，包括限定粮食价格，实行限量、定点、记录等临时性供应，依法对粮食市场进行临时性特别管制，强制性控制社会粮源和涉粮设施。全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粮食应急供应重点保障对象为城镇居民口粮（含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学校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等大型集伙单位）、驻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青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部队和灾区缺粮群众。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黑体" w:hAnsi="黑体" w:eastAsia="黑体"/>
          <w:b w:val="0"/>
          <w:bCs/>
          <w:color w:val="auto"/>
          <w:sz w:val="32"/>
          <w:szCs w:val="32"/>
        </w:rPr>
      </w:pPr>
      <w:r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</w:rPr>
        <w:t>2</w:t>
      </w:r>
      <w:r>
        <w:rPr>
          <w:rFonts w:hint="eastAsia" w:ascii="黑体" w:hAnsi="黑体" w:eastAsia="黑体"/>
          <w:b w:val="0"/>
          <w:bCs/>
          <w:color w:val="auto"/>
          <w:sz w:val="32"/>
          <w:szCs w:val="32"/>
        </w:rPr>
        <w:t xml:space="preserve"> </w:t>
      </w:r>
      <w:r>
        <w:rPr>
          <w:rFonts w:hint="eastAsia" w:ascii="黑体" w:hAnsi="黑体" w:eastAsia="黑体"/>
          <w:b w:val="0"/>
          <w:bCs/>
          <w:color w:val="auto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/>
          <w:b w:val="0"/>
          <w:bCs/>
          <w:color w:val="auto"/>
          <w:sz w:val="32"/>
          <w:szCs w:val="32"/>
        </w:rPr>
        <w:t>组织体系及职责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楷体_GB2312" w:hAnsi="微软雅黑" w:eastAsia="楷体_GB2312"/>
          <w:b w:val="0"/>
          <w:bCs/>
          <w:color w:val="auto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</w:rPr>
        <w:t>2.1</w:t>
      </w:r>
      <w:r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</w:rPr>
        <w:t xml:space="preserve"> </w:t>
      </w:r>
      <w:r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  <w:lang w:eastAsia="zh-CN"/>
        </w:rPr>
        <w:t>县</w:t>
      </w:r>
      <w:r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</w:rPr>
        <w:t>粮食应急工作指挥部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2.1.1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 xml:space="preserve"> 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发改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局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（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县粮食物资局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）牵头会同相关部门加强监测预警，并负责及时向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政府提出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级响应建议。当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政府宣布进入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级粮食应急状态后，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政府成立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粮食应急工作指挥部，由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政府分管副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长担任指挥长，</w:t>
      </w:r>
      <w:r>
        <w:rPr>
          <w:rFonts w:hint="eastAsia" w:ascii="仿宋_GB2312" w:hAnsi="微软雅黑" w:eastAsia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县</w:t>
      </w:r>
      <w:r>
        <w:rPr>
          <w:rFonts w:hint="eastAsia" w:ascii="仿宋_GB2312" w:hAnsi="微软雅黑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发改</w:t>
      </w:r>
      <w:r>
        <w:rPr>
          <w:rFonts w:hint="eastAsia" w:ascii="仿宋_GB2312" w:hAnsi="微软雅黑" w:eastAsia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局</w:t>
      </w:r>
      <w:r>
        <w:rPr>
          <w:rFonts w:hint="eastAsia" w:ascii="仿宋_GB2312" w:hAnsi="微软雅黑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仿宋_GB2312" w:hAnsi="微软雅黑" w:eastAsia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县粮食物资局</w:t>
      </w:r>
      <w:r>
        <w:rPr>
          <w:rFonts w:hint="eastAsia" w:ascii="仿宋_GB2312" w:hAnsi="微软雅黑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仿宋_GB2312" w:hAnsi="微软雅黑" w:eastAsia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局长</w:t>
      </w:r>
      <w:r>
        <w:rPr>
          <w:rFonts w:hint="eastAsia" w:ascii="仿宋_GB2312" w:hAnsi="微软雅黑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担任副指挥长，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指挥部成员由</w:t>
      </w: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委宣传部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（网信办）</w:t>
      </w:r>
      <w:r>
        <w:rPr>
          <w:rFonts w:hint="eastAsia" w:ascii="仿宋_GB2312" w:hAnsi="微软雅黑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发改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局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（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县粮食物资局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）、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公安局、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县经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商局、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民政局、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财政局、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交通运输局、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农业农村局、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应急管理局、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市场监督管理局、国家统计局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青田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调查队、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中国农业发展银行丽水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市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分行、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国网浙江青田县供电有限公司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、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青田县火车站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、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青田县粮食收储有限公司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等部门和单位负责同志组成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指导协调全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粮食应急处置工作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指挥部主要职责是：</w:t>
      </w:r>
    </w:p>
    <w:p>
      <w:pPr>
        <w:pStyle w:val="9"/>
        <w:keepNext w:val="0"/>
        <w:keepLines w:val="0"/>
        <w:pageBreakBefore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  <w:u w:val="none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（</w:t>
      </w: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>1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）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根据粮食市场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形势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，启动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或终止应急预案。</w:t>
      </w:r>
    </w:p>
    <w:p>
      <w:pPr>
        <w:pStyle w:val="9"/>
        <w:keepNext w:val="0"/>
        <w:keepLines w:val="0"/>
        <w:pageBreakBefore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（</w:t>
      </w: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>2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）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负责全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粮食应急重大事项的决策，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对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有关部门开展粮食应急工作进行督查和指导。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（</w:t>
      </w: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>3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）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及时向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政府、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市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粮食应急工作指挥部及有关部门报告（通报）事态发展变化情况，并根据需要向驻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青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部队和武警部队通报有关情况。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（4）确定新闻发言人，统一宣传口径，及时、真实、准确、有效、主动地向社会公布信息，满足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群众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知情权，确保社会稳定。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（5）完成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市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粮食应急工作指挥部、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政府交办的其他粮食应急工作任务。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b w:val="0"/>
          <w:bCs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b w:val="0"/>
          <w:bCs/>
          <w:color w:val="auto"/>
          <w:sz w:val="32"/>
          <w:szCs w:val="32"/>
        </w:rPr>
        <w:t>指挥长职责：负责</w:t>
      </w:r>
      <w:r>
        <w:rPr>
          <w:rFonts w:hint="eastAsia" w:ascii="仿宋_GB2312" w:hAnsi="微软雅黑" w:eastAsia="仿宋_GB2312"/>
          <w:b w:val="0"/>
          <w:bCs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b w:val="0"/>
          <w:bCs/>
          <w:color w:val="auto"/>
          <w:sz w:val="32"/>
          <w:szCs w:val="32"/>
        </w:rPr>
        <w:t>粮食应急工作指挥部全面工作。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b w:val="0"/>
          <w:bCs/>
          <w:color w:val="auto"/>
          <w:sz w:val="32"/>
          <w:szCs w:val="32"/>
        </w:rPr>
        <w:t>副指挥长职责</w:t>
      </w:r>
      <w:r>
        <w:rPr>
          <w:rFonts w:hint="eastAsia" w:ascii="仿宋_GB2312" w:hAnsi="微软雅黑" w:eastAsia="仿宋_GB2312"/>
          <w:b/>
          <w:color w:val="auto"/>
          <w:sz w:val="32"/>
          <w:szCs w:val="32"/>
        </w:rPr>
        <w:t>：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协助指挥长开展工作，负责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粮食应急工作指挥部日常工作，下达指令，签署应急方案，协调各部门的工作衔接。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2.1.2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 xml:space="preserve"> 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粮食应急工作指挥部办公室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指挥部办公室设在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发改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局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（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县粮食物资局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），办公室主任由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发改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局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（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县粮食物资局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）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局长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兼任，办公室成员由</w:t>
      </w: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委宣传部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（网信办）</w:t>
      </w:r>
      <w:r>
        <w:rPr>
          <w:rFonts w:hint="eastAsia" w:ascii="仿宋_GB2312" w:hAnsi="微软雅黑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发改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局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（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县粮食物资局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）、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财政局、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交通运输局、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农业农村局、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市场监督管理局、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县经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商局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、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中国农业发展银行丽水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市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分行、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国网浙江青田县供电有限公司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相关人员组成。指挥部办公室主要职责是：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（1）监测和掌握全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粮食市场动态，根据应急状态下粮食市场情况，向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粮食应急工作指挥部提出相应的行动建议。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（2）根据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粮食应急工作指挥部指示，联系指挥部成员单位和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县级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有关部门开展应急工作。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（3）综合有关应急状态的信息，起草相关文件和简报，承办相关会议。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（4）协助有关部门核定实施本预案应急行动的经费，提出对实施预案单位和个人的奖惩意见。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（5）完成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粮食应急工作指挥部交办的其他工作。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2.1.3 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粮食应急工作指挥部成员单位及职责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发改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局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（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县粮食物资局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）</w:t>
      </w:r>
      <w:r>
        <w:rPr>
          <w:rFonts w:hint="eastAsia" w:ascii="仿宋_GB2312" w:hAnsi="微软雅黑" w:eastAsia="仿宋_GB2312"/>
          <w:b/>
          <w:color w:val="auto"/>
          <w:sz w:val="32"/>
          <w:szCs w:val="32"/>
        </w:rPr>
        <w:t>：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负责粮食应急日常工作，做好粮食市场调控和供需形势分析，向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政府提出预警建议直至提出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级响应建议；负责应急粮食的采购、加工、调运和销售供应，会同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财政局提出动用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级储备粮的建议，申报动用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市级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、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省级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储备粮的建议；依法做好粮食收购、储存、运输环节粮食质量安全和原粮卫生的监督管理；负责粮食市场价格的监测，向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政府提出采取价格调控和干预措施的建议；负责组织跨地区电力调度协调，保证粮食加工和调运的优先需要；做好网络舆情应对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；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组织协调应急粮食的供应工作，组织粮食应急演练和培训，做好粮食应急供应网点、应急加工企业、应急配送企业、应急储运企业等的日常管理工作。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委宣传部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（网信办）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：会同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发改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局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（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县粮食物资局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）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制定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粮食应急新闻发布</w:t>
      </w:r>
      <w:r>
        <w:rPr>
          <w:rFonts w:hint="default" w:ascii="仿宋_GB2312" w:hAnsi="微软雅黑" w:eastAsia="仿宋_GB2312"/>
          <w:color w:val="auto"/>
          <w:sz w:val="32"/>
          <w:szCs w:val="32"/>
          <w:u w:val="none"/>
        </w:rPr>
        <w:t>和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网络舆情处置预案，组织协调新闻单位发布相关新闻</w:t>
      </w:r>
      <w:r>
        <w:rPr>
          <w:rFonts w:hint="default" w:ascii="仿宋_GB2312" w:hAnsi="微软雅黑" w:eastAsia="仿宋_GB2312"/>
          <w:color w:val="auto"/>
          <w:sz w:val="32"/>
          <w:szCs w:val="32"/>
          <w:u w:val="none"/>
        </w:rPr>
        <w:t>，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加强互联网信息管理和监督，正确引导舆论。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  <w:t>财政局：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shd w:val="clear" w:color="auto" w:fill="FFFFFF"/>
        </w:rPr>
        <w:t>负责保障实施本预案所需经费，并及时足额拨付到位，配合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shd w:val="clear" w:color="auto" w:fill="FFFFFF"/>
          <w:lang w:eastAsia="zh-CN"/>
        </w:rPr>
        <w:t>县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shd w:val="clear" w:color="auto" w:fill="FFFFFF"/>
        </w:rPr>
        <w:t>发改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shd w:val="clear" w:color="auto" w:fill="FFFFFF"/>
          <w:lang w:eastAsia="zh-CN"/>
        </w:rPr>
        <w:t>局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shd w:val="clear" w:color="auto" w:fill="FFFFFF"/>
        </w:rPr>
        <w:t>提出动用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shd w:val="clear" w:color="auto" w:fill="FFFFFF"/>
          <w:lang w:eastAsia="zh-CN"/>
        </w:rPr>
        <w:t>县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shd w:val="clear" w:color="auto" w:fill="FFFFFF"/>
        </w:rPr>
        <w:t>级储备粮的建议。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  <w:t>公安局：负责维护粮食供应场所的治安秩序，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lang w:eastAsia="zh-CN"/>
        </w:rPr>
        <w:t>保障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  <w:t>道路交通运输的畅通，配合有关部门及时打击扰乱市场秩序的犯</w:t>
      </w:r>
      <w:r>
        <w:rPr>
          <w:rFonts w:hint="eastAsia" w:ascii="仿宋_GB2312" w:hAnsi="仿宋_GB2312" w:eastAsia="仿宋_GB2312" w:cs="仿宋_GB2312"/>
          <w:sz w:val="32"/>
          <w:szCs w:val="32"/>
        </w:rPr>
        <w:t>罪活动；提供户籍人口数据，配合做好应急供应时供应对象身份识别工作。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县</w:t>
      </w:r>
      <w:r>
        <w:rPr>
          <w:rFonts w:hint="eastAsia" w:ascii="仿宋_GB2312" w:hAnsi="仿宋_GB2312" w:eastAsia="仿宋_GB2312" w:cs="仿宋_GB2312"/>
          <w:sz w:val="32"/>
          <w:szCs w:val="32"/>
        </w:rPr>
        <w:t>应急管理局：负责及时通报灾情，组织受灾群众基本生活救助工作。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县</w:t>
      </w:r>
      <w:r>
        <w:rPr>
          <w:rFonts w:hint="eastAsia" w:ascii="仿宋_GB2312" w:hAnsi="仿宋_GB2312" w:eastAsia="仿宋_GB2312" w:cs="仿宋_GB2312"/>
          <w:sz w:val="32"/>
          <w:szCs w:val="32"/>
        </w:rPr>
        <w:t>交通运输局：负责保障辖区内应急粮食运力落实及运输通畅。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县</w:t>
      </w:r>
      <w:r>
        <w:rPr>
          <w:rFonts w:hint="eastAsia" w:ascii="仿宋_GB2312" w:hAnsi="仿宋_GB2312" w:eastAsia="仿宋_GB2312" w:cs="仿宋_GB2312"/>
          <w:sz w:val="32"/>
          <w:szCs w:val="32"/>
        </w:rPr>
        <w:t>农业农村局：负责根据粮食生产及市场供应情况，采取有力措施增加粮食产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出</w:t>
      </w:r>
      <w:r>
        <w:rPr>
          <w:rFonts w:hint="eastAsia" w:ascii="仿宋_GB2312" w:hAnsi="仿宋_GB2312" w:eastAsia="仿宋_GB2312" w:cs="仿宋_GB2312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不断巩固粮食生产能力，逐步提高稻麦有效供给。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  <w:shd w:val="clear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县</w:t>
      </w:r>
      <w:r>
        <w:rPr>
          <w:rFonts w:hint="eastAsia" w:ascii="仿宋_GB2312" w:hAnsi="仿宋_GB2312" w:eastAsia="仿宋_GB2312" w:cs="仿宋_GB2312"/>
          <w:sz w:val="32"/>
          <w:szCs w:val="32"/>
        </w:rPr>
        <w:t>市场监督管理局：负责对粮食加工环节进行监管，严肃查处粮食加工过程中掺假掺杂等违法行为；负责对粮食加工和销售环节中的质量安全进行监管；负责维护粮食市场秩序，依法查处无食品经营许可证、无照经营</w:t>
      </w:r>
      <w:r>
        <w:rPr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  <w:shd w:val="clear"/>
        </w:rPr>
        <w:t>等违法行为。负责加强对粮食市场价格监督检查，依法查处价格违法行为。</w:t>
      </w:r>
      <w:r>
        <w:rPr>
          <w:rFonts w:hint="eastAsia" w:ascii="仿宋_GB2312" w:hAnsi="仿宋_GB2312" w:eastAsia="仿宋_GB2312" w:cs="仿宋_GB2312"/>
          <w:b w:val="0"/>
          <w:bCs/>
          <w:i w:val="0"/>
          <w:caps w:val="0"/>
          <w:color w:val="auto"/>
          <w:spacing w:val="0"/>
          <w:sz w:val="32"/>
          <w:szCs w:val="32"/>
          <w:shd w:val="clear"/>
          <w:lang w:val="en-US" w:eastAsia="zh-CN"/>
        </w:rPr>
        <w:t xml:space="preserve">    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lang w:eastAsia="zh-CN"/>
        </w:rPr>
        <w:t>县经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  <w:t>商局：会同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  <w:t>发改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lang w:eastAsia="zh-CN"/>
        </w:rPr>
        <w:t>局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（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县粮食物资局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）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  <w:t>做好粮食市场保供稳价和应急供应工作，监测分析商场、超市粮食市场运行和供求状况，监测预警价格信息和信息引导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  <w:t>负责组织协调商场、超市的粮油供应工作，及时补足经营场所和柜台货架的粮食。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  <w:t>民政局：负责应急状态启动后困难群众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lang w:eastAsia="zh-CN"/>
        </w:rPr>
        <w:t>的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  <w:t>基本生活救助。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  <w:t>国家统计局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lang w:eastAsia="zh-CN"/>
        </w:rPr>
        <w:t>青田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  <w:t>调查队：负责与粮食应急处置相关的粮食生产和消费的统计及监测。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国网浙江青田县供电有限公司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  <w:t>：负责应急加工企业粮食应急处置电力保障。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  <w:t>中国农业发展银行丽水市分行：负责落实采购、加工、调拨、供应应急粮食所需贷款。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微软雅黑" w:eastAsia="仿宋_GB2312"/>
          <w:b w:val="0"/>
          <w:bCs/>
          <w:color w:val="auto"/>
          <w:sz w:val="32"/>
          <w:szCs w:val="32"/>
          <w:u w:val="none"/>
          <w:lang w:val="en-US" w:eastAsia="zh-CN"/>
        </w:rPr>
        <w:t>青田县粮食收储</w:t>
      </w:r>
      <w:r>
        <w:rPr>
          <w:rFonts w:hint="eastAsia" w:ascii="仿宋_GB2312" w:hAnsi="微软雅黑" w:eastAsia="仿宋_GB2312"/>
          <w:b w:val="0"/>
          <w:bCs/>
          <w:color w:val="auto"/>
          <w:sz w:val="32"/>
          <w:szCs w:val="32"/>
          <w:u w:val="none"/>
        </w:rPr>
        <w:t>有限公司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  <w:t>：经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lang w:eastAsia="zh-CN"/>
        </w:rPr>
        <w:t>县政府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  <w:t>批准后，执行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lang w:eastAsia="zh-CN"/>
        </w:rPr>
        <w:t>青田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县</w:t>
      </w:r>
      <w:r>
        <w:rPr>
          <w:rFonts w:hint="eastAsia" w:ascii="仿宋_GB2312" w:hAnsi="仿宋_GB2312" w:eastAsia="仿宋_GB2312" w:cs="仿宋_GB2312"/>
          <w:sz w:val="32"/>
          <w:szCs w:val="32"/>
        </w:rPr>
        <w:t>储备粮的动用计划。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青田县火车站：</w:t>
      </w:r>
      <w:r>
        <w:rPr>
          <w:rFonts w:hint="eastAsia" w:ascii="仿宋_GB2312" w:hAnsi="仿宋_GB2312" w:eastAsia="仿宋_GB2312" w:cs="仿宋_GB2312"/>
          <w:sz w:val="32"/>
          <w:szCs w:val="32"/>
        </w:rPr>
        <w:t>落实粮食应急铁路运输工作。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成员单位按照本预案明确的职责和指挥部交办的其他任务，制定相应的工作方案。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黑体" w:hAnsi="黑体" w:eastAsia="黑体"/>
          <w:b w:val="0"/>
          <w:bCs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</w:rPr>
        <w:t>3</w:t>
      </w:r>
      <w:r>
        <w:rPr>
          <w:rFonts w:hint="eastAsia" w:ascii="黑体" w:hAnsi="黑体" w:eastAsia="黑体"/>
          <w:b w:val="0"/>
          <w:bCs/>
          <w:color w:val="auto"/>
          <w:sz w:val="32"/>
          <w:szCs w:val="32"/>
          <w:lang w:val="en-US" w:eastAsia="zh-CN"/>
        </w:rPr>
        <w:t xml:space="preserve">  </w:t>
      </w:r>
      <w:r>
        <w:rPr>
          <w:rFonts w:hint="eastAsia" w:ascii="黑体" w:hAnsi="黑体" w:eastAsia="黑体"/>
          <w:b w:val="0"/>
          <w:bCs/>
          <w:color w:val="auto"/>
          <w:sz w:val="32"/>
          <w:szCs w:val="32"/>
          <w:lang w:eastAsia="zh-CN"/>
        </w:rPr>
        <w:t>分级应对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  <w:u w:val="none"/>
        </w:rPr>
      </w:pP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  <w:u w:val="none"/>
        </w:rPr>
        <w:t>3.1</w:t>
      </w:r>
      <w:r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  <w:u w:val="none"/>
        </w:rPr>
        <w:t xml:space="preserve"> 粮食应急状态等级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  <w:u w:val="none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lang w:eastAsia="zh-CN"/>
        </w:rPr>
        <w:t>依据粮食生产、市场状况和应急处置需要，粮食应急状态分为特别重大、重大、较大、一般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lang w:eastAsia="zh-CN"/>
        </w:rPr>
        <w:t>个等级。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本预案规定：全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粮食应急状态为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一般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（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u w:val="none"/>
        </w:rPr>
        <w:t>Ⅳ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级）。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hint="eastAsia" w:ascii="黑体" w:hAnsi="黑体" w:eastAsia="黑体"/>
          <w:b w:val="0"/>
          <w:bCs/>
          <w:color w:val="auto"/>
          <w:sz w:val="32"/>
          <w:szCs w:val="32"/>
          <w:lang w:eastAsia="zh-CN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国家级、省级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、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市级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粮食应急状态（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u w:val="none"/>
        </w:rPr>
        <w:t>Ⅰ、Ⅱ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u w:val="none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u w:val="none"/>
        </w:rPr>
        <w:t>Ⅲ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级）按国家、省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、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市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粮食应急预案规定执行。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楷体_GB2312" w:hAnsi="微软雅黑" w:eastAsia="楷体_GB2312"/>
          <w:b w:val="0"/>
          <w:bCs/>
          <w:color w:val="auto"/>
          <w:sz w:val="32"/>
          <w:szCs w:val="32"/>
          <w:u w:val="none"/>
        </w:rPr>
      </w:pP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  <w:u w:val="none"/>
        </w:rPr>
        <w:t>3.2</w:t>
      </w:r>
      <w:r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  <w:u w:val="none"/>
        </w:rPr>
        <w:t xml:space="preserve"> 县级</w:t>
      </w:r>
      <w:r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  <w:u w:val="none"/>
          <w:lang w:eastAsia="zh-CN"/>
        </w:rPr>
        <w:t>一般</w:t>
      </w:r>
      <w:r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  <w:u w:val="none"/>
        </w:rPr>
        <w:t>（</w:t>
      </w: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  <w:u w:val="none"/>
        </w:rPr>
        <w:t>Ⅳ</w:t>
      </w:r>
      <w:r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  <w:u w:val="none"/>
        </w:rPr>
        <w:t>级）粮食应急状态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ascii="仿宋_GB2312" w:hAnsi="微软雅黑" w:eastAsia="仿宋_GB2312"/>
          <w:color w:val="auto"/>
          <w:sz w:val="32"/>
          <w:szCs w:val="32"/>
          <w:u w:val="none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发生严重自然灾害、传染性疫情等突发事件，引发粮食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市场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异常波动，县辖区内较大范围或主城区出现粮食应急状态，以及县政府认为需要按照粮食应急状态进行处置的情况。当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丽水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市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进入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市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级（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u w:val="none"/>
        </w:rPr>
        <w:t>Ⅲ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级）粮食应急状态时，我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启动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级粮食应急预案。视事态发展程度，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级（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u w:val="none"/>
        </w:rPr>
        <w:t>Ⅳ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级）应急状态依次分为紧张、紧急、特急三种状态：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ascii="仿宋_GB2312" w:hAnsi="微软雅黑" w:eastAsia="仿宋_GB2312"/>
          <w:color w:val="auto"/>
          <w:sz w:val="32"/>
          <w:szCs w:val="32"/>
          <w:u w:val="none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（1）紧张状态：粮价一周内持续上涨幅度超过30%，周边县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（市、区）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出现区域性粮食抢购、涨价现象，且持续时间超过3天；或者3个及以上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乡镇（街道）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出现粮食抢购、涨价现象，持续时间超过3天，群众出现恐慌情绪。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ascii="仿宋_GB2312" w:hAnsi="微软雅黑" w:eastAsia="仿宋_GB2312"/>
          <w:color w:val="auto"/>
          <w:sz w:val="32"/>
          <w:szCs w:val="32"/>
          <w:u w:val="none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（2）紧急状态：紧张状态持续10天以上；或者粮价一周内持续上涨幅度超过50%，全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出现较大范围粮食抢购现象，并已相继出现粮食供应紧张，个别地区出现粮食脱销，群众情绪比较恐慌。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ascii="仿宋_GB2312" w:hAnsi="微软雅黑" w:eastAsia="仿宋_GB2312"/>
          <w:color w:val="auto"/>
          <w:sz w:val="32"/>
          <w:szCs w:val="32"/>
          <w:u w:val="none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（3）特急状态：紧急状态持续15天以上；或者粮价一周内持续上涨幅度超过100%，全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出现全面抢购现象，粮食供应十分紧张，3个及以上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乡镇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（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街道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）出现粮食脱销并持续3天以上，群众情绪极度恐慌。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黑体" w:hAnsi="黑体" w:eastAsia="黑体"/>
          <w:b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级粮食应急三种状态，由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发改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局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（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县粮食物资局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）根据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市场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监测情况提出，由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政府确认并责成采取相关措施。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黑体" w:hAnsi="黑体" w:eastAsia="黑体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  <w:lang w:val="en-US" w:eastAsia="zh-CN"/>
        </w:rPr>
        <w:t>4</w:t>
      </w:r>
      <w:r>
        <w:rPr>
          <w:rFonts w:hint="eastAsia" w:ascii="黑体" w:hAnsi="黑体" w:eastAsia="黑体"/>
          <w:b w:val="0"/>
          <w:bCs/>
          <w:color w:val="auto"/>
          <w:sz w:val="32"/>
          <w:szCs w:val="32"/>
          <w:lang w:val="en-US" w:eastAsia="zh-CN"/>
        </w:rPr>
        <w:t xml:space="preserve">  应急准备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  <w:lang w:val="en-US" w:eastAsia="zh-CN"/>
        </w:rPr>
        <w:t xml:space="preserve">4.1 </w:t>
      </w:r>
      <w:r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  <w:lang w:val="en-US" w:eastAsia="zh-CN"/>
        </w:rPr>
        <w:t xml:space="preserve"> 粮食储备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>按照《粮食流通管理条例》《浙江省粮食安全保障条例》《浙江省实施&lt;粮食流通管理条例&gt;办法》《浙江省地方储备粮管理办法》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《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丽水市粮食安全应急预案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》</w:t>
      </w: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>等要求，完善县级粮食储备制度，保持必要的储备粮规模和经营者周转库存，增强对粮食市场异常波动的防范意识、应急准备和应对能力。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4.1.1</w:t>
      </w: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 xml:space="preserve">  应对粮食应急状态，进一步优化县级储备粮的布局和品种结构。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4.1.2</w:t>
      </w: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 xml:space="preserve">  县政府必须按照省、市政府下达的粮食储备规模要求，落实储备计划，并根据市场供求状况及应对粮食应急状态需要，优化储备布局和品种结构，认真落实成品粮储备，确保掌握必要的应急调控资源。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4.1.3</w:t>
      </w: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 xml:space="preserve"> 从事粮食收购、加工、销售的规模以上经营者，按照《粮食流通管理条例》要求，执行特定情况下的粮食库存量。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县级粮食主管部门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会同有关部门</w:t>
      </w: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>加强对粮食经营者库存情况的监督检查。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  <w:lang w:val="en-US" w:eastAsia="zh-CN"/>
        </w:rPr>
        <w:t>4.2</w:t>
      </w:r>
      <w:r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  <w:lang w:val="en-US" w:eastAsia="zh-CN"/>
        </w:rPr>
        <w:t xml:space="preserve"> 粮食应急保障体系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根据国家、省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、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市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、县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有关要求，按照“合理布点、全面覆盖、平时自营、急时应急”的原则，加强粮食应急加工、配送、供应和储运等应急网络设施的布局及建设，确保发生自然灾害等突发事件时，应急网络体系相互衔接、协调运转，有效发挥应急保障作用。进入国家级、省级、市级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、县级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粮食应急状态后，有关应急粮源的加工、运输及供应，在国家、省、市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、县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粮食应急工作指挥部的统一指挥协调下，主要由县政府及有关部门通过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粮食应急网络组织实施。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4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.2.1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 xml:space="preserve"> 建立健全粮食应急加工网络。根据粮食应急加工需要，县粮食主管部门应选择靠近粮源及重点销售地区、交通便利、设施较好的大中型粮油加工企业，作为应急加工指定企业，承担应急粮食加工任务，确保应急加工能力与应急供应需求相适应。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级储备粮应急加工指定企业，由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发改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局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（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县粮食物资局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）根据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级储备粮布局及供应需要，在县级应急加工企业中选择确定。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4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.2.2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 xml:space="preserve"> 完善粮食应急供应网点。充分利用和整合现有资源，以现有粮食应急供应点、军粮供应站、成品粮批发市场、放心粮油示范店、粮油平价店为重点，兼顾社区市场、超市、粮油经营店等其他粮食零售网点，由县级粮食主管部门择优选定，委托其承担应急粮食供应任务。每个街道和乡镇至少设立1个粮食应急供应点，每超过5万人的乡镇和街道增设1个应急供应点。确定的应急供应指定企业，同时作为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级储备粮应急供应指定企业。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4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.2.3 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提高粮食应急配送能力。以现有成品粮油批发市场、粮食物流中心、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粮食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配送企业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、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青田县粮食收储有限公司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、军粮供应站、应急加工企业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等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为依托，通过成品粮油储备、仓储设施、运输设备、信息支撑等配套支持，提高粮食应急配送能力。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4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.2.4 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落实粮食应急储运网络。根据粮食储备、加工设施、配送、供应网点布局，合理规划确定运输路线、运输工具及中转储存地等应急粮食运输通道。进入粮食应急状态后，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政府及有关部门要优先安排运力计划，确保应急粮食运输需要。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辖区范围内的应急粮食运输，由县政府负责组织落实运力（包括驻地军警运力），并负责建立应急供应粮食运输无障碍免费通道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4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.2.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5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 xml:space="preserve"> 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明确粮食应急保障企业的权利和义务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。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粮食主管部门应当与应急指定加工、配送和供应企业签订书面协议，明确双方的权利、责任和义务，并随时掌握这些企业运行状况，视情况实行动态调整。应急加工、配送和供应企业</w:t>
      </w:r>
      <w:r>
        <w:rPr>
          <w:rFonts w:hint="eastAsia" w:ascii="仿宋_GB2312" w:hAnsi="仿宋_GB2312" w:eastAsia="仿宋_GB2312" w:cs="仿宋_GB2312"/>
          <w:sz w:val="32"/>
          <w:szCs w:val="32"/>
        </w:rPr>
        <w:t>名单，需报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县</w:t>
      </w:r>
      <w:r>
        <w:rPr>
          <w:rFonts w:hint="eastAsia" w:ascii="仿宋_GB2312" w:hAnsi="仿宋_GB2312" w:eastAsia="仿宋_GB2312" w:cs="仿宋_GB2312"/>
          <w:sz w:val="32"/>
          <w:szCs w:val="32"/>
        </w:rPr>
        <w:t>发改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局</w:t>
      </w:r>
      <w:r>
        <w:rPr>
          <w:rFonts w:hint="eastAsia" w:ascii="仿宋_GB2312" w:hAnsi="仿宋_GB2312" w:eastAsia="仿宋_GB2312" w:cs="仿宋_GB2312"/>
          <w:sz w:val="32"/>
          <w:szCs w:val="32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县粮食物资局</w:t>
      </w:r>
      <w:r>
        <w:rPr>
          <w:rFonts w:hint="eastAsia" w:ascii="仿宋_GB2312" w:hAnsi="仿宋_GB2312" w:eastAsia="仿宋_GB2312" w:cs="仿宋_GB2312"/>
          <w:sz w:val="32"/>
          <w:szCs w:val="32"/>
        </w:rPr>
        <w:t>）备案。应急预案启动后，指定的应急加工、配送和供应企业要服从统一安排和调度，切实做好应急粮食加工、配送和供应工作。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default" w:ascii="Times New Roman" w:hAnsi="Times New Roman" w:eastAsia="楷体_GB2312" w:cs="Times New Roman"/>
          <w:sz w:val="32"/>
          <w:szCs w:val="32"/>
          <w:lang w:val="en-US" w:eastAsia="zh-CN"/>
        </w:rPr>
        <w:t>4</w:t>
      </w:r>
      <w:r>
        <w:rPr>
          <w:rFonts w:hint="default" w:ascii="Times New Roman" w:hAnsi="Times New Roman" w:eastAsia="楷体_GB2312" w:cs="Times New Roman"/>
          <w:sz w:val="32"/>
          <w:szCs w:val="32"/>
        </w:rPr>
        <w:t>.2.</w:t>
      </w:r>
      <w:r>
        <w:rPr>
          <w:rFonts w:hint="default" w:ascii="Times New Roman" w:hAnsi="Times New Roman" w:eastAsia="楷体_GB2312" w:cs="Times New Roman"/>
          <w:sz w:val="32"/>
          <w:szCs w:val="32"/>
          <w:lang w:val="en-US" w:eastAsia="zh-CN"/>
        </w:rPr>
        <w:t>6</w:t>
      </w:r>
      <w:r>
        <w:rPr>
          <w:rFonts w:hint="default" w:ascii="Times New Roman" w:hAnsi="Times New Roman" w:eastAsia="楷体_GB2312" w:cs="Times New Roman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一般情况下，调入方采购或按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县</w:t>
      </w:r>
      <w:r>
        <w:rPr>
          <w:rFonts w:hint="eastAsia" w:ascii="仿宋_GB2312" w:hAnsi="仿宋_GB2312" w:eastAsia="仿宋_GB2312" w:cs="仿宋_GB2312"/>
          <w:sz w:val="32"/>
          <w:szCs w:val="32"/>
        </w:rPr>
        <w:t>粮食应急工作指挥部办公室下达计划调入的粮源，由调入方与调出方按照保质保量、快速高效的原则，自行协助和衔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接落实各环节和网点设施。必要时，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粮食应急工作指挥部办公室将直接指定安排加工、配送、供应和仓储中转网点，确保应急粮食及时供应到位。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default" w:ascii="黑体" w:hAnsi="黑体" w:eastAsia="黑体"/>
          <w:b/>
          <w:color w:val="auto"/>
          <w:sz w:val="32"/>
          <w:szCs w:val="32"/>
          <w:lang w:val="en-US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4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.2.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7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 xml:space="preserve"> 巩固和完善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外粮食购销合作关系。县政府要积极发展与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外粮食主产区长期稳定的购销合作关系，不断巩固和完善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外产销区对口衔接机制，建立利益补偿机制，确保在正常及应急情况下的粮源有效供给。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黑体" w:hAnsi="黑体" w:eastAsia="黑体"/>
          <w:b w:val="0"/>
          <w:bCs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  <w:lang w:val="en-US" w:eastAsia="zh-CN"/>
        </w:rPr>
        <w:t>5</w:t>
      </w:r>
      <w:r>
        <w:rPr>
          <w:rFonts w:hint="eastAsia" w:ascii="黑体" w:hAnsi="黑体" w:eastAsia="黑体"/>
          <w:b w:val="0"/>
          <w:bCs/>
          <w:color w:val="auto"/>
          <w:sz w:val="32"/>
          <w:szCs w:val="32"/>
        </w:rPr>
        <w:t xml:space="preserve"> </w:t>
      </w:r>
      <w:r>
        <w:rPr>
          <w:rFonts w:hint="eastAsia" w:ascii="黑体" w:hAnsi="黑体" w:eastAsia="黑体"/>
          <w:b w:val="0"/>
          <w:bCs/>
          <w:color w:val="auto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/>
          <w:b w:val="0"/>
          <w:bCs/>
          <w:color w:val="auto"/>
          <w:sz w:val="32"/>
          <w:szCs w:val="32"/>
        </w:rPr>
        <w:t>监测</w:t>
      </w:r>
      <w:r>
        <w:rPr>
          <w:rFonts w:hint="eastAsia" w:ascii="黑体" w:hAnsi="黑体" w:eastAsia="黑体"/>
          <w:b w:val="0"/>
          <w:bCs/>
          <w:color w:val="auto"/>
          <w:sz w:val="32"/>
          <w:szCs w:val="32"/>
          <w:lang w:eastAsia="zh-CN"/>
        </w:rPr>
        <w:t>预警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楷体_GB2312" w:hAnsi="微软雅黑" w:eastAsia="楷体_GB2312"/>
          <w:b w:val="0"/>
          <w:bCs/>
          <w:color w:val="auto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</w:rPr>
        <w:t>.1</w:t>
      </w:r>
      <w:r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</w:rPr>
        <w:t xml:space="preserve"> 市场监测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发改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局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（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县粮食物资局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）会同有关部门建立全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粮食市场监测预警系统，包括市场供求与价格监测、市场动态分析、库存分析等，做好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内外有关信息的采集、整理、分析和预测，加强对国内外粮食市场供求形势的监测和预警分析，随时掌握粮食市场供求和价格变化情况，出现异常情况及时发出预警信号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；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加强对本地区内主要粮食品种的生产、需求、库存、价格、质量等粮食市场动态的实时监测分析，并按照市级有关部门要求及时报送市场监测情况，特别要加强对重大自然灾害和其他突发事件的跟踪监测，出现紧急情况随</w:t>
      </w:r>
      <w:r>
        <w:rPr>
          <w:rFonts w:hint="eastAsia" w:ascii="仿宋_GB2312" w:hAnsi="仿宋_GB2312" w:eastAsia="仿宋_GB2312" w:cs="仿宋_GB2312"/>
          <w:sz w:val="32"/>
          <w:szCs w:val="32"/>
        </w:rPr>
        <w:t>时报告。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sz w:val="32"/>
          <w:szCs w:val="32"/>
        </w:rPr>
        <w:t>.2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</w:t>
      </w:r>
      <w:r>
        <w:rPr>
          <w:rFonts w:hint="eastAsia" w:ascii="楷体_GB2312" w:hAnsi="楷体_GB2312" w:eastAsia="楷体_GB2312" w:cs="楷体_GB2312"/>
          <w:sz w:val="32"/>
          <w:szCs w:val="32"/>
        </w:rPr>
        <w:t>信息报告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县</w:t>
      </w:r>
      <w:r>
        <w:rPr>
          <w:rFonts w:hint="eastAsia" w:ascii="仿宋_GB2312" w:hAnsi="仿宋_GB2312" w:eastAsia="仿宋_GB2312" w:cs="仿宋_GB2312"/>
          <w:sz w:val="32"/>
          <w:szCs w:val="32"/>
        </w:rPr>
        <w:t>发改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局</w:t>
      </w:r>
      <w:r>
        <w:rPr>
          <w:rFonts w:hint="eastAsia" w:ascii="仿宋_GB2312" w:hAnsi="仿宋_GB2312" w:eastAsia="仿宋_GB2312" w:cs="仿宋_GB2312"/>
          <w:sz w:val="32"/>
          <w:szCs w:val="32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县粮食物资局</w:t>
      </w:r>
      <w:r>
        <w:rPr>
          <w:rFonts w:hint="eastAsia" w:ascii="仿宋_GB2312" w:hAnsi="仿宋_GB2312" w:eastAsia="仿宋_GB2312" w:cs="仿宋_GB2312"/>
          <w:sz w:val="32"/>
          <w:szCs w:val="32"/>
        </w:rPr>
        <w:t>）会同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县经商</w:t>
      </w:r>
      <w:r>
        <w:rPr>
          <w:rFonts w:hint="eastAsia" w:ascii="仿宋_GB2312" w:hAnsi="仿宋_GB2312" w:eastAsia="仿宋_GB2312" w:cs="仿宋_GB2312"/>
          <w:sz w:val="32"/>
          <w:szCs w:val="32"/>
        </w:rPr>
        <w:t>局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等有关部门</w:t>
      </w:r>
      <w:r>
        <w:rPr>
          <w:rFonts w:hint="eastAsia" w:ascii="仿宋_GB2312" w:hAnsi="仿宋_GB2312" w:eastAsia="仿宋_GB2312" w:cs="仿宋_GB2312"/>
          <w:sz w:val="32"/>
          <w:szCs w:val="32"/>
        </w:rPr>
        <w:t>建立粮食市场异常波动应急报告制度。有下列情况之一的，县发改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局</w:t>
      </w:r>
      <w:r>
        <w:rPr>
          <w:rFonts w:hint="eastAsia" w:ascii="仿宋_GB2312" w:hAnsi="仿宋_GB2312" w:eastAsia="仿宋_GB2312" w:cs="仿宋_GB2312"/>
          <w:sz w:val="32"/>
          <w:szCs w:val="32"/>
        </w:rPr>
        <w:t>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经商</w:t>
      </w:r>
      <w:r>
        <w:rPr>
          <w:rFonts w:hint="eastAsia" w:ascii="仿宋_GB2312" w:hAnsi="仿宋_GB2312" w:eastAsia="仿宋_GB2312" w:cs="仿宋_GB2312"/>
          <w:sz w:val="32"/>
          <w:szCs w:val="32"/>
        </w:rPr>
        <w:t>局应立即调查核实，并及时向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县</w:t>
      </w:r>
      <w:r>
        <w:rPr>
          <w:rFonts w:hint="eastAsia" w:ascii="仿宋_GB2312" w:hAnsi="仿宋_GB2312" w:eastAsia="仿宋_GB2312" w:cs="仿宋_GB2312"/>
          <w:sz w:val="32"/>
          <w:szCs w:val="32"/>
        </w:rPr>
        <w:t>政府和上级主管部门报告。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（1）发生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洪涝、地震、干旱、台风、雨雪冰冻或者其他</w:t>
      </w:r>
      <w:r>
        <w:rPr>
          <w:rFonts w:hint="eastAsia" w:ascii="仿宋_GB2312" w:hAnsi="仿宋_GB2312" w:eastAsia="仿宋_GB2312" w:cs="仿宋_GB2312"/>
          <w:sz w:val="32"/>
          <w:szCs w:val="32"/>
        </w:rPr>
        <w:t>严重自然灾害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造成粮食市场异常波动的；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（2）发生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重大疫情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、群体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性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不明原因疾病、重大食物中毒和职业中毒等突发公共卫生事件，引起公众恐慌，造成粮食市场异常波动的；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（3）其他引起粮食市场异常波动的情况；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黑体" w:hAnsi="黑体" w:eastAsia="黑体"/>
          <w:b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（4）粮食市场出现异常情况发出预警信号的。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黑体" w:hAnsi="黑体" w:eastAsia="黑体"/>
          <w:b w:val="0"/>
          <w:bCs/>
          <w:color w:val="auto"/>
          <w:sz w:val="32"/>
          <w:szCs w:val="32"/>
        </w:rPr>
      </w:pPr>
      <w:r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  <w:lang w:val="en-US" w:eastAsia="zh-CN"/>
        </w:rPr>
        <w:t>6</w:t>
      </w:r>
      <w:r>
        <w:rPr>
          <w:rFonts w:hint="eastAsia" w:ascii="黑体" w:hAnsi="黑体" w:eastAsia="黑体"/>
          <w:b w:val="0"/>
          <w:bCs/>
          <w:color w:val="auto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/>
          <w:b w:val="0"/>
          <w:bCs/>
          <w:color w:val="auto"/>
          <w:sz w:val="32"/>
          <w:szCs w:val="32"/>
        </w:rPr>
        <w:t xml:space="preserve"> 应急响应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楷体_GB2312" w:hAnsi="微软雅黑" w:eastAsia="楷体_GB2312"/>
          <w:b w:val="0"/>
          <w:bCs/>
          <w:color w:val="auto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  <w:lang w:val="en-US" w:eastAsia="zh-CN"/>
        </w:rPr>
        <w:t>6</w:t>
      </w: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</w:rPr>
        <w:t>.1</w:t>
      </w:r>
      <w:r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</w:rPr>
        <w:t xml:space="preserve"> 响应程序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  <w:u w:val="none"/>
        </w:rPr>
      </w:pPr>
      <w:r>
        <w:rPr>
          <w:rFonts w:hint="eastAsia" w:ascii="仿宋_GB2312" w:hAnsi="微软雅黑" w:eastAsia="仿宋_GB2312"/>
          <w:b w:val="0"/>
          <w:bCs w:val="0"/>
          <w:color w:val="auto"/>
          <w:sz w:val="32"/>
          <w:szCs w:val="32"/>
        </w:rPr>
        <w:t>出现粮食市场异常波动时，</w:t>
      </w:r>
      <w:r>
        <w:rPr>
          <w:rFonts w:hint="eastAsia" w:ascii="仿宋_GB2312" w:hAnsi="微软雅黑" w:eastAsia="仿宋_GB2312"/>
          <w:b w:val="0"/>
          <w:bCs w:val="0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b w:val="0"/>
          <w:bCs w:val="0"/>
          <w:color w:val="auto"/>
          <w:sz w:val="32"/>
          <w:szCs w:val="32"/>
          <w:u w:val="none"/>
        </w:rPr>
        <w:t>粮食应急工作</w:t>
      </w:r>
      <w:r>
        <w:rPr>
          <w:rFonts w:hint="eastAsia" w:ascii="仿宋_GB2312" w:hAnsi="微软雅黑" w:eastAsia="仿宋_GB2312"/>
          <w:b w:val="0"/>
          <w:bCs w:val="0"/>
          <w:color w:val="auto"/>
          <w:sz w:val="32"/>
          <w:szCs w:val="32"/>
          <w:lang w:eastAsia="zh-CN"/>
        </w:rPr>
        <w:t>指挥部</w:t>
      </w:r>
      <w:r>
        <w:rPr>
          <w:rFonts w:hint="eastAsia" w:ascii="仿宋_GB2312" w:hAnsi="微软雅黑" w:eastAsia="仿宋_GB2312"/>
          <w:b w:val="0"/>
          <w:bCs w:val="0"/>
          <w:color w:val="auto"/>
          <w:sz w:val="32"/>
          <w:szCs w:val="32"/>
        </w:rPr>
        <w:t>应立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即进行研究分析，迅速采取措施稳定市场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。确认出现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（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u w:val="none"/>
        </w:rPr>
        <w:t>Ⅳ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级）粮食应急状态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时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</w:rPr>
        <w:t>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照本预案规定，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</w:rPr>
        <w:t>迅速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做出应急响应，对应急处置行动进行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</w:rPr>
        <w:t>安排部署，</w:t>
      </w:r>
      <w:r>
        <w:rPr>
          <w:rFonts w:hint="eastAsia" w:ascii="仿宋_GB2312" w:hAnsi="仿宋_GB2312" w:eastAsia="仿宋_GB2312" w:cs="仿宋_GB2312"/>
          <w:sz w:val="32"/>
          <w:szCs w:val="32"/>
        </w:rPr>
        <w:t>并向上一级指挥部办公室报告。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微软雅黑" w:eastAsia="仿宋_GB2312" w:cs="宋体"/>
          <w:color w:val="auto"/>
          <w:kern w:val="0"/>
          <w:sz w:val="32"/>
          <w:szCs w:val="32"/>
        </w:rPr>
        <w:t>信息报告内容应及时、准确、客观、全面，任何单位和个人对突发事件不得迟报、谎报、瞒报和漏报。报告内容主要包括：突发事件的性质、时间、地点、损失情况以及受其</w:t>
      </w:r>
      <w:r>
        <w:rPr>
          <w:rFonts w:hint="eastAsia" w:ascii="仿宋_GB2312" w:hAnsi="仿宋_GB2312" w:eastAsia="仿宋_GB2312" w:cs="仿宋_GB2312"/>
          <w:sz w:val="32"/>
          <w:szCs w:val="32"/>
        </w:rPr>
        <w:t>影响粮食市场波动情况。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6</w:t>
      </w:r>
      <w:r>
        <w:rPr>
          <w:rFonts w:hint="default" w:ascii="Times New Roman" w:hAnsi="Times New Roman" w:eastAsia="仿宋_GB2312" w:cs="Times New Roman"/>
          <w:sz w:val="32"/>
          <w:szCs w:val="32"/>
        </w:rPr>
        <w:t>.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</w:t>
      </w:r>
      <w:r>
        <w:rPr>
          <w:rFonts w:hint="eastAsia" w:ascii="楷体_GB2312" w:hAnsi="楷体_GB2312" w:eastAsia="楷体_GB2312" w:cs="楷体_GB2312"/>
          <w:sz w:val="32"/>
          <w:szCs w:val="32"/>
        </w:rPr>
        <w:t>县级（</w:t>
      </w:r>
      <w:r>
        <w:rPr>
          <w:rFonts w:hint="default" w:ascii="Times New Roman" w:hAnsi="Times New Roman" w:eastAsia="楷体_GB2312" w:cs="Times New Roman"/>
          <w:sz w:val="32"/>
          <w:szCs w:val="32"/>
        </w:rPr>
        <w:t>Ⅳ</w:t>
      </w:r>
      <w:r>
        <w:rPr>
          <w:rFonts w:hint="eastAsia" w:ascii="楷体_GB2312" w:hAnsi="楷体_GB2312" w:eastAsia="楷体_GB2312" w:cs="楷体_GB2312"/>
          <w:sz w:val="32"/>
          <w:szCs w:val="32"/>
        </w:rPr>
        <w:t>级）</w:t>
      </w: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应急</w:t>
      </w:r>
      <w:r>
        <w:rPr>
          <w:rFonts w:hint="eastAsia" w:ascii="楷体_GB2312" w:hAnsi="楷体_GB2312" w:eastAsia="楷体_GB2312" w:cs="楷体_GB2312"/>
          <w:sz w:val="32"/>
          <w:szCs w:val="32"/>
        </w:rPr>
        <w:t>响应措施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  <w:u w:val="none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6</w:t>
      </w:r>
      <w:r>
        <w:rPr>
          <w:rFonts w:hint="default" w:ascii="Times New Roman" w:hAnsi="Times New Roman" w:eastAsia="仿宋_GB2312" w:cs="Times New Roman"/>
          <w:sz w:val="32"/>
          <w:szCs w:val="32"/>
        </w:rPr>
        <w:t>.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sz w:val="32"/>
          <w:szCs w:val="32"/>
        </w:rPr>
        <w:t>.1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出现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县</w:t>
      </w:r>
      <w:r>
        <w:rPr>
          <w:rFonts w:hint="eastAsia" w:ascii="仿宋_GB2312" w:hAnsi="仿宋_GB2312" w:eastAsia="仿宋_GB2312" w:cs="仿宋_GB2312"/>
          <w:sz w:val="32"/>
          <w:szCs w:val="32"/>
        </w:rPr>
        <w:t>级（</w:t>
      </w:r>
      <w:r>
        <w:rPr>
          <w:rFonts w:hint="default" w:ascii="Times New Roman" w:hAnsi="Times New Roman" w:eastAsia="楷体_GB2312" w:cs="Times New Roman"/>
          <w:sz w:val="32"/>
          <w:szCs w:val="32"/>
        </w:rPr>
        <w:t>Ⅳ</w:t>
      </w:r>
      <w:r>
        <w:rPr>
          <w:rFonts w:hint="eastAsia" w:ascii="仿宋_GB2312" w:hAnsi="仿宋_GB2312" w:eastAsia="仿宋_GB2312" w:cs="仿宋_GB2312"/>
          <w:sz w:val="32"/>
          <w:szCs w:val="32"/>
        </w:rPr>
        <w:t>级）粮食应急状态时，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县</w:t>
      </w:r>
      <w:r>
        <w:rPr>
          <w:rFonts w:hint="eastAsia" w:ascii="仿宋_GB2312" w:hAnsi="仿宋_GB2312" w:eastAsia="仿宋_GB2312" w:cs="仿宋_GB2312"/>
          <w:sz w:val="32"/>
          <w:szCs w:val="32"/>
        </w:rPr>
        <w:t>粮食应急工作指挥部必须按照本预案的规定，在接到有关信息报告后，立即向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县</w:t>
      </w:r>
      <w:r>
        <w:rPr>
          <w:rFonts w:hint="eastAsia" w:ascii="仿宋_GB2312" w:hAnsi="仿宋_GB2312" w:eastAsia="仿宋_GB2312" w:cs="仿宋_GB2312"/>
          <w:sz w:val="32"/>
          <w:szCs w:val="32"/>
        </w:rPr>
        <w:t>政府上报有关情况（3小时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以内</w:t>
      </w:r>
      <w:r>
        <w:rPr>
          <w:rFonts w:hint="eastAsia" w:ascii="仿宋_GB2312" w:hAnsi="仿宋_GB2312" w:eastAsia="仿宋_GB2312" w:cs="仿宋_GB2312"/>
          <w:sz w:val="32"/>
          <w:szCs w:val="32"/>
        </w:rPr>
        <w:t>），请示启动本预案，采取相应措施，对应急工作做出安排部署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同时上报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市</w:t>
      </w:r>
      <w:r>
        <w:rPr>
          <w:rFonts w:hint="eastAsia" w:ascii="仿宋_GB2312" w:hAnsi="仿宋_GB2312" w:eastAsia="仿宋_GB2312" w:cs="仿宋_GB2312"/>
          <w:sz w:val="32"/>
          <w:szCs w:val="32"/>
        </w:rPr>
        <w:t>粮食应急工作指挥部办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公室。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粮食应急工作指挥部办公室必须24小时值班，及时记录并反映有关情况。向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政府请示启动本预案时，应当包括以下内容：动用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县级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储备粮的品种、数量、质量、库存成本、销售价格；动用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县级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储备粮的资金安排、补贴来源；动用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县级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储备粮的使用安排和运输保障，如实物调拨、加工供应、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市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价销售、低价供给或无偿发放以及保障运输的具体措施等；其他配套措施。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  <w:u w:val="none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u w:val="none"/>
          <w:lang w:val="en-US" w:eastAsia="zh-CN"/>
        </w:rPr>
        <w:t>6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u w:val="none"/>
        </w:rPr>
        <w:t>.2.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szCs w:val="32"/>
          <w:u w:val="none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u w:val="none"/>
        </w:rPr>
        <w:t xml:space="preserve"> </w:t>
      </w:r>
      <w:r>
        <w:rPr>
          <w:rFonts w:hint="eastAsia" w:ascii="微软雅黑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微软雅黑" w:hAnsi="微软雅黑" w:eastAsia="仿宋_GB2312"/>
          <w:color w:val="auto"/>
          <w:sz w:val="32"/>
          <w:szCs w:val="32"/>
          <w:u w:val="none"/>
        </w:rPr>
        <w:t>政府批准启动本预案后，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粮食应急工作指挥部立即进入应急工作状态，各成员单位主要负责人应立即组织有关人员按照本单位的职责，迅速落实各项应急措施。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（1）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粮食应急工作指挥部办公室要随时掌握粮食应急状态发展情况，及时提出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县级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储备粮动用方案、应急供应政策办法等，迅速采取各项应对措施，做好应急行动部署，并及时向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市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粮食应急工作指挥部办公室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、县政府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及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有关部门（单位）通报情况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（2）经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粮食应急工作指挥部批准，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发改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局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（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粮食物资局）</w:t>
      </w:r>
      <w:r>
        <w:rPr>
          <w:rFonts w:hint="eastAsia" w:ascii="仿宋_GB2312" w:hAnsi="仿宋_GB2312" w:eastAsia="仿宋_GB2312" w:cs="仿宋_GB2312"/>
          <w:sz w:val="32"/>
          <w:szCs w:val="32"/>
        </w:rPr>
        <w:t>会同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县</w:t>
      </w:r>
      <w:r>
        <w:rPr>
          <w:rFonts w:hint="eastAsia" w:ascii="仿宋_GB2312" w:hAnsi="仿宋_GB2312" w:eastAsia="仿宋_GB2312" w:cs="仿宋_GB2312"/>
          <w:sz w:val="32"/>
          <w:szCs w:val="32"/>
        </w:rPr>
        <w:t>财政局等部门执行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县级</w:t>
      </w:r>
      <w:r>
        <w:rPr>
          <w:rFonts w:hint="eastAsia" w:ascii="仿宋_GB2312" w:hAnsi="仿宋_GB2312" w:eastAsia="仿宋_GB2312" w:cs="仿宋_GB2312"/>
          <w:sz w:val="32"/>
          <w:szCs w:val="32"/>
        </w:rPr>
        <w:t>储备粮动用计划，具体落实粮食出库、加工、运输、供应等环节。必要时，由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县</w:t>
      </w:r>
      <w:r>
        <w:rPr>
          <w:rFonts w:hint="eastAsia" w:ascii="仿宋_GB2312" w:hAnsi="仿宋_GB2312" w:eastAsia="仿宋_GB2312" w:cs="仿宋_GB2312"/>
          <w:sz w:val="32"/>
          <w:szCs w:val="32"/>
        </w:rPr>
        <w:t>政府向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市</w:t>
      </w:r>
      <w:r>
        <w:rPr>
          <w:rFonts w:hint="eastAsia" w:ascii="仿宋_GB2312" w:hAnsi="仿宋_GB2312" w:eastAsia="仿宋_GB2312" w:cs="仿宋_GB2312"/>
          <w:sz w:val="32"/>
          <w:szCs w:val="32"/>
        </w:rPr>
        <w:t>政府申报动用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市</w:t>
      </w:r>
      <w:r>
        <w:rPr>
          <w:rFonts w:hint="eastAsia" w:ascii="仿宋_GB2312" w:hAnsi="仿宋_GB2312" w:eastAsia="仿宋_GB2312" w:cs="仿宋_GB2312"/>
          <w:sz w:val="32"/>
          <w:szCs w:val="32"/>
        </w:rPr>
        <w:t>级储备粮。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  <w:u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（3）进入紧张状态时，启动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市场</w:t>
      </w:r>
      <w:r>
        <w:rPr>
          <w:rFonts w:hint="eastAsia" w:ascii="仿宋_GB2312" w:hAnsi="仿宋_GB2312" w:eastAsia="仿宋_GB2312" w:cs="仿宋_GB2312"/>
          <w:sz w:val="32"/>
          <w:szCs w:val="32"/>
        </w:rPr>
        <w:t>监测日报制度，实施监测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市场</w:t>
      </w:r>
      <w:r>
        <w:rPr>
          <w:rFonts w:hint="eastAsia" w:ascii="仿宋_GB2312" w:hAnsi="仿宋_GB2312" w:eastAsia="仿宋_GB2312" w:cs="仿宋_GB2312"/>
          <w:sz w:val="32"/>
          <w:szCs w:val="32"/>
        </w:rPr>
        <w:t>价格、粮食库存，分析供求形势，采取应对措施。启动应急加工、运输、配送、供应系统，适时投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放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县级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储备粮，组织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内外粮食采购，保障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市场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供应。加强监督检查，稳定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市场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秩序。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ascii="仿宋_GB2312" w:hAnsi="微软雅黑" w:eastAsia="仿宋_GB2312"/>
          <w:color w:val="auto"/>
          <w:sz w:val="32"/>
          <w:szCs w:val="32"/>
          <w:u w:val="none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（4）进入紧急状态时，经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粮食应急工作指挥部批准，可采取控制批发企业进销差率和零售企业最高零售价等措施，稳定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市场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粮价。必要时，实施城镇居民限量、定点、记录供应等应急措施，保障平稳供应。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ascii="仿宋_GB2312" w:hAnsi="微软雅黑" w:eastAsia="仿宋_GB2312"/>
          <w:color w:val="auto"/>
          <w:sz w:val="32"/>
          <w:szCs w:val="32"/>
          <w:u w:val="none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（5）进入特急状态时，由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政府下达临时性粮食特别管制令，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粮食应急工作指挥部依法统一征用粮食经营者粮源、全社会可用于粮食运输的运力以及相关设施，并给予合理补偿。有关单位及个人应当予以配合，不得以任何理由予以拒绝。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  <w:u w:val="none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sz w:val="32"/>
          <w:szCs w:val="32"/>
          <w:u w:val="none"/>
          <w:lang w:val="en-US" w:eastAsia="zh-CN"/>
        </w:rPr>
        <w:t>6</w:t>
      </w:r>
      <w:r>
        <w:rPr>
          <w:rFonts w:hint="default" w:ascii="Times New Roman" w:hAnsi="Times New Roman" w:eastAsia="楷体_GB2312" w:cs="Times New Roman"/>
          <w:b w:val="0"/>
          <w:bCs w:val="0"/>
          <w:color w:val="auto"/>
          <w:sz w:val="32"/>
          <w:szCs w:val="32"/>
          <w:u w:val="none"/>
        </w:rPr>
        <w:t xml:space="preserve">.2.3 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县粮食应急工作指挥部接到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市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粮食应急工作指挥部通知后，应立即组织有关部门按照职责迅速落实应急措施。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ascii="仿宋_GB2312" w:hAnsi="微软雅黑" w:eastAsia="仿宋_GB2312"/>
          <w:color w:val="auto"/>
          <w:sz w:val="32"/>
          <w:szCs w:val="32"/>
          <w:u w:val="none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（1）24小时监测本地区粮食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市场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动态，重大情况要在第一时间报告县政府并报告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市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粮食应急工作指挥部办公室。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ascii="仿宋_GB2312" w:hAnsi="微软雅黑" w:eastAsia="仿宋_GB2312"/>
          <w:color w:val="auto"/>
          <w:sz w:val="32"/>
          <w:szCs w:val="32"/>
          <w:u w:val="none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（2）各有关部门按照职能分工，及时采取应急措施，做好粮食采购、调运、加工和供应工作，加强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市场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监管，维护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市场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秩序。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hint="eastAsia" w:ascii="仿宋_GB2312" w:hAnsi="微软雅黑" w:eastAsia="仿宋_GB2312"/>
          <w:color w:val="auto"/>
          <w:sz w:val="32"/>
          <w:szCs w:val="32"/>
          <w:u w:val="none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（3）迅速执行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市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粮食应急工作指挥部下达的各项指令。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  <w:lang w:val="en-US" w:eastAsia="zh-CN"/>
        </w:rPr>
        <w:t>6</w:t>
      </w: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</w:rPr>
        <w:t>.</w:t>
      </w: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  <w:lang w:val="en-US" w:eastAsia="zh-CN"/>
        </w:rPr>
        <w:t>3</w:t>
      </w: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</w:rPr>
        <w:t xml:space="preserve"> </w:t>
      </w:r>
      <w:r>
        <w:rPr>
          <w:rFonts w:hint="eastAsia" w:ascii="楷体_GB2312" w:hAnsi="楷体_GB2312" w:eastAsia="楷体_GB2312" w:cs="楷体_GB2312"/>
          <w:b w:val="0"/>
          <w:bCs/>
          <w:color w:val="auto"/>
          <w:sz w:val="32"/>
          <w:szCs w:val="32"/>
        </w:rPr>
        <w:t>应急终止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经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粮食应急工作指挥部办公室（粮食主管部门）研判，认定粮食应急状态消除后，报由指挥部向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政府提出终止实施本地粮食应急措施的建议，经批准后及时终止应急响应，恢复正常秩序。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黑体" w:hAnsi="黑体" w:eastAsia="黑体" w:cs="黑体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/>
          <w:color w:val="auto"/>
          <w:sz w:val="32"/>
          <w:szCs w:val="32"/>
          <w:lang w:val="en-US" w:eastAsia="zh-CN"/>
        </w:rPr>
        <w:t>7</w:t>
      </w: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  <w:lang w:val="en-US" w:eastAsia="zh-CN"/>
        </w:rPr>
        <w:t xml:space="preserve">  后期处置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黑体" w:hAnsi="黑体" w:eastAsia="黑体"/>
          <w:b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  <w:lang w:val="en-US" w:eastAsia="zh-CN"/>
        </w:rPr>
        <w:t>7.1</w:t>
      </w:r>
      <w:r>
        <w:rPr>
          <w:rFonts w:hint="eastAsia" w:ascii="楷体_GB2312" w:hAnsi="楷体_GB2312" w:eastAsia="楷体_GB2312" w:cs="楷体_GB2312"/>
          <w:b w:val="0"/>
          <w:bCs/>
          <w:color w:val="auto"/>
          <w:sz w:val="32"/>
          <w:szCs w:val="32"/>
          <w:lang w:val="en-US" w:eastAsia="zh-CN"/>
        </w:rPr>
        <w:t xml:space="preserve"> 评估和改进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政府和有关部门要及时对应急处置的效果进行评估、总结，对实施应急预案中发现的问题，研究提出改进措施，进一步完善粮食应急预案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和相关政策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  <w:lang w:val="en-US" w:eastAsia="zh-CN"/>
        </w:rPr>
        <w:t>7.2</w:t>
      </w:r>
      <w:r>
        <w:rPr>
          <w:rFonts w:hint="eastAsia" w:ascii="楷体_GB2312" w:hAnsi="楷体_GB2312" w:eastAsia="楷体_GB2312" w:cs="楷体_GB2312"/>
          <w:b w:val="0"/>
          <w:bCs/>
          <w:color w:val="auto"/>
          <w:sz w:val="32"/>
          <w:szCs w:val="32"/>
          <w:lang w:val="en-US" w:eastAsia="zh-CN"/>
        </w:rPr>
        <w:t xml:space="preserve"> 应急经费和清算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对实施预案发生的各项支出需要财政补贴和补助的，由财政部门会同粮食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主管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部门在终止应急响应后及时拨付。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（1）</w:t>
      </w:r>
      <w:r>
        <w:rPr>
          <w:rFonts w:hint="eastAsia" w:ascii="仿宋_GB2312" w:hAnsi="微软雅黑" w:eastAsia="仿宋_GB2312" w:cs="Times New Roman"/>
          <w:color w:val="auto"/>
          <w:sz w:val="32"/>
          <w:szCs w:val="32"/>
          <w:shd w:val="clear" w:color="auto" w:fill="FFFFFF"/>
        </w:rPr>
        <w:t>县政府要根据宏观调控的需要，统筹安排资金，为粮食应急工作提供资金保障。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（2）中国农业发展银行丽水市分行应主动配合，简化手续，按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县粮食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应急工作指挥部要求，积极做好粮食企业组织应急粮源所需调销贷款资金的安排。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（3）由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粮食应急工作指挥部及其办公室帮助购销衔接的粮源，由调入方负责落实采购资金，并核算计补相关费用和差价。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（4）由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粮食应急工作指挥部及其办公室统一安排的储备粮、进口粮等应急供应粮源所需资金及发生的费用和价差，按照“谁用粮、谁负责”的原则，由调入方负责结算并落实计补相关费用和价差。相关费用报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政府同意后确定。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（5）应急情况下军粮供应发生的费用和价差，按照“先供应、后结算”的原则，根据国家有关规定进行结算核补。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黑体" w:hAnsi="黑体" w:eastAsia="黑体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  <w:lang w:val="en-US" w:eastAsia="zh-CN"/>
        </w:rPr>
        <w:t>7.3</w:t>
      </w:r>
      <w:r>
        <w:rPr>
          <w:rFonts w:hint="eastAsia" w:ascii="黑体" w:hAnsi="黑体" w:eastAsia="黑体"/>
          <w:b w:val="0"/>
          <w:bCs/>
          <w:color w:val="auto"/>
          <w:sz w:val="32"/>
          <w:szCs w:val="32"/>
          <w:lang w:val="en-US" w:eastAsia="zh-CN"/>
        </w:rPr>
        <w:t xml:space="preserve"> </w:t>
      </w:r>
      <w:r>
        <w:rPr>
          <w:rFonts w:hint="eastAsia" w:ascii="楷体_GB2312" w:hAnsi="楷体_GB2312" w:eastAsia="楷体_GB2312" w:cs="楷体_GB2312"/>
          <w:b w:val="0"/>
          <w:bCs/>
          <w:color w:val="auto"/>
          <w:sz w:val="32"/>
          <w:szCs w:val="32"/>
          <w:lang w:val="en-US" w:eastAsia="zh-CN"/>
        </w:rPr>
        <w:t>应急能力恢复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对于已动用的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县级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储备粮，按照管理事权，由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粮食主管部门会商财政部门和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中国农业发展银行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丽水市分行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，按原计划规模，结合应急供应适当调整布局，在6个月内及时补充到位，并报上级粮食主管部门备案。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  <w:b w:val="0"/>
          <w:bCs/>
          <w:color w:val="auto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</w:rPr>
        <w:t>7.4</w:t>
      </w:r>
      <w:r>
        <w:rPr>
          <w:rFonts w:hint="eastAsia" w:ascii="楷体_GB2312" w:hAnsi="楷体_GB2312" w:eastAsia="楷体_GB2312" w:cs="楷体_GB2312"/>
          <w:b w:val="0"/>
          <w:bCs/>
          <w:color w:val="auto"/>
          <w:sz w:val="32"/>
          <w:szCs w:val="32"/>
        </w:rPr>
        <w:t xml:space="preserve"> 奖励和责任追究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b w:val="0"/>
          <w:bCs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b w:val="0"/>
          <w:bCs/>
          <w:color w:val="auto"/>
          <w:sz w:val="32"/>
          <w:szCs w:val="32"/>
        </w:rPr>
        <w:t>7.4.1</w:t>
      </w:r>
      <w:r>
        <w:rPr>
          <w:rFonts w:hint="eastAsia" w:ascii="仿宋_GB2312" w:hAnsi="微软雅黑" w:eastAsia="仿宋_GB2312"/>
          <w:b w:val="0"/>
          <w:bCs/>
          <w:color w:val="auto"/>
          <w:sz w:val="32"/>
          <w:szCs w:val="32"/>
        </w:rPr>
        <w:t xml:space="preserve"> 奖励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对在应急工作中有下列表现之一的单位或个人，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粮食应急工作指挥部给予表彰和奖励。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（1）出色完成应急任务的。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（2）对应急工作提出重要建议，实施效果显著的。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（3）及时提供应急粮食或节约经费开支，成绩显著的。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（4）有其他突出贡献的。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楷体_GB2312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7.4.2</w:t>
      </w:r>
      <w:r>
        <w:rPr>
          <w:rFonts w:hint="eastAsia" w:ascii="仿宋_GB2312" w:hAnsi="微软雅黑" w:eastAsia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责任追究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微软雅黑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对违反本预案规定和粮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食应急工作指挥部要求，实施粮食应急措施或者应急管理工作中有其他失职、渎职行为的，依法对有关责任人给予行政处分；构成犯罪的，依法追究相关法律责任。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黑体" w:hAnsi="黑体" w:eastAsia="黑体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  <w:lang w:val="en-US" w:eastAsia="zh-CN"/>
        </w:rPr>
        <w:t>8</w:t>
      </w:r>
      <w:r>
        <w:rPr>
          <w:rFonts w:hint="eastAsia" w:ascii="黑体" w:hAnsi="黑体" w:eastAsia="黑体"/>
          <w:b w:val="0"/>
          <w:bCs/>
          <w:color w:val="auto"/>
          <w:sz w:val="32"/>
          <w:szCs w:val="32"/>
          <w:lang w:val="en-US" w:eastAsia="zh-CN"/>
        </w:rPr>
        <w:t xml:space="preserve">  保障措施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楷体_GB2312" w:hAnsi="微软雅黑" w:eastAsia="楷体_GB2312"/>
          <w:b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  <w:lang w:val="en-US" w:eastAsia="zh-CN"/>
        </w:rPr>
        <w:t>8.1</w:t>
      </w:r>
      <w:r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  <w:lang w:val="en-US" w:eastAsia="zh-CN"/>
        </w:rPr>
        <w:t xml:space="preserve">  资金和人员保障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>县政府保障粮食应急工作所需经费。建立专业粮食应急保障队伍，加强人员和设施的配备、建设，并将相关经费纳入本级财政预算。有针对性地开展学习培训和应急演练，增强队伍应急状态的实战能力。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  <w:lang w:val="en-US" w:eastAsia="zh-CN"/>
        </w:rPr>
        <w:t>8.2</w:t>
      </w:r>
      <w:r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  <w:lang w:val="en-US" w:eastAsia="zh-CN"/>
        </w:rPr>
        <w:t xml:space="preserve">  数字化保障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>推进数字化建设，发挥综合应急调度作用，在应急状态下实现粮食统一调度、重大信息统一发布、关键指令实时下达，多级组织协调联动、发展趋势智能预判。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>县政府加强粮食应急能力建设，强化国家、省级粮食应急数字化调度平台应用，实时掌握粮食应急保障企业产能、库存、价格、销量动态。实现市县粮食保障企业信息互联共享。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  <w:lang w:val="en-US" w:eastAsia="zh-CN"/>
        </w:rPr>
        <w:t xml:space="preserve">8.3 </w:t>
      </w:r>
      <w:r>
        <w:rPr>
          <w:rFonts w:hint="eastAsia" w:ascii="楷体_GB2312" w:hAnsi="微软雅黑" w:eastAsia="楷体_GB2312"/>
          <w:b w:val="0"/>
          <w:bCs/>
          <w:color w:val="auto"/>
          <w:sz w:val="32"/>
          <w:szCs w:val="32"/>
          <w:lang w:val="en-US" w:eastAsia="zh-CN"/>
        </w:rPr>
        <w:t>应急设施保障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县政府要增加投入，加强对粮食加工、配送、供应和储运等应急设施的建设、维护工作，确保应急设施符合粮食应急工作的需要。同时在仓储设施建设、政策性粮油销售、粮油储备、成品粮应急储备等方面向应急企业倾斜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  <w:b w:val="0"/>
          <w:bCs/>
          <w:color w:val="auto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  <w:lang w:val="en-US" w:eastAsia="zh-CN"/>
        </w:rPr>
        <w:t>8</w:t>
      </w: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</w:rPr>
        <w:t>.4</w:t>
      </w:r>
      <w:r>
        <w:rPr>
          <w:rFonts w:hint="eastAsia" w:ascii="楷体_GB2312" w:hAnsi="楷体_GB2312" w:eastAsia="楷体_GB2312" w:cs="楷体_GB2312"/>
          <w:b w:val="0"/>
          <w:bCs/>
          <w:color w:val="auto"/>
          <w:sz w:val="32"/>
          <w:szCs w:val="32"/>
        </w:rPr>
        <w:t xml:space="preserve"> 通信保障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default" w:ascii="仿宋_GB2312" w:hAnsi="微软雅黑" w:eastAsia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参与粮食应急工作的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级各有关部门要向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粮食应急工作指挥部办公室提供准确有效的通信联络方式，并及时更新，保证通讯畅通。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黑体" w:hAnsi="黑体" w:eastAsia="黑体"/>
          <w:b w:val="0"/>
          <w:bCs/>
          <w:color w:val="auto"/>
          <w:sz w:val="32"/>
          <w:szCs w:val="32"/>
        </w:rPr>
      </w:pPr>
      <w:r>
        <w:rPr>
          <w:rFonts w:hint="default" w:ascii="Times New Roman" w:hAnsi="Times New Roman" w:eastAsia="黑体" w:cs="Times New Roman"/>
          <w:b w:val="0"/>
          <w:bCs/>
          <w:color w:val="auto"/>
          <w:sz w:val="32"/>
          <w:szCs w:val="32"/>
          <w:lang w:val="en-US" w:eastAsia="zh-CN"/>
        </w:rPr>
        <w:t>9</w:t>
      </w:r>
      <w:r>
        <w:rPr>
          <w:rFonts w:hint="eastAsia" w:ascii="黑体" w:hAnsi="黑体" w:eastAsia="黑体"/>
          <w:b w:val="0"/>
          <w:bCs/>
          <w:color w:val="auto"/>
          <w:sz w:val="32"/>
          <w:szCs w:val="32"/>
          <w:lang w:val="en-US" w:eastAsia="zh-CN"/>
        </w:rPr>
        <w:t xml:space="preserve">  </w:t>
      </w:r>
      <w:r>
        <w:rPr>
          <w:rFonts w:hint="eastAsia" w:ascii="黑体" w:hAnsi="黑体" w:eastAsia="黑体"/>
          <w:b w:val="0"/>
          <w:bCs/>
          <w:color w:val="auto"/>
          <w:sz w:val="32"/>
          <w:szCs w:val="32"/>
        </w:rPr>
        <w:t>附则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  <w:lang w:val="en-US" w:eastAsia="zh-CN"/>
        </w:rPr>
        <w:t>9</w:t>
      </w: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</w:rPr>
        <w:t>.1</w:t>
      </w:r>
      <w:r>
        <w:rPr>
          <w:rFonts w:hint="eastAsia" w:ascii="楷体_GB2312" w:hAnsi="楷体_GB2312" w:eastAsia="楷体_GB2312" w:cs="楷体_GB2312"/>
          <w:b w:val="0"/>
          <w:bCs/>
          <w:color w:val="auto"/>
          <w:sz w:val="32"/>
          <w:szCs w:val="32"/>
        </w:rPr>
        <w:t xml:space="preserve"> 管理</w:t>
      </w:r>
      <w:r>
        <w:rPr>
          <w:rFonts w:hint="eastAsia" w:ascii="楷体_GB2312" w:hAnsi="楷体_GB2312" w:eastAsia="楷体_GB2312" w:cs="楷体_GB2312"/>
          <w:b w:val="0"/>
          <w:bCs/>
          <w:color w:val="auto"/>
          <w:sz w:val="32"/>
          <w:szCs w:val="32"/>
          <w:lang w:eastAsia="zh-CN"/>
        </w:rPr>
        <w:t>与更新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480"/>
        <w:textAlignment w:val="auto"/>
        <w:rPr>
          <w:rFonts w:hint="eastAsia"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本预案由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发改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val="en-US" w:eastAsia="zh-CN"/>
        </w:rPr>
        <w:t>局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（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  <w:u w:val="none"/>
        </w:rPr>
        <w:t>粮食物资局）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会同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级有关部门编制，并根据情况适时修订，报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政府批准后实施。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楷体_GB2312" w:hAnsi="微软雅黑" w:eastAsia="楷体_GB2312"/>
          <w:b/>
          <w:color w:val="auto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  <w:lang w:val="en-US" w:eastAsia="zh-CN"/>
        </w:rPr>
        <w:t>9</w:t>
      </w:r>
      <w:r>
        <w:rPr>
          <w:rFonts w:hint="default" w:ascii="Times New Roman" w:hAnsi="Times New Roman" w:eastAsia="楷体_GB2312" w:cs="Times New Roman"/>
          <w:b w:val="0"/>
          <w:bCs/>
          <w:color w:val="auto"/>
          <w:sz w:val="32"/>
          <w:szCs w:val="32"/>
        </w:rPr>
        <w:t>.2</w:t>
      </w:r>
      <w:r>
        <w:rPr>
          <w:rFonts w:hint="eastAsia" w:ascii="楷体_GB2312" w:hAnsi="楷体_GB2312" w:eastAsia="楷体_GB2312" w:cs="楷体_GB2312"/>
          <w:b w:val="0"/>
          <w:bCs/>
          <w:color w:val="auto"/>
          <w:sz w:val="32"/>
          <w:szCs w:val="32"/>
        </w:rPr>
        <w:t xml:space="preserve"> 预案实施时间</w:t>
      </w:r>
    </w:p>
    <w:p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firstLine="632" w:firstLineChars="200"/>
        <w:textAlignment w:val="auto"/>
        <w:rPr>
          <w:rFonts w:ascii="仿宋_GB2312" w:hAnsi="微软雅黑" w:eastAsia="仿宋_GB2312"/>
          <w:color w:val="auto"/>
          <w:sz w:val="32"/>
          <w:szCs w:val="32"/>
        </w:rPr>
      </w:pPr>
      <w:r>
        <w:rPr>
          <w:rFonts w:hint="eastAsia" w:ascii="仿宋_GB2312" w:hAnsi="微软雅黑" w:eastAsia="仿宋_GB2312"/>
          <w:color w:val="auto"/>
          <w:sz w:val="32"/>
          <w:szCs w:val="32"/>
        </w:rPr>
        <w:t>本预案自印发之日起施行，原《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青田县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粮食应急预案》（</w:t>
      </w:r>
      <w:r>
        <w:rPr>
          <w:rFonts w:hint="eastAsia" w:ascii="仿宋_GB2312" w:hAnsi="微软雅黑" w:eastAsia="仿宋_GB2312"/>
          <w:color w:val="auto"/>
          <w:sz w:val="32"/>
          <w:szCs w:val="32"/>
          <w:lang w:eastAsia="zh-CN"/>
        </w:rPr>
        <w:t>青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政办发〔20</w:t>
      </w: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>22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〕</w:t>
      </w:r>
      <w:r>
        <w:rPr>
          <w:rFonts w:hint="eastAsia" w:ascii="仿宋_GB2312" w:hAnsi="微软雅黑" w:eastAsia="仿宋_GB2312"/>
          <w:color w:val="auto"/>
          <w:sz w:val="32"/>
          <w:szCs w:val="32"/>
          <w:lang w:val="en-US" w:eastAsia="zh-CN"/>
        </w:rPr>
        <w:t>11</w:t>
      </w:r>
      <w:r>
        <w:rPr>
          <w:rFonts w:hint="eastAsia" w:ascii="仿宋_GB2312" w:hAnsi="微软雅黑" w:eastAsia="仿宋_GB2312"/>
          <w:color w:val="auto"/>
          <w:sz w:val="32"/>
          <w:szCs w:val="32"/>
        </w:rPr>
        <w:t>号）同时废止。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color w:val="auto"/>
        </w:rPr>
      </w:pPr>
    </w:p>
    <w:p>
      <w:pPr>
        <w:widowControl w:val="0"/>
        <w:spacing w:line="600" w:lineRule="exact"/>
        <w:jc w:val="both"/>
        <w:rPr>
          <w:rFonts w:hint="eastAsia" w:ascii="Times New Roman" w:hAnsi="Times New Roman" w:eastAsia="宋体" w:cs="Times New Roman"/>
          <w:kern w:val="2"/>
          <w:sz w:val="32"/>
          <w:szCs w:val="22"/>
          <w:lang w:val="en-US" w:eastAsia="zh-CN" w:bidi="ar-SA"/>
        </w:rPr>
      </w:pPr>
    </w:p>
    <w:p>
      <w:pPr>
        <w:pStyle w:val="3"/>
        <w:rPr>
          <w:rFonts w:hint="eastAsia" w:ascii="Times New Roman" w:hAnsi="Times New Roman" w:eastAsia="宋体" w:cs="Times New Roman"/>
          <w:kern w:val="2"/>
          <w:sz w:val="32"/>
          <w:szCs w:val="22"/>
          <w:lang w:val="en-US" w:eastAsia="zh-CN" w:bidi="ar-SA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spacing w:line="520" w:lineRule="exact"/>
        <w:rPr>
          <w:rFonts w:hint="eastAsia" w:ascii="仿宋_GB2312" w:hAnsi="宋体" w:eastAsia="仿宋_GB2312"/>
          <w:kern w:val="0"/>
          <w:sz w:val="32"/>
        </w:rPr>
      </w:pPr>
      <w:bookmarkStart w:id="2" w:name="_GoBack"/>
      <w:bookmarkEnd w:id="2"/>
    </w:p>
    <w:p>
      <w:pPr>
        <w:spacing w:line="520" w:lineRule="exact"/>
        <w:ind w:firstLine="196" w:firstLineChars="100"/>
        <w:rPr>
          <w:rFonts w:hint="eastAsia" w:ascii="仿宋_GB2312" w:hAnsi="宋体" w:eastAsia="仿宋_GB2312"/>
          <w:kern w:val="0"/>
          <w:sz w:val="28"/>
          <w:szCs w:val="28"/>
        </w:rPr>
      </w:pPr>
      <w:r>
        <w:rPr>
          <w:rFonts w:hint="eastAsia" w:ascii="仿宋_GB2312" w:hAnsi="宋体" w:eastAsia="仿宋_GB2312"/>
          <w:kern w:val="0"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561848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8480" cy="0"/>
                        </a:xfrm>
                        <a:prstGeom prst="line">
                          <a:avLst/>
                        </a:prstGeom>
                        <a:ln w="1752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0.75pt;height:0pt;width:442.4pt;z-index:251663360;mso-width-relative:page;mso-height-relative:page;" filled="f" stroked="t" coordsize="21600,21600" o:gfxdata="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hDM7h9QAAAAEAQAADwAAAAAAAAABACAAAAAiAAAAZHJzL2Rvd25yZXYueG1sUEsBAhQA&#10;FAAAAAgAh07iQCUJyxH2AQAA5QMAAA4AAAAAAAAAAQAgAAAAIwEAAGRycy9lMm9Eb2MueG1sUEsF&#10;BgAAAAAGAAYAWQEAAIsFAAAAAA==&#10;">
                <v:fill on="f" focussize="0,0"/>
                <v:stroke weight="1.3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_GB2312" w:hAnsi="宋体" w:eastAsia="仿宋_GB2312"/>
          <w:kern w:val="0"/>
          <w:sz w:val="28"/>
          <w:szCs w:val="28"/>
        </w:rPr>
        <w:t>青田县人民政府办公室 　   　            202</w:t>
      </w:r>
      <w:r>
        <w:rPr>
          <w:rFonts w:hint="eastAsia" w:ascii="仿宋_GB2312" w:hAnsi="宋体" w:eastAsia="仿宋_GB2312"/>
          <w:kern w:val="0"/>
          <w:sz w:val="28"/>
          <w:szCs w:val="28"/>
          <w:lang w:val="en-US" w:eastAsia="zh-CN"/>
        </w:rPr>
        <w:t>3</w:t>
      </w:r>
      <w:r>
        <w:rPr>
          <w:rFonts w:hint="eastAsia" w:ascii="仿宋_GB2312" w:hAnsi="宋体" w:eastAsia="仿宋_GB2312"/>
          <w:kern w:val="0"/>
          <w:sz w:val="28"/>
          <w:szCs w:val="28"/>
        </w:rPr>
        <w:t>年</w:t>
      </w:r>
      <w:r>
        <w:rPr>
          <w:rFonts w:hint="eastAsia" w:ascii="仿宋_GB2312" w:hAnsi="宋体" w:eastAsia="仿宋_GB2312"/>
          <w:kern w:val="0"/>
          <w:sz w:val="28"/>
          <w:szCs w:val="28"/>
          <w:lang w:val="en-US" w:eastAsia="zh-CN"/>
        </w:rPr>
        <w:t>12</w:t>
      </w:r>
      <w:r>
        <w:rPr>
          <w:rFonts w:hint="eastAsia" w:ascii="仿宋_GB2312" w:hAnsi="宋体" w:eastAsia="仿宋_GB2312"/>
          <w:kern w:val="0"/>
          <w:sz w:val="28"/>
          <w:szCs w:val="28"/>
        </w:rPr>
        <w:t>月</w:t>
      </w:r>
      <w:r>
        <w:rPr>
          <w:rFonts w:hint="eastAsia" w:ascii="仿宋_GB2312" w:hAnsi="宋体" w:eastAsia="仿宋_GB2312"/>
          <w:kern w:val="0"/>
          <w:sz w:val="28"/>
          <w:szCs w:val="28"/>
          <w:lang w:val="en-US" w:eastAsia="zh-CN"/>
        </w:rPr>
        <w:t>29</w:t>
      </w:r>
      <w:r>
        <w:rPr>
          <w:rFonts w:hint="eastAsia" w:ascii="仿宋_GB2312" w:hAnsi="宋体" w:eastAsia="仿宋_GB2312"/>
          <w:kern w:val="0"/>
          <w:sz w:val="28"/>
          <w:szCs w:val="28"/>
        </w:rPr>
        <w:t>日印发</w:t>
      </w:r>
    </w:p>
    <w:p>
      <w:pPr>
        <w:spacing w:line="20" w:lineRule="exact"/>
        <w:rPr>
          <w:rFonts w:hint="eastAsia" w:ascii="仿宋_GB2312" w:hAnsi="仿宋_GB2312" w:eastAsia="仿宋_GB2312" w:cs="仿宋_GB2312"/>
          <w:spacing w:val="6"/>
          <w:sz w:val="24"/>
        </w:rPr>
      </w:pPr>
      <w:r>
        <w:rPr>
          <w:rFonts w:hint="eastAsia" w:ascii="仿宋_GB2312" w:hAnsi="宋体" w:eastAsia="仿宋_GB2312"/>
          <w:kern w:val="0"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53975</wp:posOffset>
                </wp:positionV>
                <wp:extent cx="5618480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8480" cy="0"/>
                        </a:xfrm>
                        <a:prstGeom prst="line">
                          <a:avLst/>
                        </a:prstGeom>
                        <a:ln w="1752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5pt;margin-top:4.25pt;height:0pt;width:442.4pt;z-index:251664384;mso-width-relative:page;mso-height-relative:page;" filled="f" stroked="t" coordsize="21600,21600" o:gfxdata="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Y8uB91QAAAAUBAAAPAAAAAAAAAAEAIAAAACIAAABkcnMvZG93bnJldi54bWxQSwECFAAU&#10;AAAACACHTuJASjXHgfQBAADlAwAADgAAAAAAAAABACAAAAAkAQAAZHJzL2Uyb0RvYy54bWxQSwUG&#10;AAAAAAYABgBZAQAAigUAAAAA&#10;">
                <v:fill on="f" focussize="0,0"/>
                <v:stroke weight="1.38pt" color="#000000" joinstyle="round"/>
                <v:imagedata o:title=""/>
                <o:lock v:ext="edit" aspectratio="f"/>
              </v:line>
            </w:pict>
          </mc:Fallback>
        </mc:AlternateContent>
      </w:r>
    </w:p>
    <w:sectPr>
      <w:footerReference r:id="rId4" w:type="default"/>
      <w:footerReference r:id="rId5" w:type="even"/>
      <w:pgSz w:w="11906" w:h="16838"/>
      <w:pgMar w:top="2098" w:right="1474" w:bottom="1871" w:left="1588" w:header="851" w:footer="1531" w:gutter="0"/>
      <w:cols w:space="72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大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41605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60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1.15pt;mso-position-horizontal:center;mso-position-horizontal-relative:margin;z-index:251660288;mso-width-relative:page;mso-height-relative:page;" filled="f" stroked="f" coordsize="21600,21600" o:gfxdata="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0cYVJ0gAAAAQBAAAPAAAAAAAAAAEAIAAAACIAAABkcnMvZG93bnJldi54bWxQ&#10;SwECFAAUAAAACACHTuJAQ3txNzYCAABiBAAADgAAAAAAAAABACAAAAAh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outside" w:y="1"/>
      <w:widowControl w:val="0"/>
      <w:snapToGrid w:val="0"/>
      <w:jc w:val="left"/>
      <w:rPr>
        <w:rStyle w:val="13"/>
        <w:rFonts w:hint="eastAsia" w:ascii="Times New Roman" w:hAnsi="Times New Roman" w:eastAsia="仿宋_GB2312" w:cs="Times New Roman"/>
        <w:kern w:val="2"/>
        <w:sz w:val="28"/>
        <w:szCs w:val="18"/>
        <w:lang w:val="en-US" w:eastAsia="zh-CN" w:bidi="ar-SA"/>
      </w:rPr>
    </w:pPr>
    <w:r>
      <w:rPr>
        <w:rFonts w:hint="eastAsia" w:ascii="Times New Roman" w:hAnsi="Times New Roman" w:eastAsia="仿宋_GB2312" w:cs="Times New Roman"/>
        <w:kern w:val="2"/>
        <w:sz w:val="28"/>
        <w:szCs w:val="18"/>
        <w:lang w:val="en-US" w:eastAsia="zh-CN" w:bidi="ar-SA"/>
      </w:rPr>
      <w:t xml:space="preserve">—  </w:t>
    </w:r>
    <w:r>
      <w:rPr>
        <w:rFonts w:ascii="Times New Roman" w:hAnsi="Times New Roman" w:eastAsia="仿宋_GB2312" w:cs="Times New Roman"/>
        <w:kern w:val="2"/>
        <w:sz w:val="28"/>
        <w:szCs w:val="18"/>
        <w:lang w:val="en-US" w:eastAsia="zh-CN" w:bidi="ar-SA"/>
      </w:rPr>
      <w:fldChar w:fldCharType="begin"/>
    </w:r>
    <w:r>
      <w:rPr>
        <w:rStyle w:val="13"/>
        <w:rFonts w:ascii="Times New Roman" w:hAnsi="Times New Roman" w:eastAsia="宋体" w:cs="Times New Roman"/>
        <w:kern w:val="2"/>
        <w:sz w:val="28"/>
        <w:szCs w:val="18"/>
        <w:lang w:val="en-US" w:eastAsia="zh-CN" w:bidi="ar-SA"/>
      </w:rPr>
      <w:instrText xml:space="preserve">PAGE  </w:instrText>
    </w:r>
    <w:r>
      <w:rPr>
        <w:rFonts w:ascii="Times New Roman" w:hAnsi="Times New Roman" w:eastAsia="仿宋_GB2312" w:cs="Times New Roman"/>
        <w:kern w:val="2"/>
        <w:sz w:val="28"/>
        <w:szCs w:val="18"/>
        <w:lang w:val="en-US" w:eastAsia="zh-CN" w:bidi="ar-SA"/>
      </w:rPr>
      <w:fldChar w:fldCharType="separate"/>
    </w:r>
    <w:r>
      <w:rPr>
        <w:rStyle w:val="13"/>
        <w:rFonts w:ascii="Times New Roman" w:hAnsi="Times New Roman" w:eastAsia="宋体" w:cs="Times New Roman"/>
        <w:kern w:val="2"/>
        <w:sz w:val="28"/>
        <w:szCs w:val="18"/>
        <w:lang w:val="en-US" w:eastAsia="zh-CN" w:bidi="ar-SA"/>
      </w:rPr>
      <w:t>2</w:t>
    </w:r>
    <w:r>
      <w:rPr>
        <w:rFonts w:ascii="Times New Roman" w:hAnsi="Times New Roman" w:eastAsia="仿宋_GB2312" w:cs="Times New Roman"/>
        <w:kern w:val="2"/>
        <w:sz w:val="28"/>
        <w:szCs w:val="18"/>
        <w:lang w:val="en-US" w:eastAsia="zh-CN" w:bidi="ar-SA"/>
      </w:rPr>
      <w:fldChar w:fldCharType="end"/>
    </w:r>
    <w:r>
      <w:rPr>
        <w:rStyle w:val="13"/>
        <w:rFonts w:hint="eastAsia" w:ascii="Times New Roman" w:hAnsi="Times New Roman" w:eastAsia="宋体" w:cs="Times New Roman"/>
        <w:kern w:val="2"/>
        <w:sz w:val="28"/>
        <w:szCs w:val="18"/>
        <w:lang w:val="en-US" w:eastAsia="zh-CN" w:bidi="ar-SA"/>
      </w:rPr>
      <w:t xml:space="preserve">  </w:t>
    </w:r>
    <w:r>
      <w:rPr>
        <w:rFonts w:hint="eastAsia" w:ascii="Times New Roman" w:hAnsi="Times New Roman" w:eastAsia="仿宋_GB2312" w:cs="Times New Roman"/>
        <w:kern w:val="2"/>
        <w:sz w:val="28"/>
        <w:szCs w:val="18"/>
        <w:lang w:val="en-US" w:eastAsia="zh-CN" w:bidi="ar-SA"/>
      </w:rPr>
      <w:t>—</w:t>
    </w:r>
  </w:p>
  <w:p>
    <w:pPr>
      <w:widowControl w:val="0"/>
      <w:snapToGrid w:val="0"/>
      <w:ind w:right="360" w:firstLine="360"/>
      <w:jc w:val="center"/>
      <w:rPr>
        <w:rFonts w:hint="eastAsia" w:ascii="Times New Roman" w:hAnsi="Times New Roman" w:eastAsia="仿宋_GB2312" w:cs="Times New Roman"/>
        <w:kern w:val="2"/>
        <w:sz w:val="28"/>
        <w:szCs w:val="18"/>
        <w:lang w:val="en-US" w:eastAsia="zh-CN" w:bidi="ar-S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outside" w:y="1"/>
      <w:widowControl w:val="0"/>
      <w:snapToGrid w:val="0"/>
      <w:jc w:val="left"/>
      <w:rPr>
        <w:rStyle w:val="13"/>
        <w:rFonts w:ascii="Times New Roman" w:hAnsi="Times New Roman" w:eastAsia="仿宋_GB2312" w:cs="Times New Roman"/>
        <w:kern w:val="2"/>
        <w:sz w:val="18"/>
        <w:szCs w:val="18"/>
        <w:lang w:val="en-US" w:eastAsia="zh-CN" w:bidi="ar-SA"/>
      </w:rPr>
    </w:pPr>
    <w:r>
      <w:rPr>
        <w:rFonts w:ascii="Times New Roman" w:hAnsi="Times New Roman" w:eastAsia="仿宋_GB2312" w:cs="Times New Roman"/>
        <w:kern w:val="2"/>
        <w:sz w:val="18"/>
        <w:szCs w:val="18"/>
        <w:lang w:val="en-US" w:eastAsia="zh-CN" w:bidi="ar-SA"/>
      </w:rPr>
      <w:fldChar w:fldCharType="begin"/>
    </w:r>
    <w:r>
      <w:rPr>
        <w:rStyle w:val="13"/>
        <w:rFonts w:ascii="Times New Roman" w:hAnsi="Times New Roman" w:eastAsia="宋体" w:cs="Times New Roman"/>
        <w:kern w:val="2"/>
        <w:sz w:val="18"/>
        <w:szCs w:val="18"/>
        <w:lang w:val="en-US" w:eastAsia="zh-CN" w:bidi="ar-SA"/>
      </w:rPr>
      <w:instrText xml:space="preserve">PAGE  </w:instrText>
    </w:r>
    <w:r>
      <w:rPr>
        <w:rFonts w:ascii="Times New Roman" w:hAnsi="Times New Roman" w:eastAsia="仿宋_GB2312" w:cs="Times New Roman"/>
        <w:kern w:val="2"/>
        <w:sz w:val="18"/>
        <w:szCs w:val="18"/>
        <w:lang w:val="en-US" w:eastAsia="zh-CN" w:bidi="ar-SA"/>
      </w:rPr>
      <w:fldChar w:fldCharType="end"/>
    </w:r>
  </w:p>
  <w:p>
    <w:pPr>
      <w:widowControl w:val="0"/>
      <w:snapToGrid w:val="0"/>
      <w:ind w:right="360" w:firstLine="360"/>
      <w:jc w:val="left"/>
      <w:rPr>
        <w:rFonts w:hint="eastAsia" w:ascii="Times New Roman" w:hAnsi="Times New Roman" w:eastAsia="仿宋_GB2312" w:cs="Times New Roman"/>
        <w:kern w:val="2"/>
        <w:sz w:val="28"/>
        <w:szCs w:val="18"/>
        <w:lang w:val="en-US" w:eastAsia="zh-CN" w:bidi="ar-SA"/>
      </w:rPr>
    </w:pPr>
    <w:r>
      <w:rPr>
        <w:rFonts w:hint="eastAsia" w:ascii="Times New Roman" w:hAnsi="Times New Roman" w:eastAsia="仿宋_GB2312" w:cs="Times New Roman"/>
        <w:kern w:val="2"/>
        <w:sz w:val="28"/>
        <w:szCs w:val="18"/>
        <w:lang w:val="en-US" w:eastAsia="zh-CN" w:bidi="ar-SA"/>
      </w:rPr>
      <w:t>—  —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I0MTJhMWZhZDY1NTEyN2NiNzc2NjI0MTAwMzljNzcifQ=="/>
  </w:docVars>
  <w:rsids>
    <w:rsidRoot w:val="03453DD8"/>
    <w:rsid w:val="00136577"/>
    <w:rsid w:val="010D5F9C"/>
    <w:rsid w:val="01E549F3"/>
    <w:rsid w:val="020B4336"/>
    <w:rsid w:val="0318373F"/>
    <w:rsid w:val="03453DD8"/>
    <w:rsid w:val="04FF6860"/>
    <w:rsid w:val="05B63843"/>
    <w:rsid w:val="069D2772"/>
    <w:rsid w:val="076D3E73"/>
    <w:rsid w:val="07A575A8"/>
    <w:rsid w:val="07E847F2"/>
    <w:rsid w:val="08575F3C"/>
    <w:rsid w:val="0BE56763"/>
    <w:rsid w:val="0E081A28"/>
    <w:rsid w:val="10AC61EF"/>
    <w:rsid w:val="13BA7F54"/>
    <w:rsid w:val="14256B55"/>
    <w:rsid w:val="14373B38"/>
    <w:rsid w:val="14CB4BFC"/>
    <w:rsid w:val="167E7957"/>
    <w:rsid w:val="16847B92"/>
    <w:rsid w:val="185D24E7"/>
    <w:rsid w:val="185D2EAF"/>
    <w:rsid w:val="1B8D3D7F"/>
    <w:rsid w:val="1D630D24"/>
    <w:rsid w:val="21221E73"/>
    <w:rsid w:val="22150EEB"/>
    <w:rsid w:val="23990367"/>
    <w:rsid w:val="25A21BAE"/>
    <w:rsid w:val="25B877A9"/>
    <w:rsid w:val="25EC741E"/>
    <w:rsid w:val="268356B6"/>
    <w:rsid w:val="281E1563"/>
    <w:rsid w:val="28C33337"/>
    <w:rsid w:val="2C2819D9"/>
    <w:rsid w:val="2E193ABF"/>
    <w:rsid w:val="30F22671"/>
    <w:rsid w:val="34310B86"/>
    <w:rsid w:val="35111084"/>
    <w:rsid w:val="3714035B"/>
    <w:rsid w:val="375C7949"/>
    <w:rsid w:val="37A71574"/>
    <w:rsid w:val="38713B05"/>
    <w:rsid w:val="390A215B"/>
    <w:rsid w:val="39711A02"/>
    <w:rsid w:val="398A4097"/>
    <w:rsid w:val="3AFB37A0"/>
    <w:rsid w:val="3DDD32FF"/>
    <w:rsid w:val="42F55368"/>
    <w:rsid w:val="43310D91"/>
    <w:rsid w:val="44FA39EF"/>
    <w:rsid w:val="4551049A"/>
    <w:rsid w:val="45D502B8"/>
    <w:rsid w:val="48C27C9B"/>
    <w:rsid w:val="4AC459AC"/>
    <w:rsid w:val="4E186AD3"/>
    <w:rsid w:val="541E4F52"/>
    <w:rsid w:val="54D9518E"/>
    <w:rsid w:val="57D46F70"/>
    <w:rsid w:val="59255AAB"/>
    <w:rsid w:val="5DFEA898"/>
    <w:rsid w:val="5E5B22B9"/>
    <w:rsid w:val="5F38219B"/>
    <w:rsid w:val="601A5BD5"/>
    <w:rsid w:val="618D7C87"/>
    <w:rsid w:val="627933C4"/>
    <w:rsid w:val="62B1105E"/>
    <w:rsid w:val="66755657"/>
    <w:rsid w:val="668A649E"/>
    <w:rsid w:val="6AA463C1"/>
    <w:rsid w:val="6D6C6C04"/>
    <w:rsid w:val="6EC77BEF"/>
    <w:rsid w:val="6F5E6B8C"/>
    <w:rsid w:val="72A009EF"/>
    <w:rsid w:val="72CA612A"/>
    <w:rsid w:val="75376F83"/>
    <w:rsid w:val="75DF53BD"/>
    <w:rsid w:val="7B2E4735"/>
    <w:rsid w:val="7BFDC47C"/>
    <w:rsid w:val="7D7A2DA2"/>
    <w:rsid w:val="7D946EBB"/>
    <w:rsid w:val="7DFD98EF"/>
    <w:rsid w:val="7E05520C"/>
    <w:rsid w:val="7F093BD6"/>
    <w:rsid w:val="C9FB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99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a heading"/>
    <w:next w:val="1"/>
    <w:qFormat/>
    <w:uiPriority w:val="0"/>
    <w:pPr>
      <w:widowControl w:val="0"/>
      <w:spacing w:before="120"/>
      <w:jc w:val="both"/>
    </w:pPr>
    <w:rPr>
      <w:rFonts w:ascii="Cambria" w:hAnsi="Cambria" w:eastAsia="宋体" w:cs="Times New Roman"/>
      <w:kern w:val="2"/>
      <w:sz w:val="24"/>
      <w:szCs w:val="24"/>
      <w:lang w:val="en-US" w:eastAsia="zh-CN" w:bidi="ar-SA"/>
    </w:rPr>
  </w:style>
  <w:style w:type="paragraph" w:styleId="4">
    <w:name w:val="Body Text"/>
    <w:basedOn w:val="1"/>
    <w:next w:val="5"/>
    <w:semiHidden/>
    <w:unhideWhenUsed/>
    <w:qFormat/>
    <w:uiPriority w:val="99"/>
    <w:pPr>
      <w:spacing w:after="120"/>
    </w:pPr>
  </w:style>
  <w:style w:type="paragraph" w:styleId="5">
    <w:name w:val="Body Text First Indent"/>
    <w:basedOn w:val="4"/>
    <w:next w:val="1"/>
    <w:qFormat/>
    <w:uiPriority w:val="99"/>
    <w:pPr>
      <w:widowControl w:val="0"/>
      <w:spacing w:after="0" w:line="500" w:lineRule="exact"/>
      <w:ind w:firstLine="420"/>
      <w:jc w:val="both"/>
    </w:pPr>
    <w:rPr>
      <w:kern w:val="2"/>
      <w:sz w:val="28"/>
      <w:szCs w:val="28"/>
    </w:rPr>
  </w:style>
  <w:style w:type="paragraph" w:styleId="6">
    <w:name w:val="Body Text Indent"/>
    <w:basedOn w:val="1"/>
    <w:qFormat/>
    <w:uiPriority w:val="0"/>
    <w:pPr>
      <w:ind w:left="420" w:leftChars="2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Body Text First Indent 2"/>
    <w:basedOn w:val="6"/>
    <w:qFormat/>
    <w:uiPriority w:val="0"/>
    <w:pPr>
      <w:keepNext w:val="0"/>
      <w:keepLines w:val="0"/>
      <w:widowControl w:val="0"/>
      <w:suppressLineNumbers w:val="0"/>
      <w:spacing w:after="120" w:afterLines="0" w:afterAutospacing="0"/>
      <w:ind w:left="420" w:leftChars="200" w:firstLine="420" w:firstLineChars="200"/>
      <w:jc w:val="both"/>
    </w:pPr>
    <w:rPr>
      <w:rFonts w:hint="default" w:ascii="Times New Roman" w:hAnsi="Times New Roman" w:eastAsia="宋体" w:cs="Times New Roman"/>
      <w:kern w:val="2"/>
      <w:sz w:val="21"/>
      <w:szCs w:val="21"/>
      <w:lang w:val="en-US" w:eastAsia="zh-CN" w:bidi="ar"/>
    </w:rPr>
  </w:style>
  <w:style w:type="character" w:styleId="13">
    <w:name w:val="page number"/>
    <w:basedOn w:val="12"/>
    <w:qFormat/>
    <w:uiPriority w:val="0"/>
  </w:style>
  <w:style w:type="paragraph" w:customStyle="1" w:styleId="14">
    <w:name w:val="Char1"/>
    <w:qFormat/>
    <w:uiPriority w:val="0"/>
    <w:pPr>
      <w:widowControl/>
      <w:spacing w:after="160" w:line="240" w:lineRule="exact"/>
      <w:jc w:val="left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2023-04-11T15:03:00Z</dcterms:created>
  <dc:creator>许小吟</dc:creator>
  <cp:lastModifiedBy>青田县府办文书2</cp:lastModifiedBy>
  <cp:lastPrinted>2023-12-04T03:28:00Z</cp:lastPrinted>
  <dcterms:modified xsi:type="dcterms:W3CDTF">2024-01-02T09:03:15Z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  <property fmtid="{D5CDD505-2E9C-101B-9397-08002B2CF9AE}" pid="3" name="ICV">
    <vt:lpwstr>1E000B603AD8434CB733AC5CD7D852DB_11</vt:lpwstr>
  </property>
</Properties>
</file>