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napToGrid w:val="0"/>
        <w:rPr>
          <w:rFonts w:hint="eastAsia"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附件</w:t>
      </w:r>
      <w:r>
        <w:rPr>
          <w:rFonts w:hint="eastAsia" w:ascii="Times New Roman" w:hAnsi="Times New Roman" w:eastAsia="仿宋_GB2312" w:cs="Times New Roman"/>
          <w:sz w:val="32"/>
          <w:szCs w:val="32"/>
          <w:lang w:val="en-US" w:eastAsia="zh-CN"/>
        </w:rPr>
        <w:t>1</w:t>
      </w:r>
    </w:p>
    <w:p>
      <w:pPr>
        <w:widowControl/>
        <w:jc w:val="center"/>
        <w:rPr>
          <w:rFonts w:hint="eastAsia" w:ascii="方正小标宋简体" w:eastAsia="方正小标宋简体" w:cs="Calibri" w:hAnsiTheme="minorEastAsia"/>
          <w:bCs/>
          <w:color w:val="000000"/>
          <w:kern w:val="0"/>
          <w:sz w:val="36"/>
          <w:szCs w:val="36"/>
          <w:lang w:eastAsia="zh-CN"/>
        </w:rPr>
      </w:pPr>
      <w:r>
        <w:rPr>
          <w:rFonts w:hint="eastAsia" w:ascii="方正小标宋简体" w:eastAsia="方正小标宋简体" w:cs="Calibri" w:hAnsiTheme="minorEastAsia"/>
          <w:bCs/>
          <w:color w:val="000000"/>
          <w:kern w:val="0"/>
          <w:sz w:val="36"/>
          <w:szCs w:val="36"/>
          <w:lang w:val="en-US" w:eastAsia="zh-CN"/>
        </w:rPr>
        <w:t>课题研究内容要求</w:t>
      </w:r>
    </w:p>
    <w:tbl>
      <w:tblPr>
        <w:tblStyle w:val="17"/>
        <w:tblW w:w="1519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1"/>
        <w:gridCol w:w="2211"/>
        <w:gridCol w:w="6726"/>
        <w:gridCol w:w="1125"/>
        <w:gridCol w:w="2825"/>
        <w:gridCol w:w="14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15196" w:type="dxa"/>
            <w:gridSpan w:val="6"/>
            <w:tcBorders>
              <w:top w:val="nil"/>
              <w:left w:val="nil"/>
              <w:bottom w:val="single" w:color="auto" w:sz="4" w:space="0"/>
              <w:right w:val="nil"/>
            </w:tcBorders>
            <w:shd w:val="clear" w:color="auto" w:fill="auto"/>
            <w:vAlign w:val="center"/>
          </w:tcPr>
          <w:p>
            <w:pPr>
              <w:widowControl/>
              <w:jc w:val="center"/>
              <w:rPr>
                <w:rFonts w:ascii="方正小标宋简体" w:eastAsia="方正小标宋简体" w:cs="Calibri" w:hAnsiTheme="minorEastAsia"/>
                <w:bCs/>
                <w:color w:val="000000"/>
                <w:kern w:val="0"/>
                <w:sz w:val="44"/>
                <w:szCs w:val="44"/>
              </w:rPr>
            </w:pPr>
            <w:r>
              <w:rPr>
                <w:rFonts w:hint="eastAsia" w:ascii="方正小标宋简体" w:eastAsia="方正小标宋简体" w:cs="Calibri" w:hAnsiTheme="minorEastAsia"/>
                <w:bCs/>
                <w:color w:val="000000"/>
                <w:kern w:val="0"/>
                <w:sz w:val="36"/>
                <w:szCs w:val="36"/>
              </w:rPr>
              <w:t>2024年度</w:t>
            </w:r>
            <w:r>
              <w:rPr>
                <w:rFonts w:hint="eastAsia" w:ascii="方正小标宋简体" w:eastAsia="方正小标宋简体" w:cs="Calibri" w:hAnsiTheme="minorEastAsia"/>
                <w:bCs/>
                <w:color w:val="000000"/>
                <w:kern w:val="0"/>
                <w:sz w:val="36"/>
                <w:szCs w:val="36"/>
                <w:lang w:eastAsia="zh-CN"/>
              </w:rPr>
              <w:t>第二批市</w:t>
            </w:r>
            <w:r>
              <w:rPr>
                <w:rFonts w:hint="eastAsia" w:ascii="方正小标宋简体" w:eastAsia="方正小标宋简体" w:cs="Calibri" w:hAnsiTheme="minorEastAsia"/>
                <w:bCs/>
                <w:color w:val="000000"/>
                <w:kern w:val="0"/>
                <w:sz w:val="36"/>
                <w:szCs w:val="36"/>
              </w:rPr>
              <w:t>哲社规划</w:t>
            </w:r>
            <w:r>
              <w:rPr>
                <w:rFonts w:hint="eastAsia" w:ascii="方正小标宋简体" w:eastAsia="方正小标宋简体" w:cs="Calibri" w:hAnsiTheme="minorEastAsia"/>
                <w:bCs/>
                <w:color w:val="000000"/>
                <w:kern w:val="0"/>
                <w:sz w:val="36"/>
                <w:szCs w:val="36"/>
                <w:lang w:eastAsia="zh-CN"/>
              </w:rPr>
              <w:t>课题（部门</w:t>
            </w:r>
            <w:r>
              <w:rPr>
                <w:rFonts w:hint="eastAsia" w:ascii="方正小标宋简体" w:eastAsia="方正小标宋简体" w:cs="Calibri" w:hAnsiTheme="minorEastAsia"/>
                <w:bCs/>
                <w:color w:val="000000"/>
                <w:kern w:val="0"/>
                <w:sz w:val="36"/>
                <w:szCs w:val="36"/>
              </w:rPr>
              <w:t>合作</w:t>
            </w:r>
            <w:r>
              <w:rPr>
                <w:rFonts w:hint="eastAsia" w:ascii="方正小标宋简体" w:eastAsia="方正小标宋简体" w:cs="Calibri" w:hAnsiTheme="minorEastAsia"/>
                <w:bCs/>
                <w:color w:val="000000"/>
                <w:kern w:val="0"/>
                <w:sz w:val="36"/>
                <w:szCs w:val="36"/>
                <w:lang w:eastAsia="zh-CN"/>
              </w:rPr>
              <w:t>课题）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41" w:type="dxa"/>
            <w:tcBorders>
              <w:top w:val="single" w:color="auto" w:sz="4" w:space="0"/>
            </w:tcBorders>
            <w:shd w:val="clear" w:color="auto" w:fill="auto"/>
            <w:vAlign w:val="center"/>
          </w:tcPr>
          <w:p>
            <w:pPr>
              <w:widowControl/>
              <w:spacing w:line="280" w:lineRule="exact"/>
              <w:jc w:val="center"/>
              <w:rPr>
                <w:rFonts w:ascii="黑体" w:hAnsi="黑体" w:eastAsia="黑体" w:cs="Calibri"/>
                <w:bCs/>
                <w:color w:val="000000"/>
                <w:kern w:val="0"/>
                <w:sz w:val="21"/>
                <w:szCs w:val="21"/>
              </w:rPr>
            </w:pPr>
            <w:r>
              <w:rPr>
                <w:rFonts w:hint="eastAsia" w:ascii="黑体" w:hAnsi="黑体" w:eastAsia="黑体" w:cs="Calibri"/>
                <w:bCs/>
                <w:color w:val="000000"/>
                <w:kern w:val="0"/>
                <w:sz w:val="21"/>
                <w:szCs w:val="21"/>
              </w:rPr>
              <w:t>选题号</w:t>
            </w:r>
          </w:p>
        </w:tc>
        <w:tc>
          <w:tcPr>
            <w:tcW w:w="2211" w:type="dxa"/>
            <w:tcBorders>
              <w:top w:val="single" w:color="auto" w:sz="4" w:space="0"/>
            </w:tcBorders>
            <w:shd w:val="clear" w:color="auto" w:fill="auto"/>
            <w:vAlign w:val="center"/>
          </w:tcPr>
          <w:p>
            <w:pPr>
              <w:widowControl/>
              <w:spacing w:line="280" w:lineRule="exact"/>
              <w:jc w:val="center"/>
              <w:rPr>
                <w:rFonts w:ascii="黑体" w:hAnsi="黑体" w:eastAsia="黑体" w:cs="Calibri"/>
                <w:bCs/>
                <w:color w:val="000000"/>
                <w:kern w:val="0"/>
                <w:sz w:val="21"/>
                <w:szCs w:val="21"/>
              </w:rPr>
            </w:pPr>
            <w:r>
              <w:rPr>
                <w:rFonts w:hint="eastAsia" w:ascii="黑体" w:hAnsi="黑体" w:eastAsia="黑体" w:cs="Calibri"/>
                <w:bCs/>
                <w:color w:val="000000"/>
                <w:kern w:val="0"/>
                <w:sz w:val="21"/>
                <w:szCs w:val="21"/>
              </w:rPr>
              <w:t>选题或选题方向</w:t>
            </w:r>
          </w:p>
        </w:tc>
        <w:tc>
          <w:tcPr>
            <w:tcW w:w="6726" w:type="dxa"/>
            <w:tcBorders>
              <w:top w:val="single" w:color="auto" w:sz="4" w:space="0"/>
            </w:tcBorders>
            <w:shd w:val="clear" w:color="auto" w:fill="auto"/>
            <w:vAlign w:val="center"/>
          </w:tcPr>
          <w:p>
            <w:pPr>
              <w:widowControl/>
              <w:spacing w:line="280" w:lineRule="exact"/>
              <w:jc w:val="center"/>
              <w:rPr>
                <w:rFonts w:ascii="黑体" w:hAnsi="黑体" w:eastAsia="黑体" w:cs="Calibri"/>
                <w:bCs/>
                <w:color w:val="000000"/>
                <w:kern w:val="0"/>
                <w:sz w:val="21"/>
                <w:szCs w:val="21"/>
              </w:rPr>
            </w:pPr>
            <w:r>
              <w:rPr>
                <w:rFonts w:hint="eastAsia" w:ascii="黑体" w:hAnsi="黑体" w:eastAsia="黑体" w:cs="Calibri"/>
                <w:bCs/>
                <w:color w:val="000000"/>
                <w:kern w:val="0"/>
                <w:sz w:val="21"/>
                <w:szCs w:val="21"/>
              </w:rPr>
              <w:t>研究内容及具体要求</w:t>
            </w:r>
          </w:p>
        </w:tc>
        <w:tc>
          <w:tcPr>
            <w:tcW w:w="1125" w:type="dxa"/>
            <w:tcBorders>
              <w:top w:val="single" w:color="auto" w:sz="4" w:space="0"/>
            </w:tcBorders>
            <w:shd w:val="clear" w:color="auto" w:fill="auto"/>
            <w:vAlign w:val="center"/>
          </w:tcPr>
          <w:p>
            <w:pPr>
              <w:widowControl/>
              <w:spacing w:line="280" w:lineRule="exact"/>
              <w:jc w:val="center"/>
              <w:rPr>
                <w:rFonts w:ascii="黑体" w:hAnsi="黑体" w:eastAsia="黑体" w:cs="Calibri"/>
                <w:bCs/>
                <w:color w:val="000000"/>
                <w:kern w:val="0"/>
                <w:sz w:val="21"/>
                <w:szCs w:val="21"/>
              </w:rPr>
            </w:pPr>
            <w:r>
              <w:rPr>
                <w:rFonts w:hint="eastAsia" w:ascii="黑体" w:hAnsi="黑体" w:eastAsia="黑体" w:cs="Calibri"/>
                <w:bCs/>
                <w:color w:val="000000"/>
                <w:kern w:val="0"/>
                <w:sz w:val="21"/>
                <w:szCs w:val="21"/>
              </w:rPr>
              <w:t>资助经费（万元）</w:t>
            </w:r>
          </w:p>
        </w:tc>
        <w:tc>
          <w:tcPr>
            <w:tcW w:w="2825" w:type="dxa"/>
            <w:tcBorders>
              <w:top w:val="single" w:color="auto" w:sz="4" w:space="0"/>
            </w:tcBorders>
            <w:shd w:val="clear" w:color="auto" w:fill="auto"/>
            <w:vAlign w:val="center"/>
          </w:tcPr>
          <w:p>
            <w:pPr>
              <w:widowControl/>
              <w:spacing w:line="280" w:lineRule="exact"/>
              <w:jc w:val="center"/>
              <w:rPr>
                <w:rFonts w:ascii="黑体" w:hAnsi="黑体" w:eastAsia="黑体" w:cs="Calibri"/>
                <w:bCs/>
                <w:color w:val="000000"/>
                <w:kern w:val="0"/>
                <w:sz w:val="21"/>
                <w:szCs w:val="21"/>
              </w:rPr>
            </w:pPr>
            <w:r>
              <w:rPr>
                <w:rFonts w:hint="eastAsia" w:ascii="黑体" w:hAnsi="黑体" w:eastAsia="黑体" w:cs="Calibri"/>
                <w:bCs/>
                <w:color w:val="000000"/>
                <w:kern w:val="0"/>
                <w:sz w:val="21"/>
                <w:szCs w:val="21"/>
              </w:rPr>
              <w:t>成果形式</w:t>
            </w:r>
          </w:p>
        </w:tc>
        <w:tc>
          <w:tcPr>
            <w:tcW w:w="1468" w:type="dxa"/>
            <w:tcBorders>
              <w:top w:val="single" w:color="auto" w:sz="4" w:space="0"/>
            </w:tcBorders>
            <w:shd w:val="clear" w:color="auto" w:fill="auto"/>
            <w:vAlign w:val="center"/>
          </w:tcPr>
          <w:p>
            <w:pPr>
              <w:widowControl/>
              <w:spacing w:line="280" w:lineRule="exact"/>
              <w:jc w:val="center"/>
              <w:rPr>
                <w:rFonts w:ascii="黑体" w:hAnsi="黑体" w:eastAsia="黑体" w:cs="Calibri"/>
                <w:bCs/>
                <w:color w:val="000000"/>
                <w:kern w:val="0"/>
                <w:sz w:val="21"/>
                <w:szCs w:val="21"/>
              </w:rPr>
            </w:pPr>
            <w:r>
              <w:rPr>
                <w:rFonts w:hint="eastAsia" w:ascii="黑体" w:hAnsi="黑体" w:eastAsia="黑体" w:cs="Calibri"/>
                <w:bCs/>
                <w:color w:val="000000"/>
                <w:kern w:val="0"/>
                <w:sz w:val="21"/>
                <w:szCs w:val="21"/>
              </w:rPr>
              <w:t>完成时间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jc w:val="center"/>
        </w:trPr>
        <w:tc>
          <w:tcPr>
            <w:tcW w:w="15196" w:type="dxa"/>
            <w:gridSpan w:val="6"/>
            <w:shd w:val="clear" w:color="auto" w:fill="auto"/>
            <w:vAlign w:val="center"/>
          </w:tcPr>
          <w:p>
            <w:pPr>
              <w:widowControl/>
              <w:spacing w:line="280" w:lineRule="exact"/>
              <w:jc w:val="center"/>
              <w:rPr>
                <w:rFonts w:hint="eastAsia" w:ascii="黑体" w:hAnsi="黑体" w:eastAsia="黑体"/>
                <w:kern w:val="0"/>
                <w:sz w:val="21"/>
                <w:szCs w:val="21"/>
                <w:lang w:eastAsia="zh-CN"/>
              </w:rPr>
            </w:pPr>
            <w:r>
              <w:rPr>
                <w:rFonts w:hint="eastAsia" w:ascii="黑体" w:hAnsi="黑体" w:eastAsia="黑体" w:cs="Calibri"/>
                <w:bCs/>
                <w:color w:val="000000"/>
                <w:kern w:val="0"/>
                <w:sz w:val="21"/>
                <w:szCs w:val="21"/>
              </w:rPr>
              <w:t>（</w:t>
            </w:r>
            <w:r>
              <w:rPr>
                <w:rFonts w:hint="eastAsia" w:ascii="黑体" w:hAnsi="黑体" w:eastAsia="黑体" w:cs="Calibri"/>
                <w:bCs/>
                <w:color w:val="000000"/>
                <w:kern w:val="0"/>
                <w:sz w:val="21"/>
                <w:szCs w:val="21"/>
                <w:lang w:eastAsia="zh-CN"/>
              </w:rPr>
              <w:t>一</w:t>
            </w:r>
            <w:r>
              <w:rPr>
                <w:rFonts w:hint="eastAsia" w:ascii="黑体" w:hAnsi="黑体" w:eastAsia="黑体" w:cs="Calibri"/>
                <w:bCs/>
                <w:color w:val="000000"/>
                <w:kern w:val="0"/>
                <w:sz w:val="21"/>
                <w:szCs w:val="21"/>
              </w:rPr>
              <w:t>）</w:t>
            </w:r>
            <w:r>
              <w:rPr>
                <w:rFonts w:hint="eastAsia" w:ascii="黑体" w:hAnsi="黑体" w:eastAsia="黑体" w:cs="Calibri"/>
                <w:bCs/>
                <w:color w:val="000000"/>
                <w:kern w:val="0"/>
                <w:sz w:val="21"/>
                <w:szCs w:val="21"/>
                <w:lang w:eastAsia="zh-CN"/>
              </w:rPr>
              <w:t>市委宣传部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5" w:hRule="atLeast"/>
          <w:jc w:val="center"/>
        </w:trPr>
        <w:tc>
          <w:tcPr>
            <w:tcW w:w="841"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1</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落实主体责任 强化校地共建  筑牢高校意识形态阵地</w:t>
            </w:r>
          </w:p>
        </w:tc>
        <w:tc>
          <w:tcPr>
            <w:tcW w:w="6726"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重点聚焦高校意识形态阵地建设，围绕强化学校主体责任，加强学校和所在地党委政府合作共建等方面开展研究，分析存在的短板弱项，提出工作举措建议。</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2</w:t>
            </w:r>
          </w:p>
        </w:tc>
        <w:tc>
          <w:tcPr>
            <w:tcW w:w="2825" w:type="dxa"/>
            <w:vMerge w:val="restart"/>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rPr>
              <w:t>研究报告（1万字）</w:t>
            </w:r>
            <w:r>
              <w:rPr>
                <w:rFonts w:hint="eastAsia" w:cs="Calibri" w:asciiTheme="minorEastAsia" w:hAnsiTheme="minorEastAsia" w:eastAsiaTheme="minorEastAsia"/>
                <w:color w:val="000000"/>
                <w:kern w:val="0"/>
                <w:sz w:val="21"/>
                <w:szCs w:val="21"/>
                <w:lang w:eastAsia="zh-CN"/>
              </w:rPr>
              <w:t>或</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决策建议稿（4000</w:t>
            </w:r>
            <w:r>
              <w:rPr>
                <w:rFonts w:hint="eastAsia" w:cs="Calibri" w:asciiTheme="minorEastAsia" w:hAnsiTheme="minorEastAsia" w:eastAsiaTheme="minorEastAsia"/>
                <w:color w:val="000000"/>
                <w:kern w:val="0"/>
                <w:sz w:val="21"/>
                <w:szCs w:val="21"/>
                <w:lang w:val="en-US" w:eastAsia="zh-CN"/>
              </w:rPr>
              <w:t>-5000</w:t>
            </w:r>
            <w:r>
              <w:rPr>
                <w:rFonts w:hint="eastAsia" w:cs="Calibri" w:asciiTheme="minorEastAsia" w:hAnsiTheme="minorEastAsia" w:eastAsiaTheme="minorEastAsia"/>
                <w:color w:val="000000"/>
                <w:kern w:val="0"/>
                <w:sz w:val="21"/>
                <w:szCs w:val="21"/>
              </w:rPr>
              <w:t>字）</w:t>
            </w:r>
          </w:p>
        </w:tc>
        <w:tc>
          <w:tcPr>
            <w:tcW w:w="1468" w:type="dxa"/>
            <w:vMerge w:val="restart"/>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eastAsia="zh-CN"/>
              </w:rPr>
              <w:t>课题立项后</w:t>
            </w:r>
            <w:r>
              <w:rPr>
                <w:rFonts w:hint="eastAsia" w:cs="Calibri" w:asciiTheme="minorEastAsia" w:hAnsiTheme="minorEastAsia" w:eastAsiaTheme="minorEastAsia"/>
                <w:color w:val="000000"/>
                <w:kern w:val="0"/>
                <w:sz w:val="21"/>
                <w:szCs w:val="21"/>
                <w:lang w:val="en-US" w:eastAsia="zh-CN"/>
              </w:rPr>
              <w:t>3-6</w:t>
            </w:r>
            <w:r>
              <w:rPr>
                <w:rFonts w:hint="eastAsia" w:cs="Calibri" w:asciiTheme="minorEastAsia" w:hAnsiTheme="minorEastAsia" w:eastAsiaTheme="minorEastAsia"/>
                <w:color w:val="000000"/>
                <w:kern w:val="0"/>
                <w:sz w:val="21"/>
                <w:szCs w:val="21"/>
                <w:lang w:eastAsia="zh-CN"/>
              </w:rPr>
              <w:t>个月内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3" w:hRule="atLeast"/>
          <w:jc w:val="center"/>
        </w:trPr>
        <w:tc>
          <w:tcPr>
            <w:tcW w:w="841"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2</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关于思想理论热点的舆情分析</w:t>
            </w:r>
          </w:p>
        </w:tc>
        <w:tc>
          <w:tcPr>
            <w:tcW w:w="6726"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围绕当前国际国内形势，针对意识形态领域出现的苗头性、倾向性问题开展分析研究。重点关注高等院校、社科研究机构以及新媒体新动向新动态，反映当前社会思想意识领域出现的新变化，提出相关意见建议。</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2</w:t>
            </w:r>
          </w:p>
        </w:tc>
        <w:tc>
          <w:tcPr>
            <w:tcW w:w="2825"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c>
          <w:tcPr>
            <w:tcW w:w="1468" w:type="dxa"/>
            <w:vMerge w:val="continue"/>
            <w:shd w:val="clear" w:color="auto" w:fill="auto"/>
            <w:vAlign w:val="center"/>
          </w:tcPr>
          <w:p>
            <w:pPr>
              <w:widowControl/>
              <w:spacing w:line="280" w:lineRule="exact"/>
              <w:jc w:val="center"/>
              <w:rPr>
                <w:rFonts w:cs="Calibri" w:asciiTheme="minorEastAsia" w:hAnsiTheme="minorEastAsia" w:eastAsia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8" w:hRule="atLeast"/>
          <w:jc w:val="center"/>
        </w:trPr>
        <w:tc>
          <w:tcPr>
            <w:tcW w:w="841"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3</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关于社会热点及公共突发事件舆情分析</w:t>
            </w:r>
          </w:p>
        </w:tc>
        <w:tc>
          <w:tcPr>
            <w:tcW w:w="6726"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重点针对收入分配、医疗改革、教育“双减”、就业就学、安全生产、婚恋生育等民生领域中的热点话题和突发事件，全面收集社会各界的观点和看法，系统梳理群众反映的突出问题，提出相关意见建议。</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2</w:t>
            </w:r>
          </w:p>
        </w:tc>
        <w:tc>
          <w:tcPr>
            <w:tcW w:w="2825" w:type="dxa"/>
            <w:vMerge w:val="continue"/>
            <w:shd w:val="clear" w:color="auto" w:fill="auto"/>
            <w:vAlign w:val="center"/>
          </w:tcPr>
          <w:p>
            <w:pPr>
              <w:widowControl/>
              <w:spacing w:line="280" w:lineRule="exact"/>
              <w:jc w:val="center"/>
              <w:rPr>
                <w:rFonts w:cs="Calibri" w:asciiTheme="minorEastAsia" w:hAnsiTheme="minorEastAsia" w:eastAsiaTheme="minorEastAsia"/>
                <w:color w:val="000000"/>
                <w:kern w:val="0"/>
                <w:sz w:val="21"/>
                <w:szCs w:val="21"/>
              </w:rPr>
            </w:pPr>
          </w:p>
        </w:tc>
        <w:tc>
          <w:tcPr>
            <w:tcW w:w="1468" w:type="dxa"/>
            <w:vMerge w:val="continue"/>
            <w:shd w:val="clear" w:color="auto" w:fill="auto"/>
            <w:vAlign w:val="center"/>
          </w:tcPr>
          <w:p>
            <w:pPr>
              <w:widowControl/>
              <w:spacing w:line="280" w:lineRule="exact"/>
              <w:jc w:val="center"/>
              <w:rPr>
                <w:rFonts w:cs="Calibri" w:asciiTheme="minorEastAsia" w:hAnsiTheme="minorEastAsia" w:eastAsia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41"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4</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关于经济热点话题的舆情分析</w:t>
            </w:r>
          </w:p>
        </w:tc>
        <w:tc>
          <w:tcPr>
            <w:tcW w:w="6726"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关注我市经济发展系列决策部署，以及外贸出口、金融风险、民营企业、股市楼市等领域热点问题，分析不同群体和市场主体对经济形势、政策措施的态度、看法和建议，提出相应意见建议。</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2</w:t>
            </w:r>
          </w:p>
        </w:tc>
        <w:tc>
          <w:tcPr>
            <w:tcW w:w="2825"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c>
          <w:tcPr>
            <w:tcW w:w="1468" w:type="dxa"/>
            <w:vMerge w:val="continue"/>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41"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5</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关于社会心态的舆情分析</w:t>
            </w:r>
          </w:p>
        </w:tc>
        <w:tc>
          <w:tcPr>
            <w:tcW w:w="6726"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围绕各类群体的社会心态与价值取向，如“一线工人”“青年群体”“高校师生”“Z世代”“三支队伍”等，分析研判社会公众的心态变化特征及趋势，提出有效引导社会情绪的对策建议。</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2</w:t>
            </w:r>
          </w:p>
        </w:tc>
        <w:tc>
          <w:tcPr>
            <w:tcW w:w="2825"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c>
          <w:tcPr>
            <w:tcW w:w="1468"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jc w:val="center"/>
        </w:trPr>
        <w:tc>
          <w:tcPr>
            <w:tcW w:w="15196" w:type="dxa"/>
            <w:gridSpan w:val="6"/>
            <w:shd w:val="clear" w:color="auto" w:fill="auto"/>
            <w:vAlign w:val="center"/>
          </w:tcPr>
          <w:p>
            <w:pPr>
              <w:widowControl/>
              <w:spacing w:line="280" w:lineRule="exact"/>
              <w:jc w:val="center"/>
              <w:rPr>
                <w:rFonts w:hint="eastAsia" w:ascii="黑体" w:hAnsi="黑体" w:eastAsia="黑体"/>
                <w:kern w:val="0"/>
                <w:sz w:val="21"/>
                <w:szCs w:val="21"/>
                <w:lang w:eastAsia="zh-CN"/>
              </w:rPr>
            </w:pPr>
            <w:r>
              <w:rPr>
                <w:rFonts w:hint="eastAsia" w:ascii="黑体" w:hAnsi="黑体" w:eastAsia="黑体" w:cs="Calibri"/>
                <w:bCs/>
                <w:color w:val="000000"/>
                <w:kern w:val="0"/>
                <w:sz w:val="21"/>
                <w:szCs w:val="21"/>
              </w:rPr>
              <w:t>（</w:t>
            </w:r>
            <w:r>
              <w:rPr>
                <w:rFonts w:hint="eastAsia" w:ascii="黑体" w:hAnsi="黑体" w:eastAsia="黑体" w:cs="Calibri"/>
                <w:bCs/>
                <w:color w:val="000000"/>
                <w:kern w:val="0"/>
                <w:sz w:val="21"/>
                <w:szCs w:val="21"/>
                <w:lang w:eastAsia="zh-CN"/>
              </w:rPr>
              <w:t>二</w:t>
            </w:r>
            <w:r>
              <w:rPr>
                <w:rFonts w:hint="eastAsia" w:ascii="黑体" w:hAnsi="黑体" w:eastAsia="黑体" w:cs="Calibri"/>
                <w:bCs/>
                <w:color w:val="000000"/>
                <w:kern w:val="0"/>
                <w:sz w:val="21"/>
                <w:szCs w:val="21"/>
              </w:rPr>
              <w:t>）</w:t>
            </w:r>
            <w:r>
              <w:rPr>
                <w:rFonts w:hint="eastAsia" w:ascii="黑体" w:hAnsi="黑体" w:eastAsia="黑体" w:cs="Calibri"/>
                <w:bCs/>
                <w:color w:val="000000"/>
                <w:kern w:val="0"/>
                <w:sz w:val="21"/>
                <w:szCs w:val="21"/>
                <w:lang w:eastAsia="zh-CN"/>
              </w:rPr>
              <w:t>市委统战部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80" w:hRule="atLeast"/>
          <w:jc w:val="center"/>
        </w:trPr>
        <w:tc>
          <w:tcPr>
            <w:tcW w:w="841"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6</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“宁波帮”新时代内涵研究</w:t>
            </w:r>
          </w:p>
        </w:tc>
        <w:tc>
          <w:tcPr>
            <w:tcW w:w="6726"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2004 年 8 月 1 日，习近平同志在出席纪念邓小平诞辰100周年暨“把全世界的‘宁波帮’都动员起来建设宁波”指示发表20周年大会时指出：“‘宁波帮’是宁波的优势，也是浙江的优势。‘宁波帮’精神是浙江精神的重要组成部分， 是浙江人民的宝贵财富。”“要大力弘扬‘宁波帮’精神，丰富 发展‘浙江精神’。进一步动员‘宁波帮’和一切关心浙江发展、关心宁波建设的海内外人士，共同创造浙江和宁波的美好未来，为全国大局、为中华民族的伟大复兴作出新的更大的贡献。”对“宁波帮”的内涵和外延做出了明确的重要指示。20年来，“宁波帮”积极参与推动国家改革开放和现代化发展的进程，发挥了独特作用、做出了独特贡献。</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随着时代的发展和形势的变迁，“宁波帮”的范畴、特点和发挥作用的方式方法都发生了变化，需要从循迹溯源、传承过去、立足当下、面向未来的角度，重新提炼符合新时代特征的“宁波帮”精神内涵。重点是梳理新时代“宁波帮”的定义、特征、贡献、优势、使命及实现使命任务的路径方法，从而促进新时代“宁波帮”对国家、民族及人类作出新的更大贡献。</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5</w:t>
            </w:r>
          </w:p>
        </w:tc>
        <w:tc>
          <w:tcPr>
            <w:tcW w:w="28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rPr>
              <w:t>研究报告</w:t>
            </w:r>
            <w:r>
              <w:rPr>
                <w:rFonts w:hint="eastAsia" w:cs="Calibri" w:asciiTheme="minorEastAsia" w:hAnsiTheme="minorEastAsia" w:eastAsiaTheme="minorEastAsia"/>
                <w:color w:val="000000"/>
                <w:kern w:val="0"/>
                <w:sz w:val="21"/>
                <w:szCs w:val="21"/>
                <w:lang w:eastAsia="zh-CN"/>
              </w:rPr>
              <w:t>（</w:t>
            </w:r>
            <w:r>
              <w:rPr>
                <w:rFonts w:hint="eastAsia" w:cs="Calibri" w:asciiTheme="minorEastAsia" w:hAnsiTheme="minorEastAsia" w:eastAsiaTheme="minorEastAsia"/>
                <w:color w:val="000000"/>
                <w:kern w:val="0"/>
                <w:sz w:val="21"/>
                <w:szCs w:val="21"/>
                <w:lang w:val="en-US" w:eastAsia="zh-CN"/>
              </w:rPr>
              <w:t>2万字左右</w:t>
            </w:r>
            <w:r>
              <w:rPr>
                <w:rFonts w:hint="eastAsia" w:cs="Calibri" w:asciiTheme="minorEastAsia" w:hAnsiTheme="minorEastAsia" w:eastAsiaTheme="minorEastAsia"/>
                <w:color w:val="000000"/>
                <w:kern w:val="0"/>
                <w:sz w:val="21"/>
                <w:szCs w:val="21"/>
                <w:lang w:eastAsia="zh-CN"/>
              </w:rPr>
              <w:t>）</w:t>
            </w:r>
            <w:r>
              <w:rPr>
                <w:rFonts w:hint="eastAsia" w:cs="Calibri" w:asciiTheme="minorEastAsia" w:hAnsiTheme="minorEastAsia" w:eastAsiaTheme="minorEastAsia"/>
                <w:color w:val="000000"/>
                <w:kern w:val="0"/>
                <w:sz w:val="21"/>
                <w:szCs w:val="21"/>
                <w:lang w:val="en-US" w:eastAsia="zh-CN"/>
              </w:rPr>
              <w:t>+</w:t>
            </w:r>
          </w:p>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决策建议稿（4000字左右）</w:t>
            </w:r>
          </w:p>
        </w:tc>
        <w:tc>
          <w:tcPr>
            <w:tcW w:w="1468" w:type="dxa"/>
            <w:vMerge w:val="restart"/>
            <w:shd w:val="clear" w:color="auto" w:fill="auto"/>
            <w:vAlign w:val="center"/>
          </w:tcPr>
          <w:p>
            <w:pPr>
              <w:widowControl/>
              <w:spacing w:line="280" w:lineRule="exact"/>
              <w:jc w:val="center"/>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val="en-US" w:eastAsia="zh-CN"/>
              </w:rPr>
              <w:t>2024年9月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2" w:hRule="atLeast"/>
          <w:jc w:val="center"/>
        </w:trPr>
        <w:tc>
          <w:tcPr>
            <w:tcW w:w="841"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7</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精准开展思想政治引领路径研究</w:t>
            </w:r>
          </w:p>
        </w:tc>
        <w:tc>
          <w:tcPr>
            <w:tcW w:w="6726"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在中央统战工作会议上习近平总书记指出，新时代爱国统一战线结构分化、思想多元，巩固共同思想政治基础的要求更加迫切。当前，工农联盟作为统一战线的基础没有变，但工人和农民的身份发生了变化，新型产业工人和农民工等大量涌现；非公有制经济规模和影响力持续扩大，对依法加强规范引导提出了新要求；知识分子大众化趋势日益明显，新的社会阶层人士队伍不断壮大，新就业群体快速增长；新华侨华人和华裔新生代逐渐成为侨社主体，但部分新生代对祖（籍）国感情代际递减现象突出。特别是互联网快速发展，不断催生大量的网络群体和网络舆情，互联网日益成为舆论生成的策源地、信息传播的集散地、思想交锋的主阵地。</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本课题旨在通过 深入分析思想态势的变化，研究思想政治工作存在的困境，探索统一战线更加精准团结整合各方力量、增进政治共识的思路理念、政策举措、方法手段，为党汇聚起磅礴力量提供理论支撑。</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2</w:t>
            </w:r>
          </w:p>
        </w:tc>
        <w:tc>
          <w:tcPr>
            <w:tcW w:w="2825" w:type="dxa"/>
            <w:vMerge w:val="restart"/>
            <w:vAlign w:val="center"/>
          </w:tcPr>
          <w:p>
            <w:pPr>
              <w:widowControl/>
              <w:spacing w:line="280" w:lineRule="exact"/>
              <w:jc w:val="center"/>
              <w:rPr>
                <w:rFonts w:hint="eastAsia"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rPr>
              <w:t>研究报告</w:t>
            </w:r>
            <w:r>
              <w:rPr>
                <w:rFonts w:hint="eastAsia" w:cs="Calibri" w:asciiTheme="minorEastAsia" w:hAnsiTheme="minorEastAsia" w:eastAsiaTheme="minorEastAsia"/>
                <w:color w:val="000000"/>
                <w:kern w:val="0"/>
                <w:sz w:val="21"/>
                <w:szCs w:val="21"/>
                <w:lang w:eastAsia="zh-CN"/>
              </w:rPr>
              <w:t>（</w:t>
            </w:r>
            <w:r>
              <w:rPr>
                <w:rFonts w:hint="eastAsia" w:cs="Calibri" w:asciiTheme="minorEastAsia" w:hAnsiTheme="minorEastAsia" w:eastAsiaTheme="minorEastAsia"/>
                <w:color w:val="000000"/>
                <w:kern w:val="0"/>
                <w:sz w:val="21"/>
                <w:szCs w:val="21"/>
                <w:lang w:val="en-US" w:eastAsia="zh-CN"/>
              </w:rPr>
              <w:t>1.5万字左右</w:t>
            </w:r>
            <w:r>
              <w:rPr>
                <w:rFonts w:hint="eastAsia" w:cs="Calibri" w:asciiTheme="minorEastAsia" w:hAnsiTheme="minorEastAsia" w:eastAsiaTheme="minorEastAsia"/>
                <w:color w:val="000000"/>
                <w:kern w:val="0"/>
                <w:sz w:val="21"/>
                <w:szCs w:val="21"/>
                <w:lang w:eastAsia="zh-CN"/>
              </w:rPr>
              <w:t>）</w:t>
            </w:r>
            <w:r>
              <w:rPr>
                <w:rFonts w:hint="eastAsia" w:cs="Calibri" w:asciiTheme="minorEastAsia" w:hAnsiTheme="minorEastAsia" w:eastAsiaTheme="minorEastAsia"/>
                <w:color w:val="000000"/>
                <w:kern w:val="0"/>
                <w:sz w:val="21"/>
                <w:szCs w:val="21"/>
                <w:lang w:val="en-US" w:eastAsia="zh-CN"/>
              </w:rPr>
              <w:t>+</w:t>
            </w:r>
          </w:p>
          <w:p>
            <w:pPr>
              <w:widowControl/>
              <w:spacing w:line="280" w:lineRule="exact"/>
              <w:jc w:val="center"/>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val="en-US" w:eastAsia="zh-CN"/>
              </w:rPr>
              <w:t>决策建议稿（4000字左右）</w:t>
            </w:r>
          </w:p>
        </w:tc>
        <w:tc>
          <w:tcPr>
            <w:tcW w:w="1468"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841"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8</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青年统战工作研究</w:t>
            </w:r>
          </w:p>
        </w:tc>
        <w:tc>
          <w:tcPr>
            <w:tcW w:w="6726"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党的二十大报告强调，“全党要把青年工作作为战略性工作来抓”。统战部门作为党的政治部门，聚力做好统战领域青年工作是题中之义。习近平总书记在庆祝中国共产主义青年团成立100周年大会上提出“不断巩固和扩大青年爱国统一战线”重要论断，并在不同场合多次作出有关统战领域青年工作的重要论述，为我们做好青年统战工作提供了根本遵循和重要指引。</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本课题旨在从时代的视角和统战事业薪火相传的关键所在，积极在机制、载体、平台、队伍等各方面进行探索，努力构建更加科学有效的青年统战工作体系，为进一步做好青年统战工作提供理论借鉴。</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2</w:t>
            </w:r>
          </w:p>
        </w:tc>
        <w:tc>
          <w:tcPr>
            <w:tcW w:w="2825"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c>
          <w:tcPr>
            <w:tcW w:w="1468"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85" w:hRule="atLeast"/>
          <w:jc w:val="center"/>
        </w:trPr>
        <w:tc>
          <w:tcPr>
            <w:tcW w:w="841"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9</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网络统战工作研究</w:t>
            </w:r>
          </w:p>
        </w:tc>
        <w:tc>
          <w:tcPr>
            <w:tcW w:w="6726"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伴随着数字时代的来临，互联网日益成为大国博弈及国家治理的重要领域。中央统战工作会议明确提出，要做好网络统战工作，走好网络群众路线，对统一战线在网络空间发挥凝聚人心、汇聚力量的政治作用赋予了新使命新任务。</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本课题旨在梳理当前理论研究和实践探索的基础上，进一步探析网络统战的内涵、目标及基本路径，为系统推进网络统战工作实践提供理论参考。</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2</w:t>
            </w:r>
          </w:p>
        </w:tc>
        <w:tc>
          <w:tcPr>
            <w:tcW w:w="2825"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c>
          <w:tcPr>
            <w:tcW w:w="1468"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0" w:hRule="atLeast"/>
          <w:jc w:val="center"/>
        </w:trPr>
        <w:tc>
          <w:tcPr>
            <w:tcW w:w="15196" w:type="dxa"/>
            <w:gridSpan w:val="6"/>
            <w:shd w:val="clear" w:color="auto" w:fill="auto"/>
            <w:vAlign w:val="center"/>
          </w:tcPr>
          <w:p>
            <w:pPr>
              <w:widowControl/>
              <w:spacing w:line="280" w:lineRule="exact"/>
              <w:jc w:val="center"/>
              <w:rPr>
                <w:rFonts w:hint="eastAsia" w:eastAsia="黑体" w:asciiTheme="minorEastAsia" w:hAnsiTheme="minorEastAsia"/>
                <w:kern w:val="0"/>
                <w:sz w:val="21"/>
                <w:szCs w:val="21"/>
                <w:lang w:eastAsia="zh-CN"/>
              </w:rPr>
            </w:pPr>
            <w:r>
              <w:rPr>
                <w:rFonts w:hint="eastAsia" w:ascii="黑体" w:hAnsi="黑体" w:eastAsia="黑体" w:cs="Calibri"/>
                <w:bCs/>
                <w:color w:val="000000"/>
                <w:kern w:val="0"/>
                <w:sz w:val="21"/>
                <w:szCs w:val="21"/>
              </w:rPr>
              <w:t>（</w:t>
            </w:r>
            <w:r>
              <w:rPr>
                <w:rFonts w:hint="eastAsia" w:ascii="黑体" w:hAnsi="黑体" w:eastAsia="黑体" w:cs="Calibri"/>
                <w:bCs/>
                <w:color w:val="000000"/>
                <w:kern w:val="0"/>
                <w:sz w:val="21"/>
                <w:szCs w:val="21"/>
                <w:lang w:eastAsia="zh-CN"/>
              </w:rPr>
              <w:t>三）市委党校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841"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10</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加强党的全面领导的基层制度体系建设研究</w:t>
            </w:r>
          </w:p>
        </w:tc>
        <w:tc>
          <w:tcPr>
            <w:tcW w:w="6726"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聚焦不断巩固和加强党执政的基层基础，从加强制度化、法治化、规范化角度，抓住“人”这个关键要素，以宁波实践为案例样本，深入研究在基层加强党的全面领导的形势任务、制度要求、工作逻辑和实现路径。</w:t>
            </w:r>
          </w:p>
        </w:tc>
        <w:tc>
          <w:tcPr>
            <w:tcW w:w="1125"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1.5</w:t>
            </w:r>
          </w:p>
        </w:tc>
        <w:tc>
          <w:tcPr>
            <w:tcW w:w="2825" w:type="dxa"/>
            <w:vMerge w:val="restart"/>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rPr>
              <w:t>研究报告</w:t>
            </w:r>
            <w:r>
              <w:rPr>
                <w:rFonts w:hint="eastAsia" w:cs="Calibri" w:asciiTheme="minorEastAsia" w:hAnsiTheme="minorEastAsia" w:eastAsiaTheme="minorEastAsia"/>
                <w:color w:val="000000"/>
                <w:kern w:val="0"/>
                <w:sz w:val="21"/>
                <w:szCs w:val="21"/>
                <w:lang w:eastAsia="zh-CN"/>
              </w:rPr>
              <w:t>（不少于</w:t>
            </w:r>
            <w:r>
              <w:rPr>
                <w:rFonts w:hint="eastAsia" w:cs="Calibri" w:asciiTheme="minorEastAsia" w:hAnsiTheme="minorEastAsia" w:eastAsiaTheme="minorEastAsia"/>
                <w:color w:val="000000"/>
                <w:kern w:val="0"/>
                <w:sz w:val="21"/>
                <w:szCs w:val="21"/>
                <w:lang w:val="en-US" w:eastAsia="zh-CN"/>
              </w:rPr>
              <w:t>1.5万字</w:t>
            </w:r>
            <w:r>
              <w:rPr>
                <w:rFonts w:hint="eastAsia" w:cs="Calibri" w:asciiTheme="minorEastAsia" w:hAnsiTheme="minorEastAsia" w:eastAsiaTheme="minorEastAsia"/>
                <w:color w:val="000000"/>
                <w:kern w:val="0"/>
                <w:sz w:val="21"/>
                <w:szCs w:val="21"/>
                <w:lang w:eastAsia="zh-CN"/>
              </w:rPr>
              <w:t>）</w:t>
            </w:r>
          </w:p>
          <w:p>
            <w:pPr>
              <w:widowControl/>
              <w:spacing w:line="280" w:lineRule="exact"/>
              <w:jc w:val="center"/>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val="en-US" w:eastAsia="zh-CN"/>
              </w:rPr>
              <w:t>+</w:t>
            </w:r>
            <w:r>
              <w:rPr>
                <w:rFonts w:hint="eastAsia" w:cs="Calibri" w:asciiTheme="minorEastAsia" w:hAnsiTheme="minorEastAsia" w:eastAsiaTheme="minorEastAsia"/>
                <w:color w:val="000000"/>
                <w:kern w:val="0"/>
                <w:sz w:val="21"/>
                <w:szCs w:val="21"/>
                <w:lang w:eastAsia="zh-CN"/>
              </w:rPr>
              <w:t>决策建议稿（</w:t>
            </w:r>
            <w:r>
              <w:rPr>
                <w:rFonts w:hint="eastAsia" w:cs="Calibri" w:asciiTheme="minorEastAsia" w:hAnsiTheme="minorEastAsia" w:eastAsiaTheme="minorEastAsia"/>
                <w:color w:val="000000"/>
                <w:kern w:val="0"/>
                <w:sz w:val="21"/>
                <w:szCs w:val="21"/>
                <w:lang w:val="en-US" w:eastAsia="zh-CN"/>
              </w:rPr>
              <w:t>3000-4000字</w:t>
            </w:r>
            <w:r>
              <w:rPr>
                <w:rFonts w:hint="eastAsia" w:cs="Calibri" w:asciiTheme="minorEastAsia" w:hAnsiTheme="minorEastAsia" w:eastAsiaTheme="minorEastAsia"/>
                <w:color w:val="000000"/>
                <w:kern w:val="0"/>
                <w:sz w:val="21"/>
                <w:szCs w:val="21"/>
                <w:lang w:eastAsia="zh-CN"/>
              </w:rPr>
              <w:t>）</w:t>
            </w:r>
          </w:p>
        </w:tc>
        <w:tc>
          <w:tcPr>
            <w:tcW w:w="1468" w:type="dxa"/>
            <w:vMerge w:val="restart"/>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rPr>
              <w:t>2024年</w:t>
            </w:r>
            <w:r>
              <w:rPr>
                <w:rFonts w:hint="eastAsia" w:cs="Calibri" w:asciiTheme="minorEastAsia" w:hAnsiTheme="minorEastAsia" w:eastAsiaTheme="minorEastAsia"/>
                <w:color w:val="000000"/>
                <w:kern w:val="0"/>
                <w:sz w:val="21"/>
                <w:szCs w:val="21"/>
                <w:lang w:val="en-US" w:eastAsia="zh-CN"/>
              </w:rPr>
              <w:t>10</w:t>
            </w:r>
            <w:r>
              <w:rPr>
                <w:rFonts w:hint="eastAsia" w:cs="Calibri" w:asciiTheme="minorEastAsia" w:hAnsiTheme="minorEastAsia" w:eastAsiaTheme="minorEastAsia"/>
                <w:color w:val="000000"/>
                <w:kern w:val="0"/>
                <w:sz w:val="21"/>
                <w:szCs w:val="21"/>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7" w:hRule="atLeast"/>
          <w:jc w:val="center"/>
        </w:trPr>
        <w:tc>
          <w:tcPr>
            <w:tcW w:w="841"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11</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党的纪律建设的逻辑理路与宁波实践研究</w:t>
            </w:r>
          </w:p>
        </w:tc>
        <w:tc>
          <w:tcPr>
            <w:tcW w:w="6726"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结合当前开展的党纪学习教育，深入分析新时代加强党的纪律建设所蕴含着理论逻辑、实践依据和现实需要，深刻总结宁波一体推进“三不腐”的实践经验，深度聚焦党员干部的政治定力、纪律定力、道德定力、抵腐定力，谋划加强新时代党的纪律建设的制度要素和思路举措，为打造勤廉并重的新时代党建高地提供坚强保障。</w:t>
            </w:r>
          </w:p>
        </w:tc>
        <w:tc>
          <w:tcPr>
            <w:tcW w:w="1125"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1.5</w:t>
            </w:r>
          </w:p>
        </w:tc>
        <w:tc>
          <w:tcPr>
            <w:tcW w:w="2825" w:type="dxa"/>
            <w:vMerge w:val="continue"/>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rPr>
            </w:pPr>
          </w:p>
        </w:tc>
        <w:tc>
          <w:tcPr>
            <w:tcW w:w="1468" w:type="dxa"/>
            <w:vMerge w:val="continue"/>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841"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12</w:t>
            </w:r>
          </w:p>
        </w:tc>
        <w:tc>
          <w:tcPr>
            <w:tcW w:w="2211"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val="en-US" w:eastAsia="zh-CN"/>
              </w:rPr>
              <w:t>党的青年干部队伍建设制度保障研究</w:t>
            </w:r>
          </w:p>
        </w:tc>
        <w:tc>
          <w:tcPr>
            <w:tcW w:w="6726"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val="en-US" w:eastAsia="zh-CN"/>
              </w:rPr>
              <w:t>从制度建设角度，研究梳理青年干部培养、 激励、选拔、监督考核的制度措施，研究如何健全完善系统 完备、科学规范、有效管用、简便易行的育人选人用人制度机制。</w:t>
            </w:r>
          </w:p>
        </w:tc>
        <w:tc>
          <w:tcPr>
            <w:tcW w:w="1125"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w:t>
            </w:r>
          </w:p>
        </w:tc>
        <w:tc>
          <w:tcPr>
            <w:tcW w:w="2825" w:type="dxa"/>
            <w:vMerge w:val="continue"/>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rPr>
            </w:pPr>
          </w:p>
        </w:tc>
        <w:tc>
          <w:tcPr>
            <w:tcW w:w="1468" w:type="dxa"/>
            <w:vMerge w:val="continue"/>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9" w:hRule="atLeast"/>
          <w:jc w:val="center"/>
        </w:trPr>
        <w:tc>
          <w:tcPr>
            <w:tcW w:w="841"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13</w:t>
            </w:r>
          </w:p>
        </w:tc>
        <w:tc>
          <w:tcPr>
            <w:tcW w:w="2211"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四明山老区共同富裕之路</w:t>
            </w:r>
          </w:p>
          <w:p>
            <w:pPr>
              <w:widowControl/>
              <w:spacing w:line="280" w:lineRule="exact"/>
              <w:jc w:val="left"/>
              <w:rPr>
                <w:rFonts w:cs="Calibri" w:asciiTheme="minorEastAsia" w:hAnsiTheme="minorEastAsia" w:eastAsiaTheme="minorEastAsia"/>
                <w:color w:val="000000"/>
                <w:kern w:val="0"/>
                <w:sz w:val="21"/>
                <w:szCs w:val="21"/>
              </w:rPr>
            </w:pPr>
          </w:p>
        </w:tc>
        <w:tc>
          <w:tcPr>
            <w:tcW w:w="6726"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rPr>
              <w:t>研究报告提纲</w:t>
            </w:r>
            <w:r>
              <w:rPr>
                <w:rFonts w:hint="eastAsia" w:cs="Calibri" w:asciiTheme="minorEastAsia" w:hAnsiTheme="minorEastAsia" w:eastAsiaTheme="minorEastAsia"/>
                <w:color w:val="000000"/>
                <w:kern w:val="0"/>
                <w:sz w:val="21"/>
                <w:szCs w:val="21"/>
                <w:lang w:eastAsia="zh-CN"/>
              </w:rPr>
              <w:t>（参考）</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序言</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eastAsia="zh-CN"/>
              </w:rPr>
              <w:t>（一）</w:t>
            </w:r>
            <w:r>
              <w:rPr>
                <w:rFonts w:hint="eastAsia" w:cs="Calibri" w:asciiTheme="minorEastAsia" w:hAnsiTheme="minorEastAsia" w:eastAsiaTheme="minorEastAsia"/>
                <w:color w:val="000000"/>
                <w:kern w:val="0"/>
                <w:sz w:val="21"/>
                <w:szCs w:val="21"/>
              </w:rPr>
              <w:t>四明山老区共同富裕的内涵及主要特征</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革命老区是党和人民军队的根，是中国人民选择中国共产党的历史见证。推动革命老区振兴发展、实现老区人民共同富裕，是高质量发展建设共同富裕示范区的重要组成部分。四明山老区在探索共同富裕道路的过程中，充分认识和把握老区共同富裕的制度性、相对性、阶段性、发展性等主要特征，始终强调发展的主体性、正义性、公平性和共享性，坚持以人民为中心，持续强化社会保障与民生兜底，在追求共建与共享、公平与效率相统一的同时，让发展成果惠及全体老区人民。</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eastAsia="zh-CN"/>
              </w:rPr>
              <w:t>（二）</w:t>
            </w:r>
            <w:r>
              <w:rPr>
                <w:rFonts w:hint="eastAsia" w:cs="Calibri" w:asciiTheme="minorEastAsia" w:hAnsiTheme="minorEastAsia" w:eastAsiaTheme="minorEastAsia"/>
                <w:color w:val="000000"/>
                <w:kern w:val="0"/>
                <w:sz w:val="21"/>
                <w:szCs w:val="21"/>
              </w:rPr>
              <w:t>四明山老区共同富裕的历史演进</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共同富裕具有长期性、艰巨性、复杂性,不是一朝一夕就能实现的。四明山老区在党领导的革命、改革和建设的过程中，对实现共同富裕进行了长期的探索和实践。早在抗日战争时期，四明山根据地就开始实行减租减息政策和发展人民合作事业。社会主义建设和改革开放时期，四明山老区较早恢复了被战乱破坏的国民经济并完成了三大改造，并勇攀改革开放高地，取到了明显的成绩。当前，四明山老区聚焦顶层设计与基层探索的有机结合，全面启动实施四明红锋引领、特色产业培优、强村富民增收等九大攻坚提升工程，高水平加快打造四明山革命老区新时代共同富裕样板区。</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eastAsia="zh-CN"/>
              </w:rPr>
              <w:t>（三）</w:t>
            </w:r>
            <w:r>
              <w:rPr>
                <w:rFonts w:hint="eastAsia" w:cs="Calibri" w:asciiTheme="minorEastAsia" w:hAnsiTheme="minorEastAsia" w:eastAsiaTheme="minorEastAsia"/>
                <w:color w:val="000000"/>
                <w:kern w:val="0"/>
                <w:sz w:val="21"/>
                <w:szCs w:val="21"/>
              </w:rPr>
              <w:t>推进老区农业供给侧结构性改革（产业振兴）</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四明山老区以四明山省级现代农业综合区为依托，高质量实施系列乡村产业振兴行动，发展柿子、樱桃、茶叶等精品特色农业。鼓励扶持中药材、食用菌等林下产业，发展壮大香榧、山核桃等花木替代产业，着力构建老区现代化农业产业体系。推动农产品精深加工，提高竹(笋)附加值，支持开发猕猴桃、蓝莓等特色果酒及深加工产品。深入实施家庭农场和农民专业合作社规范提升行动，依托“四明臻货”展示展销平台，发展乡镇客货邮综合服务站、村级寄递物流综合服务点。大力开展“数商兴农”工程，拓展线上销售渠道和发展模式，实现老区“互联网+”农产品的出村进城。</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eastAsia="zh-CN"/>
              </w:rPr>
              <w:t>（四）</w:t>
            </w:r>
            <w:r>
              <w:rPr>
                <w:rFonts w:hint="eastAsia" w:cs="Calibri" w:asciiTheme="minorEastAsia" w:hAnsiTheme="minorEastAsia" w:eastAsiaTheme="minorEastAsia"/>
                <w:color w:val="000000"/>
                <w:kern w:val="0"/>
                <w:sz w:val="21"/>
                <w:szCs w:val="21"/>
              </w:rPr>
              <w:t>培养和吸引各类人才到老区去（人才振兴）</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济济多士，乃成大业。四明山老区牢固树立“人才就是第一资源”的理念，大力营造满足人才多样化、多层次发展需求的政策环境和社会环境，为人才干事创业和实现价值提供机会条件，最大限度激发人才内在活力。与高校、培训机构、企业和社会组织合作协同构建本土人才培养平台，深化老区农创客培育，对就业困难群体实施重点帮扶，不断提升劳动者致富本领。畅通人才回流渠道，出台系列政策引导激励各类人才返乡入乡，以人才回归带动项目回投、资金回流和智力回哺，为老区的可持续发展提供人才保障。</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eastAsia="zh-CN"/>
              </w:rPr>
              <w:t>（五）</w:t>
            </w:r>
            <w:r>
              <w:rPr>
                <w:rFonts w:hint="eastAsia" w:cs="Calibri" w:asciiTheme="minorEastAsia" w:hAnsiTheme="minorEastAsia" w:eastAsiaTheme="minorEastAsia"/>
                <w:color w:val="000000"/>
                <w:kern w:val="0"/>
                <w:sz w:val="21"/>
                <w:szCs w:val="21"/>
              </w:rPr>
              <w:t>传承和弘扬老区乡村文化（文化振兴）</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四明山红色文化是浙东人民在党的领导和长期的革命实践中形成的宝贵精神财富，四明山老区积极整合老区红色资源，充分挖掘本地特色文化资源，助推红色文化和旅游产业的融合发展，深化打造红色研学实践线路，促进农旅、文旅、学旅、体旅的多旅融合，形成完善的综合产业链。聚力红色文化引领乡风文明，组建红色文化宣讲团、乡风文明宣讲团和其他群众性民间文艺团体，强化开展农村科技、卫生、法律、文化宣传教育，有效改变老区群众的旧观念、旧传统和旧的生产生活方式，为老区乡村振兴注入强大精神动力。</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eastAsia="zh-CN"/>
              </w:rPr>
              <w:t>（六）</w:t>
            </w:r>
            <w:r>
              <w:rPr>
                <w:rFonts w:hint="eastAsia" w:cs="Calibri" w:asciiTheme="minorEastAsia" w:hAnsiTheme="minorEastAsia" w:eastAsiaTheme="minorEastAsia"/>
                <w:color w:val="000000"/>
                <w:kern w:val="0"/>
                <w:sz w:val="21"/>
                <w:szCs w:val="21"/>
              </w:rPr>
              <w:t>保护和改善老区农村环境（生态振兴）</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绿水青山就是金山银山，四明山老区坚持把生态环境保护和治理放在区域统筹发展的突出位置，因地制宜构建多元清洁能源体系，分阶段关停搬迁污染型企业，切实加强生态修复和生物多样性保护，筑牢绿色生态安全屏障。将生态整治同步融入美丽乡村建设，创新运用生态导向开发模式，以争创国家5A级景区为目标，采取产业链延伸、联合经营、组合开发等方式，推动公益性较强、收益性较差的生态环境治理项目与收益较好的关联产业有效融合、统筹推进、一体实施，将生态环境优势持续转化为奋力推动老区高质量发展的绿色动力。</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eastAsia="zh-CN"/>
              </w:rPr>
              <w:t>（七）</w:t>
            </w:r>
            <w:r>
              <w:rPr>
                <w:rFonts w:hint="eastAsia" w:cs="Calibri" w:asciiTheme="minorEastAsia" w:hAnsiTheme="minorEastAsia" w:eastAsiaTheme="minorEastAsia"/>
                <w:color w:val="000000"/>
                <w:kern w:val="0"/>
                <w:sz w:val="21"/>
                <w:szCs w:val="21"/>
              </w:rPr>
              <w:t>完善老区乡村治理体系（组织振兴）</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四明山老区高度重视基层党组织在带动建设共同富裕中的“主心骨”作用，提炼基层治理经验，深化全域党建联建，强化片区社会联治，形成“四明红锋”特色党建品牌，推行强村带弱村的抱团发展新模式，构建“老区共富、百村精品、千户示范、全域美丽”的乡村整体布局。积极发挥党员先锋模范作用，开展“先富”党员结对帮扶行动，实施深化乡贤结对、村企结对、企户结对系列举措，充分发挥基层党组织引领共同富裕的政治优势和组织效能，帮助带动老区群众特别是困难群体一起走上增收致富路。</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lang w:eastAsia="zh-CN"/>
              </w:rPr>
              <w:t>（八）</w:t>
            </w:r>
            <w:r>
              <w:rPr>
                <w:rFonts w:hint="eastAsia" w:cs="Calibri" w:asciiTheme="minorEastAsia" w:hAnsiTheme="minorEastAsia" w:eastAsiaTheme="minorEastAsia"/>
                <w:color w:val="000000"/>
                <w:kern w:val="0"/>
                <w:sz w:val="21"/>
                <w:szCs w:val="21"/>
              </w:rPr>
              <w:t>四明山老区共同富裕的未来展望</w:t>
            </w:r>
          </w:p>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共同富裕是一项史无前例的圆梦工程，也是一场久久为功的实践探索。四明山老区立足当下，面向未来，将发展新质生产力作为高质量发展的着力点，通过全产业链条数字化、智能化赋能传统产业层次提升和转型升级。积极布局未来产业，发展战略性新兴产业，不断塑造区域竞争新优势，积极引领新发展格局。打造“人人参与，人人享有”的发展环境，积极探索创新生产组织方式，大力发展专业合作社和产业联盟，推动集体经济增收和老区群众致富。拓展共同富裕的精神维度，传承弘扬红色文化底蕴，推动老区物质文明和精神文明协调发展。</w:t>
            </w:r>
          </w:p>
        </w:tc>
        <w:tc>
          <w:tcPr>
            <w:tcW w:w="1125"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20</w:t>
            </w:r>
          </w:p>
        </w:tc>
        <w:tc>
          <w:tcPr>
            <w:tcW w:w="28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rPr>
              <w:t>研究报告</w:t>
            </w:r>
            <w:r>
              <w:rPr>
                <w:rFonts w:hint="eastAsia" w:cs="Calibri" w:asciiTheme="minorEastAsia" w:hAnsiTheme="minorEastAsia" w:eastAsiaTheme="minorEastAsia"/>
                <w:color w:val="000000"/>
                <w:kern w:val="0"/>
                <w:sz w:val="21"/>
                <w:szCs w:val="21"/>
                <w:lang w:eastAsia="zh-CN"/>
              </w:rPr>
              <w:t>（不少于</w:t>
            </w:r>
            <w:r>
              <w:rPr>
                <w:rFonts w:hint="eastAsia" w:cs="Calibri" w:asciiTheme="minorEastAsia" w:hAnsiTheme="minorEastAsia" w:eastAsiaTheme="minorEastAsia"/>
                <w:color w:val="000000"/>
                <w:kern w:val="0"/>
                <w:sz w:val="21"/>
                <w:szCs w:val="21"/>
                <w:lang w:val="en-US" w:eastAsia="zh-CN"/>
              </w:rPr>
              <w:t>20万字</w:t>
            </w:r>
            <w:r>
              <w:rPr>
                <w:rFonts w:hint="eastAsia" w:cs="Calibri" w:asciiTheme="minorEastAsia" w:hAnsiTheme="minorEastAsia" w:eastAsiaTheme="minorEastAsia"/>
                <w:color w:val="000000"/>
                <w:kern w:val="0"/>
                <w:sz w:val="21"/>
                <w:szCs w:val="21"/>
                <w:lang w:eastAsia="zh-CN"/>
              </w:rPr>
              <w:t>）</w:t>
            </w:r>
          </w:p>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eastAsia="zh-CN"/>
              </w:rPr>
              <w:t>成果用于干部学院教材编写</w:t>
            </w:r>
          </w:p>
        </w:tc>
        <w:tc>
          <w:tcPr>
            <w:tcW w:w="1468" w:type="dxa"/>
            <w:shd w:val="clear" w:color="auto" w:fill="auto"/>
            <w:vAlign w:val="center"/>
          </w:tcPr>
          <w:p>
            <w:pPr>
              <w:widowControl/>
              <w:spacing w:line="280" w:lineRule="exact"/>
              <w:jc w:val="center"/>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2024年</w:t>
            </w:r>
            <w:r>
              <w:rPr>
                <w:rFonts w:hint="eastAsia" w:cs="Calibri" w:asciiTheme="minorEastAsia" w:hAnsiTheme="minorEastAsia" w:eastAsiaTheme="minorEastAsia"/>
                <w:color w:val="000000"/>
                <w:kern w:val="0"/>
                <w:sz w:val="21"/>
                <w:szCs w:val="21"/>
                <w:lang w:val="en-US" w:eastAsia="zh-CN"/>
              </w:rPr>
              <w:t>10</w:t>
            </w:r>
            <w:r>
              <w:rPr>
                <w:rFonts w:hint="eastAsia" w:cs="Calibri" w:asciiTheme="minorEastAsia" w:hAnsiTheme="minorEastAsia" w:eastAsiaTheme="minorEastAsia"/>
                <w:color w:val="000000"/>
                <w:kern w:val="0"/>
                <w:sz w:val="21"/>
                <w:szCs w:val="21"/>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5196" w:type="dxa"/>
            <w:gridSpan w:val="6"/>
            <w:shd w:val="clear" w:color="auto" w:fill="auto"/>
            <w:vAlign w:val="center"/>
          </w:tcPr>
          <w:p>
            <w:pPr>
              <w:widowControl/>
              <w:spacing w:line="280" w:lineRule="exact"/>
              <w:jc w:val="center"/>
              <w:rPr>
                <w:rFonts w:hint="eastAsia" w:eastAsia="黑体" w:asciiTheme="minorEastAsia" w:hAnsiTheme="minorEastAsia"/>
                <w:kern w:val="0"/>
                <w:sz w:val="21"/>
                <w:szCs w:val="21"/>
                <w:lang w:eastAsia="zh-CN"/>
              </w:rPr>
            </w:pPr>
            <w:r>
              <w:rPr>
                <w:rFonts w:hint="eastAsia" w:ascii="黑体" w:hAnsi="黑体" w:eastAsia="黑体" w:cs="Calibri"/>
                <w:bCs/>
                <w:color w:val="000000"/>
                <w:kern w:val="0"/>
                <w:sz w:val="21"/>
                <w:szCs w:val="21"/>
              </w:rPr>
              <w:t>（</w:t>
            </w:r>
            <w:r>
              <w:rPr>
                <w:rFonts w:hint="eastAsia" w:ascii="黑体" w:hAnsi="黑体" w:eastAsia="黑体" w:cs="Calibri"/>
                <w:bCs/>
                <w:color w:val="000000"/>
                <w:kern w:val="0"/>
                <w:sz w:val="21"/>
                <w:szCs w:val="21"/>
                <w:lang w:eastAsia="zh-CN"/>
              </w:rPr>
              <w:t>四</w:t>
            </w:r>
            <w:r>
              <w:rPr>
                <w:rFonts w:hint="eastAsia" w:ascii="黑体" w:hAnsi="黑体" w:eastAsia="黑体" w:cs="Calibri"/>
                <w:bCs/>
                <w:color w:val="000000"/>
                <w:kern w:val="0"/>
                <w:sz w:val="21"/>
                <w:szCs w:val="21"/>
              </w:rPr>
              <w:t>）</w:t>
            </w:r>
            <w:r>
              <w:rPr>
                <w:rFonts w:hint="eastAsia" w:ascii="黑体" w:hAnsi="黑体" w:eastAsia="黑体" w:cs="Calibri"/>
                <w:bCs/>
                <w:color w:val="000000"/>
                <w:kern w:val="0"/>
                <w:sz w:val="21"/>
                <w:szCs w:val="21"/>
                <w:lang w:eastAsia="zh-CN"/>
              </w:rPr>
              <w:t>市民政局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0" w:hRule="atLeast"/>
          <w:jc w:val="center"/>
        </w:trPr>
        <w:tc>
          <w:tcPr>
            <w:tcW w:w="841"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14</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宁波市养老辅具产业发展路径研究</w:t>
            </w:r>
          </w:p>
        </w:tc>
        <w:tc>
          <w:tcPr>
            <w:tcW w:w="6726"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党的二十大报告指出，要发展养老事业和养老产业。面对未来庞大的老年人口规模和养老服务需求，要从战略上深刻认识养老服务兼具事业性和产业性的特征，增强抓住应对人口老龄化窗口期、扩大养老服务供给的责任感和紧迫感。宁波是一个老龄化快速发展的城市，也是传统工业大市。发展老年用品产业，积极推进养老辅具产业发展，正是顺应养老事业和养老产业协同发展趋势，发挥宁波现有产业禀赋优势，将具有巨大潜力的朝阳产业落地落实的现实选择。</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本课题旨在排摸宁波养老辅具产业发展的现状，分析制约产业发展壮大的问题所在，提出对策和建议，为推动我市养老辅具产业高质量发展提供理论指导。</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3</w:t>
            </w:r>
          </w:p>
        </w:tc>
        <w:tc>
          <w:tcPr>
            <w:tcW w:w="2825" w:type="dxa"/>
            <w:vMerge w:val="restart"/>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研究报告（1.5万字左右）+</w:t>
            </w:r>
          </w:p>
          <w:p>
            <w:pPr>
              <w:widowControl/>
              <w:spacing w:line="280" w:lineRule="exact"/>
              <w:jc w:val="center"/>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决策建议稿（4000字左右）</w:t>
            </w:r>
          </w:p>
        </w:tc>
        <w:tc>
          <w:tcPr>
            <w:tcW w:w="1468" w:type="dxa"/>
            <w:vMerge w:val="restart"/>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rPr>
              <w:t>2024年1</w:t>
            </w:r>
            <w:r>
              <w:rPr>
                <w:rFonts w:hint="eastAsia" w:cs="Calibri" w:asciiTheme="minorEastAsia" w:hAnsiTheme="minorEastAsia" w:eastAsiaTheme="minorEastAsia"/>
                <w:color w:val="000000"/>
                <w:kern w:val="0"/>
                <w:sz w:val="21"/>
                <w:szCs w:val="21"/>
                <w:lang w:val="en-US" w:eastAsia="zh-CN"/>
              </w:rPr>
              <w:t>1</w:t>
            </w:r>
            <w:r>
              <w:rPr>
                <w:rFonts w:hint="eastAsia" w:cs="Calibri" w:asciiTheme="minorEastAsia" w:hAnsiTheme="minorEastAsia" w:eastAsiaTheme="minorEastAsia"/>
                <w:color w:val="000000"/>
                <w:kern w:val="0"/>
                <w:sz w:val="21"/>
                <w:szCs w:val="21"/>
              </w:rPr>
              <w:t>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7" w:hRule="atLeast"/>
          <w:jc w:val="center"/>
        </w:trPr>
        <w:tc>
          <w:tcPr>
            <w:tcW w:w="841"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15</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宁波市行业协会商会助力招商引资工作研究</w:t>
            </w:r>
          </w:p>
        </w:tc>
        <w:tc>
          <w:tcPr>
            <w:tcW w:w="6726"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习近平总书记指出，在推进政府职能转变、社会转型和市场体系培育的过程中，社团、社会中介机构等社会组织在社会生活中扮演着越来越重要的角色。发挥行业协会商会在强化行业自律、反映行业诉求、推动产业转型和技术进步、服务地方经济发展和中心工作作用，促进政府宏观管理和企业微观运行的有效衔接，是行业协会商会实现高质量发展的重要方向。</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本课题围绕招商引资这个中心任务，分析行业协会商会助力招商引资现状，厘清问题症结，提出对策建议，为充分发挥行业协会商会作用、开辟招商引资新的渠道提供理论指导。</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3</w:t>
            </w:r>
          </w:p>
        </w:tc>
        <w:tc>
          <w:tcPr>
            <w:tcW w:w="2825"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c>
          <w:tcPr>
            <w:tcW w:w="1468"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0" w:hRule="atLeast"/>
          <w:jc w:val="center"/>
        </w:trPr>
        <w:tc>
          <w:tcPr>
            <w:tcW w:w="841" w:type="dxa"/>
            <w:shd w:val="clear" w:color="auto" w:fill="auto"/>
            <w:vAlign w:val="center"/>
          </w:tcPr>
          <w:p>
            <w:pPr>
              <w:widowControl/>
              <w:spacing w:line="280" w:lineRule="exact"/>
              <w:jc w:val="center"/>
              <w:rPr>
                <w:rFonts w:hint="default" w:cs="Calibri" w:asciiTheme="minorEastAsia" w:hAnsiTheme="minorEastAsia" w:eastAsiaTheme="minorEastAsia"/>
                <w:color w:val="000000"/>
                <w:kern w:val="0"/>
                <w:sz w:val="21"/>
                <w:szCs w:val="21"/>
                <w:lang w:val="en-US" w:eastAsia="zh-CN"/>
              </w:rPr>
            </w:pPr>
            <w:r>
              <w:rPr>
                <w:rFonts w:hint="eastAsia" w:cs="Calibri" w:asciiTheme="minorEastAsia" w:hAnsiTheme="minorEastAsia" w:eastAsiaTheme="minorEastAsia"/>
                <w:color w:val="000000"/>
                <w:kern w:val="0"/>
                <w:sz w:val="21"/>
                <w:szCs w:val="21"/>
                <w:lang w:val="en-US" w:eastAsia="zh-CN"/>
              </w:rPr>
              <w:t>16</w:t>
            </w:r>
          </w:p>
        </w:tc>
        <w:tc>
          <w:tcPr>
            <w:tcW w:w="2211" w:type="dxa"/>
            <w:shd w:val="clear" w:color="auto" w:fill="auto"/>
            <w:vAlign w:val="center"/>
          </w:tcPr>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宁波市国有企业参与惠民殡葬改革路径研究</w:t>
            </w:r>
          </w:p>
        </w:tc>
        <w:tc>
          <w:tcPr>
            <w:tcW w:w="6726" w:type="dxa"/>
            <w:shd w:val="clear" w:color="auto" w:fill="auto"/>
            <w:vAlign w:val="center"/>
          </w:tcPr>
          <w:p>
            <w:pPr>
              <w:widowControl/>
              <w:spacing w:line="280" w:lineRule="exact"/>
              <w:jc w:val="left"/>
              <w:rPr>
                <w:rFonts w:hint="eastAsia"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党的二十大报告指出，要着力解决好人民群众急难愁盼问题，健全基本公共服务体系，提高公共服务水平，增强公共性和可及性。殡葬服务公益性强，惠民殡葬改革项目投资周期长，回报率低，是当前民生领域短板之一。国有企业参与殡葬服务供给侧改革，增强基本殡葬服务供给，加大公益性殡葬服务设施建设力度，有利于提升惠民殡葬服务水平、补齐民生领域短板。</w:t>
            </w:r>
          </w:p>
          <w:p>
            <w:pPr>
              <w:widowControl/>
              <w:spacing w:line="280" w:lineRule="exact"/>
              <w:jc w:val="left"/>
              <w:rPr>
                <w:rFonts w:cs="Calibri" w:asciiTheme="minorEastAsia" w:hAnsiTheme="minorEastAsia" w:eastAsiaTheme="minorEastAsia"/>
                <w:color w:val="000000"/>
                <w:kern w:val="0"/>
                <w:sz w:val="21"/>
                <w:szCs w:val="21"/>
              </w:rPr>
            </w:pPr>
            <w:r>
              <w:rPr>
                <w:rFonts w:hint="eastAsia" w:cs="Calibri" w:asciiTheme="minorEastAsia" w:hAnsiTheme="minorEastAsia" w:eastAsiaTheme="minorEastAsia"/>
                <w:color w:val="000000"/>
                <w:kern w:val="0"/>
                <w:sz w:val="21"/>
                <w:szCs w:val="21"/>
              </w:rPr>
              <w:t>本课题旨在梳理我市国有企业参与惠民殡葬改革的现状及存在问题，分析国有企业参与惠民殡葬改革的做法和路径，提出对策建议，为发挥国企作用、提升我市惠民殡葬服务水平提供理论和实践支撑。</w:t>
            </w:r>
          </w:p>
        </w:tc>
        <w:tc>
          <w:tcPr>
            <w:tcW w:w="1125" w:type="dxa"/>
            <w:shd w:val="clear" w:color="auto" w:fill="auto"/>
            <w:vAlign w:val="center"/>
          </w:tcPr>
          <w:p>
            <w:pPr>
              <w:widowControl/>
              <w:spacing w:line="280" w:lineRule="exact"/>
              <w:jc w:val="center"/>
              <w:rPr>
                <w:rFonts w:hint="eastAsia" w:cs="Calibri" w:asciiTheme="minorEastAsia" w:hAnsiTheme="minorEastAsia" w:eastAsiaTheme="minorEastAsia"/>
                <w:color w:val="000000"/>
                <w:kern w:val="0"/>
                <w:sz w:val="21"/>
                <w:szCs w:val="21"/>
                <w:lang w:eastAsia="zh-CN"/>
              </w:rPr>
            </w:pPr>
            <w:r>
              <w:rPr>
                <w:rFonts w:hint="eastAsia" w:cs="Calibri" w:asciiTheme="minorEastAsia" w:hAnsiTheme="minorEastAsia" w:eastAsiaTheme="minorEastAsia"/>
                <w:color w:val="000000"/>
                <w:kern w:val="0"/>
                <w:sz w:val="21"/>
                <w:szCs w:val="21"/>
                <w:lang w:val="en-US" w:eastAsia="zh-CN"/>
              </w:rPr>
              <w:t>3</w:t>
            </w:r>
          </w:p>
        </w:tc>
        <w:tc>
          <w:tcPr>
            <w:tcW w:w="2825"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c>
          <w:tcPr>
            <w:tcW w:w="1468" w:type="dxa"/>
            <w:vMerge w:val="continue"/>
            <w:vAlign w:val="center"/>
          </w:tcPr>
          <w:p>
            <w:pPr>
              <w:widowControl/>
              <w:spacing w:line="280" w:lineRule="exact"/>
              <w:jc w:val="center"/>
              <w:rPr>
                <w:rFonts w:cs="Calibri" w:asciiTheme="minorEastAsia" w:hAnsiTheme="minorEastAsia" w:eastAsiaTheme="minorEastAsia"/>
                <w:color w:val="000000"/>
                <w:kern w:val="0"/>
                <w:sz w:val="21"/>
                <w:szCs w:val="21"/>
              </w:rPr>
            </w:pPr>
          </w:p>
        </w:tc>
      </w:tr>
    </w:tbl>
    <w:p>
      <w:pPr>
        <w:widowControl/>
        <w:snapToGrid w:val="0"/>
        <w:rPr>
          <w:rFonts w:hint="eastAsia" w:ascii="宋体" w:hAnsi="宋体" w:cs="宋体"/>
          <w:color w:val="000000"/>
          <w:kern w:val="0"/>
          <w:sz w:val="28"/>
          <w:szCs w:val="28"/>
        </w:rPr>
      </w:pPr>
      <w:bookmarkStart w:id="0" w:name="_GoBack"/>
      <w:bookmarkEnd w:id="0"/>
    </w:p>
    <w:sectPr>
      <w:footerReference r:id="rId3" w:type="default"/>
      <w:footerReference r:id="rId4" w:type="even"/>
      <w:pgSz w:w="16838" w:h="11906" w:orient="landscape"/>
      <w:pgMar w:top="1588" w:right="2098" w:bottom="1474" w:left="1588" w:header="851" w:footer="1191" w:gutter="0"/>
      <w:pgNumType w:fmt="decimal"/>
      <w:cols w:space="720" w:num="1"/>
      <w:docGrid w:type="lines" w:linePitch="626"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Calibri Light">
    <w:altName w:val="Arial"/>
    <w:panose1 w:val="020F0302020204030204"/>
    <w:charset w:val="00"/>
    <w:family w:val="swiss"/>
    <w:pitch w:val="default"/>
    <w:sig w:usb0="00000000" w:usb1="00000000" w:usb2="00000009" w:usb3="00000000" w:csb0="000001FF" w:csb1="00000000"/>
  </w:font>
  <w:font w:name="仿宋">
    <w:panose1 w:val="02010609060101010101"/>
    <w:charset w:val="86"/>
    <w:family w:val="modern"/>
    <w:pitch w:val="default"/>
    <w:sig w:usb0="800002BF" w:usb1="38CF7CFA" w:usb2="00000016" w:usb3="00000000" w:csb0="00040001" w:csb1="00000000"/>
  </w:font>
  <w:font w:name="方正小标宋简体">
    <w:panose1 w:val="03000509000000000000"/>
    <w:charset w:val="86"/>
    <w:family w:val="script"/>
    <w:pitch w:val="default"/>
    <w:sig w:usb0="00000001" w:usb1="080E0000" w:usb2="00000000" w:usb3="00000000" w:csb0="00040000"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Unifont CSUR">
    <w:panose1 w:val="02000604000000000000"/>
    <w:charset w:val="00"/>
    <w:family w:val="auto"/>
    <w:pitch w:val="default"/>
    <w:sig w:usb0="00000000" w:usb1="12000000" w:usb2="04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clear" w:pos="4153"/>
      </w:tabs>
      <w:ind w:right="547" w:rightChars="171" w:firstLine="280" w:firstLineChars="100"/>
      <w:jc w:val="center"/>
      <w:rPr>
        <w:rFonts w:ascii="宋体" w:hAnsi="宋体"/>
        <w:sz w:val="28"/>
        <w:szCs w:val="28"/>
      </w:rPr>
    </w:pPr>
    <w:r>
      <w:rPr>
        <w:sz w:val="2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2"/>
                            <w:rPr>
                              <w:rFonts w:hint="eastAsia" w:asciiTheme="minorEastAsia" w:hAnsiTheme="minorEastAsia" w:eastAsiaTheme="minorEastAsia" w:cstheme="minorEastAsia"/>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FgAAAGRycy9QSwECFAAUAAAA&#10;CACHTuJAs0lY7tAAAAAFAQAADwAAAAAAAAABACAAAAA4AAAAZHJzL2Rvd25yZXYueG1sUEsBAhQA&#10;FAAAAAgAh07iQHZIUkvIAgAA7AUAAA4AAAAAAAAAAQAgAAAANQEAAGRycy9lMm9Eb2MueG1sUEsF&#10;BgAAAAAGAAYAWQEAAG8GAAAAAA==&#10;">
              <v:fill on="f" focussize="0,0"/>
              <v:stroke on="f" weight="0.5pt"/>
              <v:imagedata o:title=""/>
              <o:lock v:ext="edit" aspectratio="f"/>
              <v:textbox inset="0mm,0mm,0mm,0mm" style="mso-fit-shape-to-text:t;">
                <w:txbxContent>
                  <w:p>
                    <w:pPr>
                      <w:pStyle w:val="12"/>
                      <w:rPr>
                        <w:rFonts w:hint="eastAsia" w:asciiTheme="minorEastAsia" w:hAnsiTheme="minorEastAsia" w:eastAsiaTheme="minorEastAsia" w:cstheme="minorEastAsia"/>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1</w:t>
                    </w:r>
                    <w:r>
                      <w:rPr>
                        <w:sz w:val="28"/>
                        <w:szCs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ind w:right="547" w:rightChars="171" w:firstLine="280" w:firstLineChars="100"/>
      <w:rPr>
        <w:rFonts w:ascii="宋体" w:hAnsi="宋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12"/>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">
              <v:fill on="f" focussize="0,0"/>
              <v:stroke on="f" weight="0.5pt"/>
              <v:imagedata o:title=""/>
              <o:lock v:ext="edit" aspectratio="f"/>
              <v:textbox inset="0mm,0mm,0mm,0mm" style="mso-fit-shape-to-text:t;">
                <w:txbxContent>
                  <w:p>
                    <w:pPr>
                      <w:pStyle w:val="12"/>
                    </w:pPr>
                    <w:r>
                      <w:rPr>
                        <w:sz w:val="28"/>
                        <w:szCs w:val="28"/>
                      </w:rPr>
                      <w:fldChar w:fldCharType="begin"/>
                    </w:r>
                    <w:r>
                      <w:rPr>
                        <w:sz w:val="28"/>
                        <w:szCs w:val="28"/>
                      </w:rPr>
                      <w:instrText xml:space="preserve"> PAGE  \* MERGEFORMAT </w:instrText>
                    </w:r>
                    <w:r>
                      <w:rPr>
                        <w:sz w:val="28"/>
                        <w:szCs w:val="28"/>
                      </w:rPr>
                      <w:fldChar w:fldCharType="separate"/>
                    </w:r>
                    <w:r>
                      <w:rPr>
                        <w:sz w:val="28"/>
                        <w:szCs w:val="28"/>
                      </w:rPr>
                      <w:t>2</w:t>
                    </w:r>
                    <w:r>
                      <w:rPr>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5681C8B"/>
    <w:multiLevelType w:val="multilevel"/>
    <w:tmpl w:val="65681C8B"/>
    <w:lvl w:ilvl="0" w:tentative="0">
      <w:start w:val="1"/>
      <w:numFmt w:val="decimal"/>
      <w:lvlText w:val="%1"/>
      <w:lvlJc w:val="left"/>
      <w:pPr>
        <w:ind w:left="432" w:hanging="432"/>
      </w:pPr>
      <w:rPr>
        <w:rFonts w:hint="eastAsia"/>
      </w:rPr>
    </w:lvl>
    <w:lvl w:ilvl="1" w:tentative="0">
      <w:start w:val="1"/>
      <w:numFmt w:val="decimal"/>
      <w:suff w:val="space"/>
      <w:lvlText w:val="%1.%2  "/>
      <w:lvlJc w:val="left"/>
      <w:pPr>
        <w:ind w:left="0" w:firstLine="0"/>
      </w:pPr>
      <w:rPr>
        <w:rFonts w:hint="eastAsia" w:ascii="Times New Roman" w:hAnsi="Times New Roman" w:cs="Times New Roman"/>
        <w:i w:val="0"/>
        <w:iCs w:val="0"/>
        <w:caps w:val="0"/>
        <w:smallCaps w:val="0"/>
        <w:strike w:val="0"/>
        <w:dstrike w:val="0"/>
        <w:vanish w:val="0"/>
        <w:color w:val="000000"/>
        <w:spacing w:val="0"/>
        <w:position w:val="0"/>
        <w:u w:val="none"/>
        <w:vertAlign w:val="baseline"/>
        <w:lang w:bidi="zh-CN"/>
        <w14:shadow w14:blurRad="0" w14:dist="0" w14:dir="0" w14:sx="0" w14:sy="0" w14:kx="0" w14:ky="0" w14:algn="none">
          <w14:srgbClr w14:val="000000"/>
        </w14:shadow>
      </w:rPr>
    </w:lvl>
    <w:lvl w:ilvl="2" w:tentative="0">
      <w:start w:val="1"/>
      <w:numFmt w:val="decimal"/>
      <w:pStyle w:val="4"/>
      <w:suff w:val="space"/>
      <w:lvlText w:val="%1.%2.%3  "/>
      <w:lvlJc w:val="left"/>
      <w:pPr>
        <w:ind w:left="0" w:firstLine="0"/>
      </w:pPr>
      <w:rPr>
        <w:rFonts w:hint="eastAsia" w:ascii="Times New Roman" w:hAnsi="Times New Roman"/>
        <w:i w:val="0"/>
        <w:iCs w:val="0"/>
        <w:caps w:val="0"/>
        <w:smallCaps w:val="0"/>
        <w:strike w:val="0"/>
        <w:dstrike w:val="0"/>
        <w:vanish w:val="0"/>
        <w:color w:val="000000"/>
        <w:spacing w:val="0"/>
        <w:position w:val="0"/>
        <w:u w:val="none"/>
        <w:vertAlign w:val="baseline"/>
        <w:lang w:bidi="zh-CN"/>
        <w14:shadow w14:blurRad="0" w14:dist="0" w14:dir="0" w14:sx="0" w14:sy="0" w14:kx="0" w14:ky="0" w14:algn="none">
          <w14:srgbClr w14:val="000000"/>
        </w14:shadow>
      </w:rPr>
    </w:lvl>
    <w:lvl w:ilvl="3" w:tentative="0">
      <w:start w:val="1"/>
      <w:numFmt w:val="decimal"/>
      <w:suff w:val="space"/>
      <w:lvlText w:val="%1.%2.%3.%4"/>
      <w:lvlJc w:val="left"/>
      <w:pPr>
        <w:ind w:left="709" w:firstLine="0"/>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false"/>
  <w:bordersDoNotSurroundFooter w:val="fals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true"/>
  <w:drawingGridHorizontalSpacing w:val="158"/>
  <w:drawingGridVerticalSpacing w:val="313"/>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98D"/>
    <w:rsid w:val="00015B1D"/>
    <w:rsid w:val="0003319C"/>
    <w:rsid w:val="00035B9F"/>
    <w:rsid w:val="00042B94"/>
    <w:rsid w:val="00046FB2"/>
    <w:rsid w:val="0005551C"/>
    <w:rsid w:val="000654CB"/>
    <w:rsid w:val="00071DE7"/>
    <w:rsid w:val="00097C4A"/>
    <w:rsid w:val="000A1D8A"/>
    <w:rsid w:val="000A417F"/>
    <w:rsid w:val="000B02DF"/>
    <w:rsid w:val="000C237D"/>
    <w:rsid w:val="000C7D8F"/>
    <w:rsid w:val="000E3852"/>
    <w:rsid w:val="000E79B0"/>
    <w:rsid w:val="000F1119"/>
    <w:rsid w:val="00111D95"/>
    <w:rsid w:val="00133884"/>
    <w:rsid w:val="00137E86"/>
    <w:rsid w:val="00140E5C"/>
    <w:rsid w:val="00150BB2"/>
    <w:rsid w:val="00162EB1"/>
    <w:rsid w:val="00166D9E"/>
    <w:rsid w:val="001702DF"/>
    <w:rsid w:val="0017307F"/>
    <w:rsid w:val="001A2061"/>
    <w:rsid w:val="001B635A"/>
    <w:rsid w:val="001B6901"/>
    <w:rsid w:val="001B72AE"/>
    <w:rsid w:val="001B7A79"/>
    <w:rsid w:val="001C1DDF"/>
    <w:rsid w:val="001C24F8"/>
    <w:rsid w:val="001C33AF"/>
    <w:rsid w:val="001D13D9"/>
    <w:rsid w:val="001D4DD7"/>
    <w:rsid w:val="001D5D29"/>
    <w:rsid w:val="001E0AC0"/>
    <w:rsid w:val="001E5650"/>
    <w:rsid w:val="001E5967"/>
    <w:rsid w:val="00236BFB"/>
    <w:rsid w:val="0024137C"/>
    <w:rsid w:val="00251ECA"/>
    <w:rsid w:val="00261FA2"/>
    <w:rsid w:val="002716D0"/>
    <w:rsid w:val="00290D11"/>
    <w:rsid w:val="002978BC"/>
    <w:rsid w:val="002A5ACF"/>
    <w:rsid w:val="002B5E0F"/>
    <w:rsid w:val="002D1AF1"/>
    <w:rsid w:val="002D2994"/>
    <w:rsid w:val="002D6B9E"/>
    <w:rsid w:val="002E19BF"/>
    <w:rsid w:val="002F00E0"/>
    <w:rsid w:val="002F1640"/>
    <w:rsid w:val="002F2297"/>
    <w:rsid w:val="002F3562"/>
    <w:rsid w:val="002F587D"/>
    <w:rsid w:val="00300F2E"/>
    <w:rsid w:val="00340538"/>
    <w:rsid w:val="0034502E"/>
    <w:rsid w:val="003468BC"/>
    <w:rsid w:val="00372561"/>
    <w:rsid w:val="00381733"/>
    <w:rsid w:val="00382317"/>
    <w:rsid w:val="003862EC"/>
    <w:rsid w:val="003908C0"/>
    <w:rsid w:val="00394C03"/>
    <w:rsid w:val="003A631B"/>
    <w:rsid w:val="003C541E"/>
    <w:rsid w:val="003C7590"/>
    <w:rsid w:val="003D1E2D"/>
    <w:rsid w:val="003D749F"/>
    <w:rsid w:val="003E4BB6"/>
    <w:rsid w:val="003F11EB"/>
    <w:rsid w:val="003F176A"/>
    <w:rsid w:val="003F77D7"/>
    <w:rsid w:val="003F7B4A"/>
    <w:rsid w:val="00412A9A"/>
    <w:rsid w:val="0044164A"/>
    <w:rsid w:val="004437DB"/>
    <w:rsid w:val="00476F62"/>
    <w:rsid w:val="0048642B"/>
    <w:rsid w:val="00487DA7"/>
    <w:rsid w:val="004C0313"/>
    <w:rsid w:val="004E0C90"/>
    <w:rsid w:val="005173AD"/>
    <w:rsid w:val="00532665"/>
    <w:rsid w:val="0055791E"/>
    <w:rsid w:val="00570A98"/>
    <w:rsid w:val="00572281"/>
    <w:rsid w:val="00577B49"/>
    <w:rsid w:val="00594A16"/>
    <w:rsid w:val="005A2ADA"/>
    <w:rsid w:val="005B2817"/>
    <w:rsid w:val="005B6B67"/>
    <w:rsid w:val="005E6231"/>
    <w:rsid w:val="005E74C7"/>
    <w:rsid w:val="00602945"/>
    <w:rsid w:val="0061320F"/>
    <w:rsid w:val="00615661"/>
    <w:rsid w:val="006263FD"/>
    <w:rsid w:val="006320F2"/>
    <w:rsid w:val="00634660"/>
    <w:rsid w:val="00643105"/>
    <w:rsid w:val="00647196"/>
    <w:rsid w:val="006606A6"/>
    <w:rsid w:val="00666F28"/>
    <w:rsid w:val="00672BD6"/>
    <w:rsid w:val="00682458"/>
    <w:rsid w:val="00683841"/>
    <w:rsid w:val="006917E1"/>
    <w:rsid w:val="006A0DCE"/>
    <w:rsid w:val="006A4D93"/>
    <w:rsid w:val="006B0EDF"/>
    <w:rsid w:val="006C4A94"/>
    <w:rsid w:val="006C5A9C"/>
    <w:rsid w:val="006D51BE"/>
    <w:rsid w:val="006D7ED9"/>
    <w:rsid w:val="006E3FED"/>
    <w:rsid w:val="006E7503"/>
    <w:rsid w:val="006E7EC7"/>
    <w:rsid w:val="006F0114"/>
    <w:rsid w:val="00702E12"/>
    <w:rsid w:val="007135A5"/>
    <w:rsid w:val="00715C2A"/>
    <w:rsid w:val="00717208"/>
    <w:rsid w:val="00721C69"/>
    <w:rsid w:val="00725669"/>
    <w:rsid w:val="00753AAD"/>
    <w:rsid w:val="00757809"/>
    <w:rsid w:val="0077033A"/>
    <w:rsid w:val="00784494"/>
    <w:rsid w:val="00784D91"/>
    <w:rsid w:val="007A3036"/>
    <w:rsid w:val="007A3608"/>
    <w:rsid w:val="007B59A2"/>
    <w:rsid w:val="007C2DFF"/>
    <w:rsid w:val="007C5B8A"/>
    <w:rsid w:val="007E1486"/>
    <w:rsid w:val="007E71E7"/>
    <w:rsid w:val="007F2C9D"/>
    <w:rsid w:val="007F3388"/>
    <w:rsid w:val="007F39EF"/>
    <w:rsid w:val="007F3BFB"/>
    <w:rsid w:val="008006D2"/>
    <w:rsid w:val="00817DC2"/>
    <w:rsid w:val="008300BA"/>
    <w:rsid w:val="008378C0"/>
    <w:rsid w:val="00856BAE"/>
    <w:rsid w:val="008751C6"/>
    <w:rsid w:val="008956FB"/>
    <w:rsid w:val="008974EB"/>
    <w:rsid w:val="008A713F"/>
    <w:rsid w:val="008B2A4A"/>
    <w:rsid w:val="008B5431"/>
    <w:rsid w:val="008C3446"/>
    <w:rsid w:val="008F1892"/>
    <w:rsid w:val="00932667"/>
    <w:rsid w:val="00937E41"/>
    <w:rsid w:val="00940E5D"/>
    <w:rsid w:val="00984FC0"/>
    <w:rsid w:val="009858AF"/>
    <w:rsid w:val="009A093F"/>
    <w:rsid w:val="009A18CC"/>
    <w:rsid w:val="009A1EB6"/>
    <w:rsid w:val="009B7EEE"/>
    <w:rsid w:val="009C4CC6"/>
    <w:rsid w:val="009D1473"/>
    <w:rsid w:val="009D74F3"/>
    <w:rsid w:val="009E0B9D"/>
    <w:rsid w:val="00A155C6"/>
    <w:rsid w:val="00A63706"/>
    <w:rsid w:val="00A8393A"/>
    <w:rsid w:val="00AB3AD9"/>
    <w:rsid w:val="00AC74B6"/>
    <w:rsid w:val="00AD687A"/>
    <w:rsid w:val="00AD7301"/>
    <w:rsid w:val="00AE3B76"/>
    <w:rsid w:val="00AF7BEE"/>
    <w:rsid w:val="00B02012"/>
    <w:rsid w:val="00B12D47"/>
    <w:rsid w:val="00B23FC0"/>
    <w:rsid w:val="00B302BD"/>
    <w:rsid w:val="00B4692B"/>
    <w:rsid w:val="00B50433"/>
    <w:rsid w:val="00B62FCC"/>
    <w:rsid w:val="00B6407F"/>
    <w:rsid w:val="00B650CF"/>
    <w:rsid w:val="00B850E1"/>
    <w:rsid w:val="00B87CCC"/>
    <w:rsid w:val="00B96168"/>
    <w:rsid w:val="00B961A1"/>
    <w:rsid w:val="00B97AB0"/>
    <w:rsid w:val="00BA598E"/>
    <w:rsid w:val="00BA6D6C"/>
    <w:rsid w:val="00BB3A50"/>
    <w:rsid w:val="00BC7FC2"/>
    <w:rsid w:val="00BE7795"/>
    <w:rsid w:val="00C12351"/>
    <w:rsid w:val="00C20F0D"/>
    <w:rsid w:val="00C262B2"/>
    <w:rsid w:val="00C41FF1"/>
    <w:rsid w:val="00C47A9F"/>
    <w:rsid w:val="00C57F9F"/>
    <w:rsid w:val="00C64AE8"/>
    <w:rsid w:val="00C72497"/>
    <w:rsid w:val="00C74455"/>
    <w:rsid w:val="00C758D3"/>
    <w:rsid w:val="00C81C3B"/>
    <w:rsid w:val="00C910ED"/>
    <w:rsid w:val="00CC7E46"/>
    <w:rsid w:val="00CE2D40"/>
    <w:rsid w:val="00CE4747"/>
    <w:rsid w:val="00CF0EC8"/>
    <w:rsid w:val="00CF74AA"/>
    <w:rsid w:val="00D01BD7"/>
    <w:rsid w:val="00D05F2D"/>
    <w:rsid w:val="00D06ED4"/>
    <w:rsid w:val="00D203BE"/>
    <w:rsid w:val="00D21946"/>
    <w:rsid w:val="00D2389D"/>
    <w:rsid w:val="00D40611"/>
    <w:rsid w:val="00D50ED8"/>
    <w:rsid w:val="00D536A7"/>
    <w:rsid w:val="00D63EA0"/>
    <w:rsid w:val="00D72C63"/>
    <w:rsid w:val="00D744B6"/>
    <w:rsid w:val="00D81854"/>
    <w:rsid w:val="00D81B51"/>
    <w:rsid w:val="00D8594E"/>
    <w:rsid w:val="00D85E88"/>
    <w:rsid w:val="00D86CCC"/>
    <w:rsid w:val="00D870AA"/>
    <w:rsid w:val="00D94958"/>
    <w:rsid w:val="00D95E56"/>
    <w:rsid w:val="00DA4F75"/>
    <w:rsid w:val="00DF3FF8"/>
    <w:rsid w:val="00E07FB2"/>
    <w:rsid w:val="00E10AB4"/>
    <w:rsid w:val="00E2298D"/>
    <w:rsid w:val="00E3265A"/>
    <w:rsid w:val="00E5491A"/>
    <w:rsid w:val="00E67393"/>
    <w:rsid w:val="00E843B0"/>
    <w:rsid w:val="00E936E9"/>
    <w:rsid w:val="00E94E1F"/>
    <w:rsid w:val="00EA5BFC"/>
    <w:rsid w:val="00EB028F"/>
    <w:rsid w:val="00EB1FE0"/>
    <w:rsid w:val="00EC3DC3"/>
    <w:rsid w:val="00ED0BF2"/>
    <w:rsid w:val="00F01449"/>
    <w:rsid w:val="00F2442B"/>
    <w:rsid w:val="00F2574D"/>
    <w:rsid w:val="00F260C4"/>
    <w:rsid w:val="00F36E06"/>
    <w:rsid w:val="00F45913"/>
    <w:rsid w:val="00F47A69"/>
    <w:rsid w:val="00F517A6"/>
    <w:rsid w:val="00F52C3C"/>
    <w:rsid w:val="00F559BF"/>
    <w:rsid w:val="00F65A10"/>
    <w:rsid w:val="00F77781"/>
    <w:rsid w:val="00F86CCD"/>
    <w:rsid w:val="00F87513"/>
    <w:rsid w:val="00F95A1D"/>
    <w:rsid w:val="00FA28B7"/>
    <w:rsid w:val="00FB00D0"/>
    <w:rsid w:val="00FC0CE3"/>
    <w:rsid w:val="00FC2701"/>
    <w:rsid w:val="00FC6BDF"/>
    <w:rsid w:val="00FC7AEA"/>
    <w:rsid w:val="00FD22BF"/>
    <w:rsid w:val="00FE3F10"/>
    <w:rsid w:val="00FE40B5"/>
    <w:rsid w:val="00FE47D7"/>
    <w:rsid w:val="00FF39F6"/>
    <w:rsid w:val="00FF5575"/>
    <w:rsid w:val="06204C5B"/>
    <w:rsid w:val="0CDD79D4"/>
    <w:rsid w:val="0DB317B6"/>
    <w:rsid w:val="126C7157"/>
    <w:rsid w:val="1BCF1A2A"/>
    <w:rsid w:val="21412E17"/>
    <w:rsid w:val="3AD03DA6"/>
    <w:rsid w:val="3FEB9603"/>
    <w:rsid w:val="57EF71BC"/>
    <w:rsid w:val="5A7F098E"/>
    <w:rsid w:val="5FBF0CD7"/>
    <w:rsid w:val="63ABBC9D"/>
    <w:rsid w:val="652B6CE0"/>
    <w:rsid w:val="6CEEE4EA"/>
    <w:rsid w:val="6E7E1972"/>
    <w:rsid w:val="71D33B0A"/>
    <w:rsid w:val="774D4D6F"/>
    <w:rsid w:val="77B6A241"/>
    <w:rsid w:val="797EAB5D"/>
    <w:rsid w:val="7BE492D8"/>
    <w:rsid w:val="7EDBDE85"/>
    <w:rsid w:val="7EEF1983"/>
    <w:rsid w:val="AEFD80CE"/>
    <w:rsid w:val="B3BECF05"/>
    <w:rsid w:val="BCFD3B1D"/>
    <w:rsid w:val="CCBFFACD"/>
    <w:rsid w:val="CD355838"/>
    <w:rsid w:val="D3474481"/>
    <w:rsid w:val="D47363CE"/>
    <w:rsid w:val="D97DAA34"/>
    <w:rsid w:val="DEF34A9D"/>
    <w:rsid w:val="E99DA8B1"/>
    <w:rsid w:val="EDEFACEB"/>
    <w:rsid w:val="EDF7BAEB"/>
    <w:rsid w:val="EF7FC1AA"/>
    <w:rsid w:val="F5A97597"/>
    <w:rsid w:val="F66F7026"/>
    <w:rsid w:val="F78F7A9E"/>
    <w:rsid w:val="F7DCB9B4"/>
    <w:rsid w:val="FAF5C474"/>
    <w:rsid w:val="FBFF0D1B"/>
    <w:rsid w:val="FDBF7E2F"/>
    <w:rsid w:val="FEE7EA12"/>
    <w:rsid w:val="FEFF5F50"/>
    <w:rsid w:val="FF7B4F55"/>
    <w:rsid w:val="FFBBBB4D"/>
    <w:rsid w:val="FFDF10DB"/>
    <w:rsid w:val="FFE8D230"/>
    <w:rsid w:val="FFF7C29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99" w:semiHidden="0" w:name="annotation text"/>
    <w:lsdException w:qFormat="1" w:unhideWhenUsed="0" w:uiPriority="99" w:semiHidden="0" w:name="header"/>
    <w:lsdException w:qFormat="1" w:unhideWhenUsed="0" w:uiPriority="99" w:semiHidden="0" w:name="footer"/>
    <w:lsdException w:uiPriority="0" w:name="index heading"/>
    <w:lsdException w:qFormat="1" w:uiPriority="35" w:semiHidden="0" w:name="caption"/>
    <w:lsdException w:uiPriority="0" w:name="table of figures"/>
    <w:lsdException w:uiPriority="0" w:name="envelope address"/>
    <w:lsdException w:uiPriority="0" w:name="envelope return"/>
    <w:lsdException w:uiPriority="0" w:name="footnote reference"/>
    <w:lsdException w:qFormat="1"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qFormat="1" w:unhideWhenUsed="0" w:uiPriority="1"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99"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24"/>
      <w:lang w:val="en-US" w:eastAsia="zh-CN" w:bidi="ar-SA"/>
    </w:rPr>
  </w:style>
  <w:style w:type="paragraph" w:styleId="2">
    <w:name w:val="heading 1"/>
    <w:basedOn w:val="1"/>
    <w:next w:val="1"/>
    <w:link w:val="32"/>
    <w:qFormat/>
    <w:uiPriority w:val="9"/>
    <w:pPr>
      <w:widowControl/>
      <w:spacing w:line="560" w:lineRule="exact"/>
      <w:jc w:val="center"/>
      <w:outlineLvl w:val="0"/>
    </w:pPr>
    <w:rPr>
      <w:rFonts w:eastAsia="黑体"/>
      <w:color w:val="000000" w:themeColor="text1"/>
      <w:kern w:val="44"/>
      <w:szCs w:val="44"/>
      <w14:textFill>
        <w14:solidFill>
          <w14:schemeClr w14:val="tx1"/>
        </w14:solidFill>
      </w14:textFill>
    </w:rPr>
  </w:style>
  <w:style w:type="paragraph" w:styleId="3">
    <w:name w:val="heading 2"/>
    <w:basedOn w:val="1"/>
    <w:next w:val="1"/>
    <w:link w:val="33"/>
    <w:unhideWhenUsed/>
    <w:qFormat/>
    <w:uiPriority w:val="9"/>
    <w:pPr>
      <w:widowControl/>
      <w:spacing w:line="560" w:lineRule="exact"/>
      <w:ind w:firstLine="643" w:firstLineChars="200"/>
      <w:outlineLvl w:val="1"/>
    </w:pPr>
    <w:rPr>
      <w:rFonts w:eastAsia="楷体_GB2312" w:cstheme="majorBidi"/>
      <w:b/>
      <w:bCs/>
      <w:szCs w:val="32"/>
    </w:rPr>
  </w:style>
  <w:style w:type="paragraph" w:styleId="4">
    <w:name w:val="heading 3"/>
    <w:basedOn w:val="1"/>
    <w:next w:val="1"/>
    <w:link w:val="34"/>
    <w:unhideWhenUsed/>
    <w:qFormat/>
    <w:uiPriority w:val="9"/>
    <w:pPr>
      <w:widowControl/>
      <w:numPr>
        <w:ilvl w:val="2"/>
        <w:numId w:val="1"/>
      </w:numPr>
      <w:tabs>
        <w:tab w:val="left" w:pos="360"/>
      </w:tabs>
      <w:spacing w:before="60" w:after="60" w:line="360" w:lineRule="auto"/>
      <w:jc w:val="left"/>
      <w:outlineLvl w:val="2"/>
    </w:pPr>
    <w:rPr>
      <w:rFonts w:eastAsia="仿宋_GB2312" w:cstheme="minorBidi"/>
      <w:b/>
      <w:bCs/>
      <w:szCs w:val="32"/>
    </w:rPr>
  </w:style>
  <w:style w:type="paragraph" w:styleId="5">
    <w:name w:val="heading 4"/>
    <w:basedOn w:val="1"/>
    <w:next w:val="1"/>
    <w:link w:val="35"/>
    <w:unhideWhenUsed/>
    <w:qFormat/>
    <w:uiPriority w:val="9"/>
    <w:pPr>
      <w:keepNext/>
      <w:keepLines/>
      <w:spacing w:before="280" w:after="290" w:line="376" w:lineRule="atLeast"/>
      <w:ind w:firstLine="200" w:firstLineChars="200"/>
      <w:outlineLvl w:val="3"/>
    </w:pPr>
    <w:rPr>
      <w:rFonts w:asciiTheme="majorHAnsi" w:hAnsiTheme="majorHAnsi" w:eastAsiaTheme="majorEastAsia" w:cstheme="majorBidi"/>
      <w:b/>
      <w:bCs/>
      <w:sz w:val="28"/>
      <w:szCs w:val="28"/>
    </w:rPr>
  </w:style>
  <w:style w:type="paragraph" w:styleId="6">
    <w:name w:val="heading 5"/>
    <w:basedOn w:val="1"/>
    <w:next w:val="1"/>
    <w:link w:val="36"/>
    <w:unhideWhenUsed/>
    <w:qFormat/>
    <w:uiPriority w:val="9"/>
    <w:pPr>
      <w:keepNext/>
      <w:keepLines/>
      <w:spacing w:before="280" w:after="290" w:line="376" w:lineRule="atLeast"/>
      <w:ind w:firstLine="200" w:firstLineChars="200"/>
      <w:outlineLvl w:val="4"/>
    </w:pPr>
    <w:rPr>
      <w:rFonts w:eastAsia="仿宋_GB2312" w:cstheme="minorBidi"/>
      <w:b/>
      <w:bCs/>
      <w:sz w:val="28"/>
      <w:szCs w:val="28"/>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unhideWhenUsed/>
    <w:qFormat/>
    <w:uiPriority w:val="35"/>
    <w:pPr>
      <w:spacing w:line="360" w:lineRule="auto"/>
      <w:jc w:val="center"/>
    </w:pPr>
    <w:rPr>
      <w:rFonts w:eastAsia="仿宋_GB2312" w:cstheme="majorBidi"/>
      <w:szCs w:val="20"/>
    </w:rPr>
  </w:style>
  <w:style w:type="paragraph" w:styleId="8">
    <w:name w:val="annotation text"/>
    <w:basedOn w:val="1"/>
    <w:link w:val="37"/>
    <w:unhideWhenUsed/>
    <w:qFormat/>
    <w:uiPriority w:val="99"/>
    <w:pPr>
      <w:spacing w:line="560" w:lineRule="exact"/>
      <w:ind w:firstLine="200" w:firstLineChars="200"/>
      <w:jc w:val="left"/>
    </w:pPr>
    <w:rPr>
      <w:rFonts w:eastAsia="仿宋_GB2312" w:cstheme="minorBidi"/>
    </w:rPr>
  </w:style>
  <w:style w:type="paragraph" w:styleId="9">
    <w:name w:val="Body Text"/>
    <w:basedOn w:val="1"/>
    <w:link w:val="38"/>
    <w:qFormat/>
    <w:uiPriority w:val="1"/>
    <w:pPr>
      <w:ind w:left="120"/>
    </w:pPr>
    <w:rPr>
      <w:rFonts w:ascii="仿宋_GB2312" w:hAnsi="仿宋_GB2312" w:eastAsia="仿宋_GB2312" w:cstheme="minorBidi"/>
      <w:szCs w:val="32"/>
    </w:rPr>
  </w:style>
  <w:style w:type="paragraph" w:styleId="10">
    <w:name w:val="Date"/>
    <w:basedOn w:val="1"/>
    <w:next w:val="1"/>
    <w:link w:val="29"/>
    <w:qFormat/>
    <w:uiPriority w:val="99"/>
    <w:pPr>
      <w:ind w:left="100" w:leftChars="2500"/>
    </w:pPr>
  </w:style>
  <w:style w:type="paragraph" w:styleId="11">
    <w:name w:val="Balloon Text"/>
    <w:basedOn w:val="1"/>
    <w:link w:val="26"/>
    <w:qFormat/>
    <w:uiPriority w:val="99"/>
    <w:rPr>
      <w:sz w:val="18"/>
      <w:szCs w:val="18"/>
    </w:rPr>
  </w:style>
  <w:style w:type="paragraph" w:styleId="12">
    <w:name w:val="footer"/>
    <w:basedOn w:val="1"/>
    <w:link w:val="25"/>
    <w:qFormat/>
    <w:uiPriority w:val="99"/>
    <w:pPr>
      <w:tabs>
        <w:tab w:val="center" w:pos="4153"/>
        <w:tab w:val="right" w:pos="8306"/>
      </w:tabs>
      <w:snapToGrid w:val="0"/>
      <w:jc w:val="left"/>
    </w:pPr>
    <w:rPr>
      <w:sz w:val="18"/>
      <w:szCs w:val="18"/>
    </w:rPr>
  </w:style>
  <w:style w:type="paragraph" w:styleId="13">
    <w:name w:val="header"/>
    <w:basedOn w:val="1"/>
    <w:link w:val="24"/>
    <w:qFormat/>
    <w:uiPriority w:val="99"/>
    <w:pPr>
      <w:pBdr>
        <w:bottom w:val="single" w:color="auto" w:sz="6" w:space="1"/>
      </w:pBdr>
      <w:tabs>
        <w:tab w:val="center" w:pos="4153"/>
        <w:tab w:val="right" w:pos="8306"/>
      </w:tabs>
      <w:snapToGrid w:val="0"/>
      <w:jc w:val="center"/>
    </w:pPr>
    <w:rPr>
      <w:sz w:val="18"/>
      <w:szCs w:val="18"/>
    </w:rPr>
  </w:style>
  <w:style w:type="paragraph" w:styleId="14">
    <w:name w:val="Normal (Web)"/>
    <w:basedOn w:val="1"/>
    <w:qFormat/>
    <w:uiPriority w:val="99"/>
    <w:pPr>
      <w:widowControl/>
      <w:spacing w:before="100" w:beforeAutospacing="1" w:after="100" w:afterAutospacing="1"/>
      <w:jc w:val="left"/>
    </w:pPr>
    <w:rPr>
      <w:rFonts w:ascii="仿宋" w:hAnsi="宋体" w:cs="宋体"/>
      <w:kern w:val="0"/>
    </w:rPr>
  </w:style>
  <w:style w:type="paragraph" w:styleId="15">
    <w:name w:val="Title"/>
    <w:basedOn w:val="1"/>
    <w:next w:val="1"/>
    <w:link w:val="39"/>
    <w:qFormat/>
    <w:uiPriority w:val="10"/>
    <w:pPr>
      <w:spacing w:line="560" w:lineRule="exact"/>
      <w:jc w:val="center"/>
      <w:outlineLvl w:val="0"/>
    </w:pPr>
    <w:rPr>
      <w:rFonts w:eastAsia="楷体_GB2312" w:cstheme="majorBidi"/>
      <w:bCs/>
      <w:szCs w:val="32"/>
    </w:rPr>
  </w:style>
  <w:style w:type="paragraph" w:styleId="16">
    <w:name w:val="annotation subject"/>
    <w:basedOn w:val="8"/>
    <w:next w:val="8"/>
    <w:link w:val="40"/>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0">
    <w:name w:val="Strong"/>
    <w:basedOn w:val="19"/>
    <w:qFormat/>
    <w:uiPriority w:val="22"/>
    <w:rPr>
      <w:b/>
      <w:bCs/>
    </w:rPr>
  </w:style>
  <w:style w:type="character" w:styleId="21">
    <w:name w:val="FollowedHyperlink"/>
    <w:basedOn w:val="19"/>
    <w:unhideWhenUsed/>
    <w:qFormat/>
    <w:uiPriority w:val="99"/>
    <w:rPr>
      <w:color w:val="800080"/>
      <w:u w:val="single"/>
    </w:rPr>
  </w:style>
  <w:style w:type="character" w:styleId="22">
    <w:name w:val="Hyperlink"/>
    <w:qFormat/>
    <w:uiPriority w:val="99"/>
    <w:rPr>
      <w:color w:val="0000FF"/>
      <w:u w:val="single"/>
    </w:rPr>
  </w:style>
  <w:style w:type="character" w:styleId="23">
    <w:name w:val="annotation reference"/>
    <w:basedOn w:val="19"/>
    <w:unhideWhenUsed/>
    <w:qFormat/>
    <w:uiPriority w:val="99"/>
    <w:rPr>
      <w:sz w:val="21"/>
      <w:szCs w:val="21"/>
    </w:rPr>
  </w:style>
  <w:style w:type="character" w:customStyle="1" w:styleId="24">
    <w:name w:val="页眉 Char"/>
    <w:link w:val="13"/>
    <w:qFormat/>
    <w:uiPriority w:val="99"/>
    <w:rPr>
      <w:kern w:val="2"/>
      <w:sz w:val="18"/>
      <w:szCs w:val="18"/>
    </w:rPr>
  </w:style>
  <w:style w:type="character" w:customStyle="1" w:styleId="25">
    <w:name w:val="页脚 Char"/>
    <w:link w:val="12"/>
    <w:qFormat/>
    <w:uiPriority w:val="99"/>
    <w:rPr>
      <w:kern w:val="2"/>
      <w:sz w:val="18"/>
      <w:szCs w:val="18"/>
    </w:rPr>
  </w:style>
  <w:style w:type="character" w:customStyle="1" w:styleId="26">
    <w:name w:val="批注框文本 Char"/>
    <w:link w:val="11"/>
    <w:qFormat/>
    <w:uiPriority w:val="99"/>
    <w:rPr>
      <w:kern w:val="2"/>
      <w:sz w:val="18"/>
      <w:szCs w:val="18"/>
    </w:rPr>
  </w:style>
  <w:style w:type="paragraph" w:styleId="27">
    <w:name w:val="List Paragraph"/>
    <w:basedOn w:val="1"/>
    <w:qFormat/>
    <w:uiPriority w:val="99"/>
    <w:pPr>
      <w:ind w:firstLine="420" w:firstLineChars="200"/>
    </w:pPr>
    <w:rPr>
      <w:rFonts w:ascii="Calibri" w:hAnsi="Calibri"/>
      <w:szCs w:val="22"/>
    </w:rPr>
  </w:style>
  <w:style w:type="paragraph" w:customStyle="1" w:styleId="28">
    <w:name w:val="样式 样式1 + 红色"/>
    <w:basedOn w:val="1"/>
    <w:qFormat/>
    <w:uiPriority w:val="0"/>
    <w:pPr>
      <w:keepNext/>
      <w:keepLines/>
      <w:spacing w:before="340" w:after="330" w:line="578" w:lineRule="auto"/>
      <w:jc w:val="center"/>
      <w:outlineLvl w:val="0"/>
    </w:pPr>
    <w:rPr>
      <w:rFonts w:eastAsia="黑体"/>
      <w:b/>
      <w:bCs/>
      <w:color w:val="FF0000"/>
      <w:kern w:val="44"/>
      <w:szCs w:val="44"/>
    </w:rPr>
  </w:style>
  <w:style w:type="character" w:customStyle="1" w:styleId="29">
    <w:name w:val="日期 Char"/>
    <w:link w:val="10"/>
    <w:qFormat/>
    <w:uiPriority w:val="99"/>
    <w:rPr>
      <w:kern w:val="2"/>
      <w:sz w:val="21"/>
      <w:szCs w:val="24"/>
    </w:rPr>
  </w:style>
  <w:style w:type="character" w:customStyle="1" w:styleId="30">
    <w:name w:val="未处理的提及"/>
    <w:semiHidden/>
    <w:unhideWhenUsed/>
    <w:qFormat/>
    <w:uiPriority w:val="99"/>
    <w:rPr>
      <w:color w:val="605E5C"/>
      <w:shd w:val="clear" w:color="auto" w:fill="E1DFDD"/>
    </w:rPr>
  </w:style>
  <w:style w:type="paragraph" w:customStyle="1" w:styleId="31">
    <w:name w:val="列出段落1"/>
    <w:basedOn w:val="1"/>
    <w:next w:val="27"/>
    <w:qFormat/>
    <w:uiPriority w:val="34"/>
    <w:pPr>
      <w:ind w:firstLine="420" w:firstLineChars="200"/>
    </w:pPr>
    <w:rPr>
      <w:rFonts w:ascii="Calibri" w:hAnsi="Calibri"/>
      <w:szCs w:val="22"/>
    </w:rPr>
  </w:style>
  <w:style w:type="character" w:customStyle="1" w:styleId="32">
    <w:name w:val="标题 1 Char"/>
    <w:basedOn w:val="19"/>
    <w:link w:val="2"/>
    <w:qFormat/>
    <w:uiPriority w:val="9"/>
    <w:rPr>
      <w:rFonts w:eastAsia="黑体"/>
      <w:color w:val="000000" w:themeColor="text1"/>
      <w:kern w:val="44"/>
      <w:sz w:val="32"/>
      <w:szCs w:val="44"/>
      <w14:textFill>
        <w14:solidFill>
          <w14:schemeClr w14:val="tx1"/>
        </w14:solidFill>
      </w14:textFill>
    </w:rPr>
  </w:style>
  <w:style w:type="character" w:customStyle="1" w:styleId="33">
    <w:name w:val="标题 2 Char"/>
    <w:basedOn w:val="19"/>
    <w:link w:val="3"/>
    <w:qFormat/>
    <w:uiPriority w:val="9"/>
    <w:rPr>
      <w:rFonts w:eastAsia="楷体_GB2312" w:cstheme="majorBidi"/>
      <w:b/>
      <w:bCs/>
      <w:kern w:val="2"/>
      <w:sz w:val="32"/>
      <w:szCs w:val="32"/>
    </w:rPr>
  </w:style>
  <w:style w:type="character" w:customStyle="1" w:styleId="34">
    <w:name w:val="标题 3 Char"/>
    <w:basedOn w:val="19"/>
    <w:link w:val="4"/>
    <w:qFormat/>
    <w:uiPriority w:val="9"/>
    <w:rPr>
      <w:rFonts w:eastAsia="仿宋_GB2312" w:cstheme="minorBidi"/>
      <w:b/>
      <w:bCs/>
      <w:kern w:val="2"/>
      <w:sz w:val="32"/>
      <w:szCs w:val="32"/>
    </w:rPr>
  </w:style>
  <w:style w:type="character" w:customStyle="1" w:styleId="35">
    <w:name w:val="标题 4 Char"/>
    <w:basedOn w:val="19"/>
    <w:link w:val="5"/>
    <w:qFormat/>
    <w:uiPriority w:val="9"/>
    <w:rPr>
      <w:rFonts w:asciiTheme="majorHAnsi" w:hAnsiTheme="majorHAnsi" w:eastAsiaTheme="majorEastAsia" w:cstheme="majorBidi"/>
      <w:b/>
      <w:bCs/>
      <w:kern w:val="2"/>
      <w:sz w:val="28"/>
      <w:szCs w:val="28"/>
    </w:rPr>
  </w:style>
  <w:style w:type="character" w:customStyle="1" w:styleId="36">
    <w:name w:val="标题 5 Char"/>
    <w:basedOn w:val="19"/>
    <w:link w:val="6"/>
    <w:qFormat/>
    <w:uiPriority w:val="9"/>
    <w:rPr>
      <w:rFonts w:eastAsia="仿宋_GB2312" w:cstheme="minorBidi"/>
      <w:b/>
      <w:bCs/>
      <w:kern w:val="2"/>
      <w:sz w:val="28"/>
      <w:szCs w:val="28"/>
    </w:rPr>
  </w:style>
  <w:style w:type="character" w:customStyle="1" w:styleId="37">
    <w:name w:val="批注文字 Char"/>
    <w:basedOn w:val="19"/>
    <w:link w:val="8"/>
    <w:qFormat/>
    <w:uiPriority w:val="99"/>
    <w:rPr>
      <w:rFonts w:eastAsia="仿宋_GB2312" w:cstheme="minorBidi"/>
      <w:kern w:val="2"/>
      <w:sz w:val="32"/>
      <w:szCs w:val="24"/>
    </w:rPr>
  </w:style>
  <w:style w:type="character" w:customStyle="1" w:styleId="38">
    <w:name w:val="正文文本 Char"/>
    <w:basedOn w:val="19"/>
    <w:link w:val="9"/>
    <w:qFormat/>
    <w:uiPriority w:val="1"/>
    <w:rPr>
      <w:rFonts w:ascii="仿宋_GB2312" w:hAnsi="仿宋_GB2312" w:eastAsia="仿宋_GB2312" w:cstheme="minorBidi"/>
      <w:kern w:val="2"/>
      <w:sz w:val="32"/>
      <w:szCs w:val="32"/>
    </w:rPr>
  </w:style>
  <w:style w:type="character" w:customStyle="1" w:styleId="39">
    <w:name w:val="标题 Char"/>
    <w:basedOn w:val="19"/>
    <w:link w:val="15"/>
    <w:qFormat/>
    <w:uiPriority w:val="10"/>
    <w:rPr>
      <w:rFonts w:eastAsia="楷体_GB2312" w:cstheme="majorBidi"/>
      <w:bCs/>
      <w:kern w:val="2"/>
      <w:sz w:val="32"/>
      <w:szCs w:val="32"/>
    </w:rPr>
  </w:style>
  <w:style w:type="character" w:customStyle="1" w:styleId="40">
    <w:name w:val="批注主题 Char"/>
    <w:basedOn w:val="37"/>
    <w:link w:val="16"/>
    <w:qFormat/>
    <w:uiPriority w:val="99"/>
    <w:rPr>
      <w:rFonts w:eastAsia="仿宋_GB2312" w:cstheme="minorBidi"/>
      <w:b/>
      <w:bCs/>
      <w:kern w:val="2"/>
      <w:sz w:val="32"/>
      <w:szCs w:val="24"/>
    </w:rPr>
  </w:style>
  <w:style w:type="paragraph" w:styleId="41">
    <w:name w:val="No Spacing"/>
    <w:next w:val="1"/>
    <w:qFormat/>
    <w:uiPriority w:val="1"/>
    <w:pPr>
      <w:widowControl w:val="0"/>
      <w:spacing w:line="560" w:lineRule="exact"/>
      <w:jc w:val="center"/>
    </w:pPr>
    <w:rPr>
      <w:rFonts w:ascii="Times New Roman" w:hAnsi="Times New Roman" w:eastAsia="方正小标宋简体" w:cstheme="minorBidi"/>
      <w:kern w:val="2"/>
      <w:sz w:val="44"/>
      <w:szCs w:val="24"/>
      <w:lang w:val="en-US" w:eastAsia="zh-CN" w:bidi="ar-SA"/>
    </w:rPr>
  </w:style>
  <w:style w:type="table" w:customStyle="1" w:styleId="42">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paragraph" w:customStyle="1" w:styleId="43">
    <w:name w:val="Table Paragraph"/>
    <w:basedOn w:val="1"/>
    <w:qFormat/>
    <w:uiPriority w:val="1"/>
    <w:pPr>
      <w:autoSpaceDE w:val="0"/>
      <w:autoSpaceDN w:val="0"/>
      <w:ind w:left="107"/>
      <w:jc w:val="left"/>
    </w:pPr>
    <w:rPr>
      <w:rFonts w:ascii="宋体" w:hAnsi="宋体" w:cs="宋体"/>
      <w:kern w:val="0"/>
      <w:sz w:val="22"/>
      <w:szCs w:val="22"/>
      <w:lang w:eastAsia="en-US"/>
    </w:rPr>
  </w:style>
  <w:style w:type="paragraph" w:customStyle="1" w:styleId="44">
    <w:name w:val="EndNote Bibliography Title"/>
    <w:basedOn w:val="1"/>
    <w:link w:val="45"/>
    <w:qFormat/>
    <w:uiPriority w:val="0"/>
    <w:pPr>
      <w:spacing w:line="560" w:lineRule="exact"/>
      <w:ind w:firstLine="200" w:firstLineChars="200"/>
      <w:jc w:val="center"/>
    </w:pPr>
    <w:rPr>
      <w:rFonts w:eastAsia="仿宋_GB2312"/>
    </w:rPr>
  </w:style>
  <w:style w:type="character" w:customStyle="1" w:styleId="45">
    <w:name w:val="EndNote Bibliography Title 字符"/>
    <w:basedOn w:val="19"/>
    <w:link w:val="44"/>
    <w:qFormat/>
    <w:uiPriority w:val="0"/>
    <w:rPr>
      <w:rFonts w:eastAsia="仿宋_GB2312"/>
      <w:kern w:val="2"/>
      <w:sz w:val="32"/>
      <w:szCs w:val="24"/>
    </w:rPr>
  </w:style>
  <w:style w:type="paragraph" w:customStyle="1" w:styleId="46">
    <w:name w:val="EndNote Bibliography"/>
    <w:basedOn w:val="1"/>
    <w:link w:val="47"/>
    <w:qFormat/>
    <w:uiPriority w:val="0"/>
    <w:pPr>
      <w:spacing w:line="240" w:lineRule="exact"/>
      <w:ind w:firstLine="200" w:firstLineChars="200"/>
    </w:pPr>
    <w:rPr>
      <w:rFonts w:eastAsia="仿宋_GB2312"/>
    </w:rPr>
  </w:style>
  <w:style w:type="character" w:customStyle="1" w:styleId="47">
    <w:name w:val="EndNote Bibliography 字符"/>
    <w:basedOn w:val="19"/>
    <w:link w:val="46"/>
    <w:qFormat/>
    <w:uiPriority w:val="0"/>
    <w:rPr>
      <w:rFonts w:eastAsia="仿宋_GB2312"/>
      <w:kern w:val="2"/>
      <w:sz w:val="32"/>
      <w:szCs w:val="24"/>
    </w:rPr>
  </w:style>
  <w:style w:type="paragraph" w:customStyle="1" w:styleId="48">
    <w:name w:val="正文缩进1"/>
    <w:basedOn w:val="1"/>
    <w:qFormat/>
    <w:uiPriority w:val="0"/>
    <w:pPr>
      <w:ind w:firstLine="420"/>
    </w:pPr>
    <w:rPr>
      <w:szCs w:val="22"/>
    </w:rPr>
  </w:style>
  <w:style w:type="paragraph" w:customStyle="1" w:styleId="49">
    <w:name w:val="font5"/>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50">
    <w:name w:val="font6"/>
    <w:basedOn w:val="1"/>
    <w:qFormat/>
    <w:uiPriority w:val="0"/>
    <w:pPr>
      <w:widowControl/>
      <w:spacing w:before="100" w:beforeAutospacing="1" w:after="100" w:afterAutospacing="1"/>
      <w:jc w:val="left"/>
    </w:pPr>
    <w:rPr>
      <w:color w:val="000000"/>
      <w:kern w:val="0"/>
      <w:sz w:val="28"/>
      <w:szCs w:val="28"/>
    </w:rPr>
  </w:style>
  <w:style w:type="paragraph" w:customStyle="1" w:styleId="51">
    <w:name w:val="font7"/>
    <w:basedOn w:val="1"/>
    <w:qFormat/>
    <w:uiPriority w:val="0"/>
    <w:pPr>
      <w:widowControl/>
      <w:spacing w:before="100" w:beforeAutospacing="1" w:after="100" w:afterAutospacing="1"/>
      <w:jc w:val="left"/>
    </w:pPr>
    <w:rPr>
      <w:rFonts w:ascii="宋体" w:hAnsi="宋体" w:cs="宋体"/>
      <w:color w:val="000000"/>
      <w:kern w:val="0"/>
      <w:sz w:val="28"/>
      <w:szCs w:val="28"/>
    </w:rPr>
  </w:style>
  <w:style w:type="paragraph" w:customStyle="1" w:styleId="52">
    <w:name w:val="xl6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8"/>
      <w:szCs w:val="28"/>
    </w:rPr>
  </w:style>
  <w:style w:type="paragraph" w:customStyle="1" w:styleId="53">
    <w:name w:val="xl6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8"/>
      <w:szCs w:val="28"/>
    </w:rPr>
  </w:style>
  <w:style w:type="paragraph" w:customStyle="1" w:styleId="54">
    <w:name w:val="xl6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kern w:val="0"/>
      <w:sz w:val="28"/>
      <w:szCs w:val="28"/>
    </w:rPr>
  </w:style>
  <w:style w:type="paragraph" w:customStyle="1" w:styleId="55">
    <w:name w:val="xl66"/>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8"/>
      <w:szCs w:val="28"/>
    </w:rPr>
  </w:style>
  <w:style w:type="paragraph" w:customStyle="1" w:styleId="56">
    <w:name w:val="xl67"/>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8"/>
      <w:szCs w:val="28"/>
    </w:rPr>
  </w:style>
  <w:style w:type="paragraph" w:customStyle="1" w:styleId="57">
    <w:name w:val="xl6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kern w:val="0"/>
      <w:sz w:val="28"/>
      <w:szCs w:val="28"/>
    </w:rPr>
  </w:style>
  <w:style w:type="paragraph" w:customStyle="1" w:styleId="58">
    <w:name w:val="xl69"/>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8"/>
      <w:szCs w:val="28"/>
    </w:rPr>
  </w:style>
  <w:style w:type="paragraph" w:customStyle="1" w:styleId="59">
    <w:name w:val="xl70"/>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8"/>
      <w:szCs w:val="28"/>
    </w:rPr>
  </w:style>
  <w:style w:type="paragraph" w:customStyle="1" w:styleId="60">
    <w:name w:val="xl71"/>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textAlignment w:val="center"/>
    </w:pPr>
    <w:rPr>
      <w:rFonts w:ascii="宋体" w:hAnsi="宋体" w:cs="宋体"/>
      <w:b/>
      <w:bCs/>
      <w:kern w:val="0"/>
      <w:sz w:val="28"/>
      <w:szCs w:val="28"/>
    </w:rPr>
  </w:style>
  <w:style w:type="paragraph" w:customStyle="1" w:styleId="61">
    <w:name w:val="xl72"/>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宋体" w:hAnsi="宋体" w:cs="宋体"/>
      <w:b/>
      <w:bCs/>
      <w:kern w:val="0"/>
      <w:sz w:val="28"/>
      <w:szCs w:val="28"/>
    </w:rPr>
  </w:style>
  <w:style w:type="paragraph" w:customStyle="1" w:styleId="62">
    <w:name w:val="xl73"/>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rFonts w:ascii="华文楷体" w:hAnsi="华文楷体" w:eastAsia="华文楷体" w:cs="宋体"/>
      <w:b/>
      <w:bCs/>
      <w:kern w:val="0"/>
      <w:sz w:val="28"/>
      <w:szCs w:val="28"/>
    </w:rPr>
  </w:style>
  <w:style w:type="paragraph" w:customStyle="1" w:styleId="63">
    <w:name w:val="xl74"/>
    <w:basedOn w:val="1"/>
    <w:qFormat/>
    <w:uiPriority w:val="0"/>
    <w:pPr>
      <w:widowControl/>
      <w:spacing w:before="100" w:beforeAutospacing="1" w:after="100" w:afterAutospacing="1"/>
      <w:jc w:val="left"/>
    </w:pPr>
    <w:rPr>
      <w:rFonts w:ascii="宋体" w:hAnsi="宋体" w:cs="宋体"/>
      <w:kern w:val="0"/>
      <w:sz w:val="28"/>
      <w:szCs w:val="28"/>
    </w:rPr>
  </w:style>
  <w:style w:type="paragraph" w:customStyle="1" w:styleId="64">
    <w:name w:val="xl75"/>
    <w:basedOn w:val="1"/>
    <w:qFormat/>
    <w:uiPriority w:val="0"/>
    <w:pPr>
      <w:widowControl/>
      <w:spacing w:before="100" w:beforeAutospacing="1" w:after="100" w:afterAutospacing="1"/>
      <w:jc w:val="left"/>
      <w:textAlignment w:val="center"/>
    </w:pPr>
    <w:rPr>
      <w:rFonts w:ascii="宋体" w:hAnsi="宋体" w:cs="宋体"/>
      <w:kern w:val="0"/>
      <w:sz w:val="28"/>
      <w:szCs w:val="28"/>
    </w:rPr>
  </w:style>
  <w:style w:type="paragraph" w:customStyle="1" w:styleId="65">
    <w:name w:val="xl76"/>
    <w:basedOn w:val="1"/>
    <w:qFormat/>
    <w:uiPriority w:val="0"/>
    <w:pPr>
      <w:widowControl/>
      <w:spacing w:before="100" w:beforeAutospacing="1" w:after="100" w:afterAutospacing="1"/>
      <w:jc w:val="center"/>
    </w:pPr>
    <w:rPr>
      <w:rFonts w:ascii="宋体" w:hAnsi="宋体" w:cs="宋体"/>
      <w:kern w:val="0"/>
      <w:sz w:val="24"/>
    </w:rPr>
  </w:style>
  <w:style w:type="paragraph" w:customStyle="1" w:styleId="66">
    <w:name w:val="xl77"/>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b/>
      <w:bCs/>
      <w:kern w:val="0"/>
      <w:sz w:val="28"/>
      <w:szCs w:val="28"/>
    </w:rPr>
  </w:style>
  <w:style w:type="paragraph" w:customStyle="1" w:styleId="67">
    <w:name w:val="xl78"/>
    <w:basedOn w:val="1"/>
    <w:qFormat/>
    <w:uiPriority w:val="0"/>
    <w:pPr>
      <w:widowControl/>
      <w:spacing w:before="100" w:beforeAutospacing="1" w:after="100" w:afterAutospacing="1"/>
      <w:jc w:val="center"/>
    </w:pPr>
    <w:rPr>
      <w:rFonts w:ascii="宋体" w:hAnsi="宋体" w:cs="宋体"/>
      <w:kern w:val="0"/>
      <w:sz w:val="24"/>
    </w:rPr>
  </w:style>
  <w:style w:type="paragraph" w:customStyle="1" w:styleId="68">
    <w:name w:val="xl79"/>
    <w:basedOn w:val="1"/>
    <w:qFormat/>
    <w:uiPriority w:val="0"/>
    <w:pPr>
      <w:widowControl/>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left"/>
      <w:textAlignment w:val="center"/>
    </w:pPr>
    <w:rPr>
      <w:rFonts w:ascii="宋体" w:hAnsi="宋体" w:cs="宋体"/>
      <w:b/>
      <w:bCs/>
      <w:kern w:val="0"/>
      <w:sz w:val="28"/>
      <w:szCs w:val="28"/>
    </w:rPr>
  </w:style>
  <w:style w:type="paragraph" w:customStyle="1" w:styleId="69">
    <w:name w:val="Char Char Char Char Char Char"/>
    <w:basedOn w:val="1"/>
    <w:qFormat/>
    <w:uiPriority w:val="0"/>
  </w:style>
  <w:style w:type="character" w:customStyle="1" w:styleId="70">
    <w:name w:val="font41"/>
    <w:basedOn w:val="19"/>
    <w:qFormat/>
    <w:uiPriority w:val="0"/>
    <w:rPr>
      <w:rFonts w:hint="eastAsia" w:ascii="宋体" w:hAnsi="宋体" w:eastAsia="宋体" w:cs="宋体"/>
      <w:color w:val="000000"/>
      <w:sz w:val="28"/>
      <w:szCs w:val="28"/>
      <w:u w:val="none"/>
    </w:rPr>
  </w:style>
  <w:style w:type="character" w:customStyle="1" w:styleId="71">
    <w:name w:val="font51"/>
    <w:basedOn w:val="19"/>
    <w:qFormat/>
    <w:uiPriority w:val="0"/>
    <w:rPr>
      <w:rFonts w:ascii="仿宋" w:hAnsi="仿宋" w:eastAsia="仿宋" w:cs="仿宋"/>
      <w:color w:val="000000"/>
      <w:sz w:val="24"/>
      <w:szCs w:val="24"/>
      <w:u w:val="none"/>
    </w:rPr>
  </w:style>
  <w:style w:type="character" w:customStyle="1" w:styleId="72">
    <w:name w:val="fontstyle01"/>
    <w:basedOn w:val="19"/>
    <w:qFormat/>
    <w:uiPriority w:val="0"/>
    <w:rPr>
      <w:rFonts w:hint="eastAsia" w:ascii="仿宋_GB2312" w:eastAsia="仿宋_GB2312"/>
      <w:color w:val="111111"/>
      <w:sz w:val="32"/>
      <w:szCs w:val="32"/>
    </w:rPr>
  </w:style>
  <w:style w:type="character" w:customStyle="1" w:styleId="73">
    <w:name w:val="font21"/>
    <w:basedOn w:val="19"/>
    <w:qFormat/>
    <w:uiPriority w:val="0"/>
    <w:rPr>
      <w:rFonts w:hint="eastAsia" w:ascii="宋体" w:hAnsi="宋体" w:eastAsia="宋体" w:cs="宋体"/>
      <w:color w:val="000000"/>
      <w:sz w:val="28"/>
      <w:szCs w:val="28"/>
      <w:u w:val="none"/>
    </w:rPr>
  </w:style>
  <w:style w:type="character" w:customStyle="1" w:styleId="74">
    <w:name w:val="font31"/>
    <w:basedOn w:val="19"/>
    <w:qFormat/>
    <w:uiPriority w:val="0"/>
    <w:rPr>
      <w:rFonts w:hint="eastAsia" w:ascii="宋体" w:hAnsi="宋体" w:eastAsia="宋体" w:cs="宋体"/>
      <w:color w:val="000000"/>
      <w:sz w:val="28"/>
      <w:szCs w:val="28"/>
      <w:u w:val="none"/>
    </w:rPr>
  </w:style>
  <w:style w:type="paragraph" w:customStyle="1" w:styleId="75">
    <w:name w:val="标题1"/>
    <w:basedOn w:val="1"/>
    <w:link w:val="77"/>
    <w:qFormat/>
    <w:uiPriority w:val="0"/>
    <w:pPr>
      <w:widowControl/>
      <w:snapToGrid w:val="0"/>
      <w:spacing w:line="300" w:lineRule="auto"/>
      <w:jc w:val="center"/>
    </w:pPr>
    <w:rPr>
      <w:rFonts w:ascii="方正小标宋简体" w:hAnsi="方正小标宋简体" w:eastAsia="方正小标宋简体" w:cs="方正小标宋简体"/>
      <w:color w:val="000000"/>
      <w:kern w:val="0"/>
      <w:sz w:val="43"/>
      <w:szCs w:val="43"/>
    </w:rPr>
  </w:style>
  <w:style w:type="paragraph" w:customStyle="1" w:styleId="76">
    <w:name w:val="文件名"/>
    <w:basedOn w:val="1"/>
    <w:link w:val="78"/>
    <w:qFormat/>
    <w:uiPriority w:val="0"/>
    <w:pPr>
      <w:snapToGrid w:val="0"/>
      <w:spacing w:line="300" w:lineRule="auto"/>
      <w:jc w:val="center"/>
    </w:pPr>
    <w:rPr>
      <w:rFonts w:ascii="方正小标宋简体" w:hAnsi="华文中宋" w:eastAsia="方正小标宋简体"/>
      <w:snapToGrid w:val="0"/>
      <w:kern w:val="0"/>
      <w:sz w:val="44"/>
      <w:szCs w:val="44"/>
    </w:rPr>
  </w:style>
  <w:style w:type="character" w:customStyle="1" w:styleId="77">
    <w:name w:val="标题1 Char"/>
    <w:basedOn w:val="19"/>
    <w:link w:val="75"/>
    <w:qFormat/>
    <w:uiPriority w:val="0"/>
    <w:rPr>
      <w:rFonts w:ascii="方正小标宋简体" w:hAnsi="方正小标宋简体" w:eastAsia="方正小标宋简体" w:cs="方正小标宋简体"/>
      <w:color w:val="000000"/>
      <w:sz w:val="43"/>
      <w:szCs w:val="43"/>
    </w:rPr>
  </w:style>
  <w:style w:type="character" w:customStyle="1" w:styleId="78">
    <w:name w:val="文件名 Char"/>
    <w:basedOn w:val="19"/>
    <w:link w:val="76"/>
    <w:qFormat/>
    <w:uiPriority w:val="0"/>
    <w:rPr>
      <w:rFonts w:ascii="方正小标宋简体" w:hAnsi="华文中宋" w:eastAsia="方正小标宋简体"/>
      <w:snapToGrid w:val="0"/>
      <w:sz w:val="44"/>
      <w:szCs w:val="44"/>
    </w:rPr>
  </w:style>
  <w:style w:type="table" w:customStyle="1" w:styleId="79">
    <w:name w:val="网格型1"/>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80">
    <w:name w:val="font0"/>
    <w:basedOn w:val="1"/>
    <w:qFormat/>
    <w:uiPriority w:val="0"/>
    <w:pPr>
      <w:widowControl/>
      <w:spacing w:before="100" w:beforeAutospacing="1" w:after="100" w:afterAutospacing="1"/>
      <w:jc w:val="left"/>
    </w:pPr>
    <w:rPr>
      <w:rFonts w:ascii="Calibri" w:hAnsi="Calibri" w:cs="Calibri"/>
      <w:color w:val="000000"/>
      <w:kern w:val="0"/>
      <w:sz w:val="22"/>
      <w:szCs w:val="22"/>
    </w:rPr>
  </w:style>
  <w:style w:type="paragraph" w:customStyle="1" w:styleId="81">
    <w:name w:val="font1"/>
    <w:basedOn w:val="1"/>
    <w:qFormat/>
    <w:uiPriority w:val="0"/>
    <w:pPr>
      <w:widowControl/>
      <w:spacing w:before="100" w:beforeAutospacing="1" w:after="100" w:afterAutospacing="1"/>
      <w:jc w:val="left"/>
    </w:pPr>
    <w:rPr>
      <w:rFonts w:ascii="宋体" w:hAnsi="宋体" w:cs="宋体"/>
      <w:b/>
      <w:bCs/>
      <w:color w:val="000000"/>
      <w:kern w:val="0"/>
      <w:sz w:val="20"/>
      <w:szCs w:val="20"/>
    </w:rPr>
  </w:style>
  <w:style w:type="paragraph" w:customStyle="1" w:styleId="82">
    <w:name w:val="font2"/>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83">
    <w:name w:val="font3"/>
    <w:basedOn w:val="1"/>
    <w:qFormat/>
    <w:uiPriority w:val="0"/>
    <w:pPr>
      <w:widowControl/>
      <w:spacing w:before="100" w:beforeAutospacing="1" w:after="100" w:afterAutospacing="1"/>
      <w:jc w:val="left"/>
    </w:pPr>
    <w:rPr>
      <w:rFonts w:ascii="宋体" w:hAnsi="宋体" w:cs="宋体"/>
      <w:b/>
      <w:bCs/>
      <w:color w:val="000000"/>
      <w:kern w:val="0"/>
      <w:sz w:val="36"/>
      <w:szCs w:val="36"/>
    </w:rPr>
  </w:style>
  <w:style w:type="paragraph" w:customStyle="1" w:styleId="84">
    <w:name w:val="font4"/>
    <w:basedOn w:val="1"/>
    <w:qFormat/>
    <w:uiPriority w:val="0"/>
    <w:pPr>
      <w:widowControl/>
      <w:spacing w:before="100" w:beforeAutospacing="1" w:after="100" w:afterAutospacing="1"/>
      <w:jc w:val="left"/>
    </w:pPr>
    <w:rPr>
      <w:rFonts w:ascii="宋体" w:hAnsi="宋体" w:cs="宋体"/>
      <w:color w:val="000000"/>
      <w:kern w:val="0"/>
      <w:sz w:val="20"/>
      <w:szCs w:val="20"/>
    </w:rPr>
  </w:style>
  <w:style w:type="paragraph" w:customStyle="1" w:styleId="85">
    <w:name w:val="et2"/>
    <w:basedOn w:val="1"/>
    <w:qFormat/>
    <w:uiPriority w:val="0"/>
    <w:pPr>
      <w:widowControl/>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86">
    <w:name w:val="et3"/>
    <w:basedOn w:val="1"/>
    <w:qFormat/>
    <w:uiPriority w:val="0"/>
    <w:pPr>
      <w:widowControl/>
      <w:spacing w:before="100" w:beforeAutospacing="1" w:after="100" w:afterAutospacing="1"/>
      <w:jc w:val="left"/>
      <w:textAlignment w:val="center"/>
    </w:pPr>
    <w:rPr>
      <w:rFonts w:ascii="宋体" w:hAnsi="宋体" w:cs="宋体"/>
      <w:color w:val="000000"/>
      <w:kern w:val="0"/>
      <w:sz w:val="20"/>
      <w:szCs w:val="20"/>
    </w:rPr>
  </w:style>
  <w:style w:type="paragraph" w:customStyle="1" w:styleId="87">
    <w:name w:val="et4"/>
    <w:basedOn w:val="1"/>
    <w:qFormat/>
    <w:uiPriority w:val="0"/>
    <w:pPr>
      <w:widowControl/>
      <w:spacing w:before="100" w:beforeAutospacing="1" w:after="100" w:afterAutospacing="1"/>
      <w:jc w:val="center"/>
      <w:textAlignment w:val="center"/>
    </w:pPr>
    <w:rPr>
      <w:rFonts w:ascii="宋体" w:hAnsi="宋体" w:cs="宋体"/>
      <w:color w:val="000000"/>
      <w:kern w:val="0"/>
      <w:sz w:val="20"/>
      <w:szCs w:val="20"/>
    </w:rPr>
  </w:style>
  <w:style w:type="paragraph" w:customStyle="1" w:styleId="88">
    <w:name w:val="et5"/>
    <w:basedOn w:val="1"/>
    <w:qFormat/>
    <w:uiPriority w:val="0"/>
    <w:pPr>
      <w:widowControl/>
      <w:spacing w:before="100" w:beforeAutospacing="1" w:after="100" w:afterAutospacing="1"/>
      <w:jc w:val="left"/>
      <w:textAlignment w:val="center"/>
    </w:pPr>
    <w:rPr>
      <w:rFonts w:ascii="宋体" w:hAnsi="宋体" w:cs="宋体"/>
      <w:color w:val="000000"/>
      <w:kern w:val="0"/>
      <w:sz w:val="20"/>
      <w:szCs w:val="20"/>
    </w:rPr>
  </w:style>
  <w:style w:type="paragraph" w:customStyle="1" w:styleId="89">
    <w:name w:val="et6"/>
    <w:basedOn w:val="1"/>
    <w:qFormat/>
    <w:uiPriority w:val="0"/>
    <w:pPr>
      <w:widowControl/>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90">
    <w:name w:val="et8"/>
    <w:basedOn w:val="1"/>
    <w:qFormat/>
    <w:uiPriority w:val="0"/>
    <w:pPr>
      <w:widowControl/>
      <w:pBdr>
        <w:bottom w:val="single" w:color="000000" w:sz="4" w:space="0"/>
      </w:pBdr>
      <w:spacing w:before="100" w:beforeAutospacing="1" w:after="100" w:afterAutospacing="1"/>
      <w:jc w:val="center"/>
      <w:textAlignment w:val="center"/>
    </w:pPr>
    <w:rPr>
      <w:rFonts w:ascii="宋体" w:hAnsi="宋体" w:cs="宋体"/>
      <w:b/>
      <w:bCs/>
      <w:color w:val="000000"/>
      <w:kern w:val="0"/>
      <w:sz w:val="36"/>
      <w:szCs w:val="36"/>
    </w:rPr>
  </w:style>
  <w:style w:type="paragraph" w:customStyle="1" w:styleId="91">
    <w:name w:val="et9"/>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92">
    <w:name w:val="et1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宋体" w:hAnsi="宋体" w:cs="宋体"/>
      <w:b/>
      <w:bCs/>
      <w:color w:val="000000"/>
      <w:kern w:val="0"/>
      <w:sz w:val="20"/>
      <w:szCs w:val="20"/>
    </w:rPr>
  </w:style>
  <w:style w:type="paragraph" w:customStyle="1" w:styleId="93">
    <w:name w:val="et11"/>
    <w:basedOn w:val="1"/>
    <w:qFormat/>
    <w:uiPriority w:val="0"/>
    <w:pPr>
      <w:widowControl/>
      <w:pBdr>
        <w:top w:val="single" w:color="000000" w:sz="4" w:space="0"/>
        <w:left w:val="single" w:color="000000" w:sz="4" w:space="0"/>
        <w:bottom w:val="single" w:color="000000" w:sz="4" w:space="0"/>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94">
    <w:name w:val="et12"/>
    <w:basedOn w:val="1"/>
    <w:qFormat/>
    <w:uiPriority w:val="0"/>
    <w:pPr>
      <w:widowControl/>
      <w:pBdr>
        <w:top w:val="single" w:color="000000" w:sz="4" w:space="0"/>
        <w:bottom w:val="single" w:color="000000" w:sz="4" w:space="0"/>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95">
    <w:name w:val="et13"/>
    <w:basedOn w:val="1"/>
    <w:qFormat/>
    <w:uiPriority w:val="0"/>
    <w:pPr>
      <w:widowControl/>
      <w:pBdr>
        <w:top w:val="single" w:color="000000" w:sz="4" w:space="0"/>
        <w:bottom w:val="single" w:color="000000" w:sz="4" w:space="0"/>
        <w:right w:val="single" w:color="000000" w:sz="4" w:space="0"/>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96">
    <w:name w:val="et14"/>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97">
    <w:name w:val="et15"/>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宋体" w:hAnsi="宋体" w:cs="宋体"/>
      <w:color w:val="000000"/>
      <w:kern w:val="0"/>
      <w:sz w:val="20"/>
      <w:szCs w:val="20"/>
    </w:rPr>
  </w:style>
  <w:style w:type="paragraph" w:customStyle="1" w:styleId="98">
    <w:name w:val="et16"/>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99">
    <w:name w:val="et17"/>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宋体" w:hAnsi="宋体" w:cs="宋体"/>
      <w:color w:val="000000"/>
      <w:kern w:val="0"/>
      <w:sz w:val="20"/>
      <w:szCs w:val="20"/>
    </w:rPr>
  </w:style>
  <w:style w:type="paragraph" w:customStyle="1" w:styleId="100">
    <w:name w:val="et18"/>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textAlignment w:val="center"/>
    </w:pPr>
    <w:rPr>
      <w:rFonts w:ascii="宋体" w:hAnsi="宋体" w:cs="宋体"/>
      <w:color w:val="000000"/>
      <w:kern w:val="0"/>
      <w:sz w:val="20"/>
      <w:szCs w:val="20"/>
    </w:rPr>
  </w:style>
  <w:style w:type="paragraph" w:customStyle="1" w:styleId="101">
    <w:name w:val="et25"/>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102">
    <w:name w:val="et27"/>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宋体" w:hAnsi="宋体" w:cs="宋体"/>
      <w:color w:val="000000"/>
      <w:kern w:val="0"/>
      <w:sz w:val="20"/>
      <w:szCs w:val="20"/>
    </w:rPr>
  </w:style>
  <w:style w:type="paragraph" w:customStyle="1" w:styleId="103">
    <w:name w:val="et28"/>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center"/>
      <w:textAlignment w:val="center"/>
    </w:pPr>
    <w:rPr>
      <w:rFonts w:ascii="宋体" w:hAnsi="宋体" w:cs="宋体"/>
      <w:color w:val="000000"/>
      <w:kern w:val="0"/>
      <w:sz w:val="20"/>
      <w:szCs w:val="20"/>
    </w:rPr>
  </w:style>
  <w:style w:type="paragraph" w:customStyle="1" w:styleId="104">
    <w:name w:val="et30"/>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宋体" w:hAnsi="宋体" w:cs="宋体"/>
      <w:b/>
      <w:bCs/>
      <w:color w:val="000000"/>
      <w:kern w:val="0"/>
      <w:sz w:val="20"/>
      <w:szCs w:val="20"/>
    </w:rPr>
  </w:style>
  <w:style w:type="paragraph" w:customStyle="1" w:styleId="105">
    <w:name w:val="et31"/>
    <w:basedOn w:val="1"/>
    <w:qFormat/>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jc w:val="left"/>
      <w:textAlignment w:val="center"/>
    </w:pPr>
    <w:rPr>
      <w:rFonts w:ascii="宋体" w:hAnsi="宋体" w:cs="宋体"/>
      <w:color w:val="000000"/>
      <w:kern w:val="0"/>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29</Pages>
  <Words>3181</Words>
  <Characters>18136</Characters>
  <Lines>151</Lines>
  <Paragraphs>42</Paragraphs>
  <TotalTime>8</TotalTime>
  <ScaleCrop>false</ScaleCrop>
  <LinksUpToDate>false</LinksUpToDate>
  <CharactersWithSpaces>21275</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2024-03-22T09:20:00Z</dcterms:created>
  <dc:creator>admin</dc:creator>
  <cp:lastModifiedBy>greatwall</cp:lastModifiedBy>
  <cp:lastPrinted>2024-05-10T19:19:00Z</cp:lastPrinted>
  <dcterms:modified xsi:type="dcterms:W3CDTF">2024-05-09T15:14:01Z</dcterms:modified>
  <dc:title>浙江省哲学社会科学工作办公室工作规则（草案）</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ies>
</file>