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7A7B0" w14:textId="77777777" w:rsidR="00A77B3E" w:rsidRDefault="00710750">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財政部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7FC8E12D" w14:textId="77777777" w:rsidR="00A77B3E" w:rsidRDefault="00A77B3E">
      <w:pPr>
        <w:spacing w:line="320" w:lineRule="exact"/>
        <w:jc w:val="both"/>
        <w:rPr>
          <w:rFonts w:ascii="新細明體" w:eastAsia="新細明體" w:hAnsi="新細明體" w:cs="新細明體"/>
          <w:color w:val="000000"/>
          <w:lang w:eastAsia="zh-TW"/>
        </w:rPr>
      </w:pPr>
    </w:p>
    <w:p w14:paraId="58737E2C" w14:textId="77777777" w:rsidR="00A77B3E" w:rsidRDefault="00710750" w:rsidP="00B909DD">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職掌全國財政事務，業務涵蓋國庫、賦稅、關務、國有財產及促進民間參與公共建設等範疇，為應國家施政與經濟發展需求，同時達到健全政府財政，厚植財政能量、建構優質賦稅環境，維護租稅公平合理、安全便捷通關服務，智慧科技高效查緝、運用國有資產創造開發效益、推動民間參與重大公共基礎建設，建立促參案件履約爭議協處機制及導入新興資通訊技術，優化稅務服務效能各項施政目標，將在恪守財政紀律前提下，妥適規劃財政資源，靈活調整財政政策，</w:t>
      </w:r>
      <w:proofErr w:type="gramStart"/>
      <w:r>
        <w:rPr>
          <w:rFonts w:ascii="新細明體" w:eastAsia="新細明體" w:hAnsi="新細明體" w:cs="新細明體"/>
          <w:color w:val="000000"/>
          <w:lang w:eastAsia="zh-TW"/>
        </w:rPr>
        <w:t>健全永</w:t>
      </w:r>
      <w:proofErr w:type="gramEnd"/>
      <w:r>
        <w:rPr>
          <w:rFonts w:ascii="新細明體" w:eastAsia="新細明體" w:hAnsi="新細明體" w:cs="新細明體"/>
          <w:color w:val="000000"/>
          <w:lang w:eastAsia="zh-TW"/>
        </w:rPr>
        <w:t>續財政結構，為經濟復甦提供財政支援，提升國家整體競爭力。</w:t>
      </w:r>
    </w:p>
    <w:p w14:paraId="61BC3D84" w14:textId="77777777" w:rsidR="00A77B3E" w:rsidRDefault="00710750" w:rsidP="00B909DD">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0D90E180" w14:textId="77777777" w:rsidR="00A77B3E" w:rsidRDefault="00A77B3E" w:rsidP="00B909DD">
      <w:pPr>
        <w:overflowPunct w:val="0"/>
        <w:spacing w:line="320" w:lineRule="exact"/>
        <w:jc w:val="both"/>
        <w:rPr>
          <w:rFonts w:ascii="新細明體" w:eastAsia="新細明體" w:hAnsi="新細明體" w:cs="新細明體"/>
          <w:color w:val="000000"/>
          <w:lang w:eastAsia="zh-TW"/>
        </w:rPr>
      </w:pPr>
    </w:p>
    <w:p w14:paraId="0A27983C" w14:textId="77777777" w:rsidR="00A77B3E" w:rsidRDefault="00710750" w:rsidP="00B909DD">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2C07FA22"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一、健全各級政府財政， 厚植國家財政能量</w:t>
      </w:r>
    </w:p>
    <w:p w14:paraId="4913B701"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（一）多元籌措財源，支應政務所需。</w:t>
      </w:r>
    </w:p>
    <w:p w14:paraId="1460743D"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精進代庫</w:t>
      </w:r>
      <w:proofErr w:type="gramEnd"/>
      <w:r>
        <w:rPr>
          <w:rFonts w:ascii="新細明體" w:eastAsia="新細明體" w:hAnsi="新細明體" w:cs="新細明體"/>
          <w:color w:val="000000"/>
          <w:lang w:eastAsia="zh-TW"/>
        </w:rPr>
        <w:t>效能，強化財務管理。</w:t>
      </w:r>
    </w:p>
    <w:p w14:paraId="5357F797"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（三）增進國庫支付服務，強化內控機制，確保庫款支付安全。</w:t>
      </w:r>
    </w:p>
    <w:p w14:paraId="70C234DE"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（四）落實債務管理，恪守財政紀律。</w:t>
      </w:r>
    </w:p>
    <w:p w14:paraId="657320C2"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（五）健全地方財政，落實地方財政輔導。</w:t>
      </w:r>
    </w:p>
    <w:p w14:paraId="0CBC92EA"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（六）優化公益彩券管理，確保社會福利財源。</w:t>
      </w:r>
    </w:p>
    <w:p w14:paraId="395CC5B8"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（七）強化公股股權管理，提升經營綜效。</w:t>
      </w:r>
    </w:p>
    <w:p w14:paraId="3719EBDA"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（八）精進各機關規費、罰賠款及其他收入財務管理，健全規費徵收制度。</w:t>
      </w:r>
    </w:p>
    <w:p w14:paraId="7879D306"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（九）完備菸酒管理，維護產銷秩序。</w:t>
      </w:r>
    </w:p>
    <w:p w14:paraId="74A17C4C"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二、建構優質賦稅環境， 維護租稅公平合理</w:t>
      </w:r>
    </w:p>
    <w:p w14:paraId="722A57D5"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（一）積極建構健全稅制，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提相關稅法修正案，落實租稅公平合理。</w:t>
      </w:r>
    </w:p>
    <w:p w14:paraId="5D7879B1"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（二）配合社經環境發展，適時檢討賦稅法規，營造友善租稅環境。</w:t>
      </w:r>
    </w:p>
    <w:p w14:paraId="71E16A1E"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（三）精進查核技術，遏止逃漏稅捐，維護租稅正義。</w:t>
      </w:r>
    </w:p>
    <w:p w14:paraId="6FB0F389"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續強化稅捐核課處分品質，積極</w:t>
      </w:r>
      <w:proofErr w:type="gramStart"/>
      <w:r>
        <w:rPr>
          <w:rFonts w:ascii="新細明體" w:eastAsia="新細明體" w:hAnsi="新細明體" w:cs="新細明體"/>
          <w:color w:val="000000"/>
          <w:lang w:eastAsia="zh-TW"/>
        </w:rPr>
        <w:t>暢通徵</w:t>
      </w:r>
      <w:proofErr w:type="gramEnd"/>
      <w:r>
        <w:rPr>
          <w:rFonts w:ascii="新細明體" w:eastAsia="新細明體" w:hAnsi="新細明體" w:cs="新細明體"/>
          <w:color w:val="000000"/>
          <w:lang w:eastAsia="zh-TW"/>
        </w:rPr>
        <w:t>納溝通管道，化解徵納爭議，有效疏減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p w14:paraId="727BCBAC"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續提供便捷稅務措施，營造友善洽公環境，提升優質納稅服務。</w:t>
      </w:r>
    </w:p>
    <w:p w14:paraId="12417DE6"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（六）完善租稅協定網絡，建構優質經貿投資環境。</w:t>
      </w:r>
    </w:p>
    <w:p w14:paraId="75879022"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（七）掌握國際發展趨勢，促進國際租稅與財政合作及交流，推動實質財政外交。</w:t>
      </w:r>
    </w:p>
    <w:p w14:paraId="6CB14F4D"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三、安全便捷通關服務， 智慧科技高效查緝</w:t>
      </w:r>
    </w:p>
    <w:p w14:paraId="693C2CFD"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（一）運用科技查緝設備，增加邊境查緝量能。</w:t>
      </w:r>
    </w:p>
    <w:p w14:paraId="4496D507"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優化物聯監控</w:t>
      </w:r>
      <w:proofErr w:type="gramEnd"/>
      <w:r>
        <w:rPr>
          <w:rFonts w:ascii="新細明體" w:eastAsia="新細明體" w:hAnsi="新細明體" w:cs="新細明體"/>
          <w:color w:val="000000"/>
          <w:lang w:eastAsia="zh-TW"/>
        </w:rPr>
        <w:t>網絡，強化貨物移動安全。</w:t>
      </w:r>
    </w:p>
    <w:p w14:paraId="697755B1"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（三）精進人工智慧選案，提升事後稽核量能。</w:t>
      </w:r>
    </w:p>
    <w:p w14:paraId="221F5393"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（四）推動政府雲端應用，厚植智慧創新人才。</w:t>
      </w:r>
    </w:p>
    <w:p w14:paraId="26D5F3F0"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（五）推動洽簽關務協定，強化國際關務合作，促進通關便捷與安全。</w:t>
      </w:r>
    </w:p>
    <w:p w14:paraId="78FC073D"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四、活化運用國有資產， 創造多元開發效益</w:t>
      </w:r>
    </w:p>
    <w:p w14:paraId="77AEB32E"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（一）積極辦理國有不動產接管，提升非公用財產活化效益。</w:t>
      </w:r>
    </w:p>
    <w:p w14:paraId="041CEE04"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（二）強化機關國有公用財產管理知能，輔導多元活化運用國產，提升效益及</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注國庫。</w:t>
      </w:r>
    </w:p>
    <w:p w14:paraId="64E3BE22"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（三）配合各級政府機關推動公務及公共建設，提供需用國有不動產，促進國家發展。</w:t>
      </w:r>
    </w:p>
    <w:p w14:paraId="1001FE6A"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（四）靈活運用出租、招標設定地上權、改良利用等方式釋出國有土地，多元活化運用國家資產，創造資產價值。</w:t>
      </w:r>
    </w:p>
    <w:p w14:paraId="3789D6BD"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（五）積極處理國有非公用不動產被占用問題，多元運用收回土地，提升管理效益。</w:t>
      </w:r>
    </w:p>
    <w:p w14:paraId="3DFFED46"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（六）協同分工辦理海岸環境清理維護工作，保持海岸土地乾淨整潔。</w:t>
      </w:r>
    </w:p>
    <w:p w14:paraId="1E3E5D64"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續辦理國有非公用文化資產修復及管理維護工作，妥善保存及活用文化資產。</w:t>
      </w:r>
    </w:p>
    <w:p w14:paraId="59917954"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（八）辦理國有非公用財產環境清理維護，加強登革熱高風險場</w:t>
      </w:r>
      <w:proofErr w:type="gramStart"/>
      <w:r>
        <w:rPr>
          <w:rFonts w:ascii="新細明體" w:eastAsia="新細明體" w:hAnsi="新細明體" w:cs="新細明體"/>
          <w:color w:val="000000"/>
          <w:lang w:eastAsia="zh-TW"/>
        </w:rPr>
        <w:t>域巡管</w:t>
      </w:r>
      <w:proofErr w:type="gramEnd"/>
      <w:r>
        <w:rPr>
          <w:rFonts w:ascii="新細明體" w:eastAsia="新細明體" w:hAnsi="新細明體" w:cs="新細明體"/>
          <w:color w:val="000000"/>
          <w:lang w:eastAsia="zh-TW"/>
        </w:rPr>
        <w:t>工作，創造優質鄰里生活環境。</w:t>
      </w:r>
    </w:p>
    <w:p w14:paraId="3CE8679A"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（九）以地上權權利金為對價與民間合作開發辦公廳舍，妥善運用國家資源並節省財政支出。</w:t>
      </w:r>
    </w:p>
    <w:p w14:paraId="3ADB61DA"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五、推動民間參與重大公共基礎建設，建立促參案件履約爭議協處機制</w:t>
      </w:r>
    </w:p>
    <w:p w14:paraId="0D45B90C"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（一）完備促參法令制度，強化促參運作體制。</w:t>
      </w:r>
    </w:p>
    <w:p w14:paraId="46D8B476"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（二）精進輔導、行銷及激勵等措施，以提振推動能量。</w:t>
      </w:r>
    </w:p>
    <w:p w14:paraId="028FE811"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（三）優化督導及考核，建立履約爭議協處機制，</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快速解決爭議。</w:t>
      </w:r>
    </w:p>
    <w:p w14:paraId="65C67571" w14:textId="77777777" w:rsidR="00A77B3E" w:rsidRDefault="00710750" w:rsidP="00B909D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六、導入新興資通訊技術，優化稅務服務效能</w:t>
      </w:r>
    </w:p>
    <w:p w14:paraId="099462C6"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（一）導入共用行政資訊系統，降低營運成本，增進稅務服務效能，提升民眾滿意度。</w:t>
      </w:r>
    </w:p>
    <w:p w14:paraId="1C9DED92"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（二）強化稅務數據分析技術，優化政策</w:t>
      </w:r>
      <w:proofErr w:type="gramStart"/>
      <w:r>
        <w:rPr>
          <w:rFonts w:ascii="新細明體" w:eastAsia="新細明體" w:hAnsi="新細明體" w:cs="新細明體"/>
          <w:color w:val="000000"/>
          <w:lang w:eastAsia="zh-TW"/>
        </w:rPr>
        <w:t>擬定參據輔助</w:t>
      </w:r>
      <w:proofErr w:type="gramEnd"/>
      <w:r>
        <w:rPr>
          <w:rFonts w:ascii="新細明體" w:eastAsia="新細明體" w:hAnsi="新細明體" w:cs="新細明體"/>
          <w:color w:val="000000"/>
          <w:lang w:eastAsia="zh-TW"/>
        </w:rPr>
        <w:t>功能，提升行政效能。</w:t>
      </w:r>
    </w:p>
    <w:p w14:paraId="71AFB0E2"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（三）延伸</w:t>
      </w:r>
      <w:proofErr w:type="gramStart"/>
      <w:r>
        <w:rPr>
          <w:rFonts w:ascii="新細明體" w:eastAsia="新細明體" w:hAnsi="新細明體" w:cs="新細明體"/>
          <w:color w:val="000000"/>
          <w:lang w:eastAsia="zh-TW"/>
        </w:rPr>
        <w:t>地方稅線上服務</w:t>
      </w:r>
      <w:proofErr w:type="gramEnd"/>
      <w:r>
        <w:rPr>
          <w:rFonts w:ascii="新細明體" w:eastAsia="新細明體" w:hAnsi="新細明體" w:cs="新細明體"/>
          <w:color w:val="000000"/>
          <w:lang w:eastAsia="zh-TW"/>
        </w:rPr>
        <w:t>觸角，</w:t>
      </w:r>
      <w:proofErr w:type="gramStart"/>
      <w:r>
        <w:rPr>
          <w:rFonts w:ascii="新細明體" w:eastAsia="新細明體" w:hAnsi="新細明體" w:cs="新細明體"/>
          <w:color w:val="000000"/>
          <w:lang w:eastAsia="zh-TW"/>
        </w:rPr>
        <w:t>強化並精進</w:t>
      </w:r>
      <w:proofErr w:type="gramEnd"/>
      <w:r>
        <w:rPr>
          <w:rFonts w:ascii="新細明體" w:eastAsia="新細明體" w:hAnsi="新細明體" w:cs="新細明體"/>
          <w:color w:val="000000"/>
          <w:lang w:eastAsia="zh-TW"/>
        </w:rPr>
        <w:t>各項服務，提升查繳稅便利度。</w:t>
      </w:r>
    </w:p>
    <w:p w14:paraId="7C21CCCD"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（四）推動雲端發票，精</w:t>
      </w:r>
      <w:proofErr w:type="gramStart"/>
      <w:r>
        <w:rPr>
          <w:rFonts w:ascii="新細明體" w:eastAsia="新細明體" w:hAnsi="新細明體" w:cs="新細明體"/>
          <w:color w:val="000000"/>
          <w:lang w:eastAsia="zh-TW"/>
        </w:rPr>
        <w:t>進載具歸</w:t>
      </w:r>
      <w:proofErr w:type="gramEnd"/>
      <w:r>
        <w:rPr>
          <w:rFonts w:ascii="新細明體" w:eastAsia="新細明體" w:hAnsi="新細明體" w:cs="新細明體"/>
          <w:color w:val="000000"/>
          <w:lang w:eastAsia="zh-TW"/>
        </w:rPr>
        <w:t>戶功能，建構貼心服務，提升政府服務效能。</w:t>
      </w:r>
    </w:p>
    <w:p w14:paraId="37BADAAC"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（五）擴充財政部共用資料中心資源，完備資源共享</w:t>
      </w:r>
      <w:proofErr w:type="gramStart"/>
      <w:r>
        <w:rPr>
          <w:rFonts w:ascii="新細明體" w:eastAsia="新細明體" w:hAnsi="新細明體" w:cs="新細明體"/>
          <w:color w:val="000000"/>
          <w:lang w:eastAsia="zh-TW"/>
        </w:rPr>
        <w:t>及資安防護</w:t>
      </w:r>
      <w:proofErr w:type="gramEnd"/>
      <w:r>
        <w:rPr>
          <w:rFonts w:ascii="新細明體" w:eastAsia="新細明體" w:hAnsi="新細明體" w:cs="新細明體"/>
          <w:color w:val="000000"/>
          <w:lang w:eastAsia="zh-TW"/>
        </w:rPr>
        <w:t>之基礎服務平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1663B840" w14:textId="77777777" w:rsidR="00A77B3E" w:rsidRDefault="00710750" w:rsidP="00B909D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（六）穩定稅務核心系統，</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安全環境，提升便民服務量能。</w:t>
      </w:r>
    </w:p>
    <w:p w14:paraId="0AA038D5" w14:textId="77777777" w:rsidR="00A77B3E" w:rsidRDefault="00A77B3E" w:rsidP="00B909DD">
      <w:pPr>
        <w:overflowPunct w:val="0"/>
        <w:spacing w:line="320" w:lineRule="exact"/>
        <w:jc w:val="both"/>
        <w:rPr>
          <w:rFonts w:ascii="新細明體" w:eastAsia="新細明體" w:hAnsi="新細明體" w:cs="新細明體"/>
          <w:color w:val="000000"/>
          <w:lang w:eastAsia="zh-TW"/>
        </w:rPr>
      </w:pPr>
    </w:p>
    <w:p w14:paraId="3FB10517" w14:textId="77777777" w:rsidR="00A77B3E" w:rsidRDefault="00710750">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BE05DA" w14:paraId="6938F9FA" w14:textId="77777777">
        <w:trPr>
          <w:trHeight w:val="159"/>
          <w:tblHeader/>
        </w:trPr>
        <w:tc>
          <w:tcPr>
            <w:tcW w:w="750" w:type="pct"/>
            <w:shd w:val="clear" w:color="FFFFFF" w:fill="FFFFFF"/>
            <w:tcMar>
              <w:top w:w="0" w:type="dxa"/>
              <w:left w:w="0" w:type="dxa"/>
              <w:bottom w:w="0" w:type="dxa"/>
              <w:right w:w="0" w:type="dxa"/>
            </w:tcMar>
            <w:vAlign w:val="center"/>
          </w:tcPr>
          <w:p w14:paraId="051D28AA"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4AADA50C"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02A1AC6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0F5FCC9A"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BE05DA" w14:paraId="5563344C" w14:textId="77777777">
        <w:trPr>
          <w:trHeight w:val="159"/>
        </w:trPr>
        <w:tc>
          <w:tcPr>
            <w:tcW w:w="750" w:type="pct"/>
            <w:vMerge w:val="restart"/>
            <w:shd w:val="clear" w:color="FFFFFF" w:fill="FFFFFF"/>
            <w:tcMar>
              <w:top w:w="0" w:type="dxa"/>
              <w:left w:w="0" w:type="dxa"/>
              <w:bottom w:w="0" w:type="dxa"/>
              <w:right w:w="0" w:type="dxa"/>
            </w:tcMar>
          </w:tcPr>
          <w:p w14:paraId="49DAC7F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6936D20E"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多元籌措歲入財源支應政務推動</w:t>
            </w:r>
          </w:p>
        </w:tc>
        <w:tc>
          <w:tcPr>
            <w:tcW w:w="275" w:type="pct"/>
            <w:shd w:val="clear" w:color="FFFFFF" w:fill="FFFFFF"/>
            <w:tcMar>
              <w:top w:w="0" w:type="dxa"/>
              <w:left w:w="0" w:type="dxa"/>
              <w:bottom w:w="0" w:type="dxa"/>
              <w:right w:w="0" w:type="dxa"/>
            </w:tcMar>
          </w:tcPr>
          <w:p w14:paraId="7725562C"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E67D62F"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一、配合中央政府預算籌編日程，多元籌措預算財源，妥適規劃融資額度，支應國家建設及政務推動。</w:t>
            </w:r>
          </w:p>
          <w:p w14:paraId="2090C13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綜整中央政府</w:t>
            </w:r>
            <w:proofErr w:type="gramEnd"/>
            <w:r>
              <w:rPr>
                <w:rFonts w:ascii="新細明體" w:eastAsia="新細明體" w:hAnsi="新細明體" w:cs="新細明體"/>
                <w:color w:val="000000"/>
                <w:lang w:eastAsia="zh-TW"/>
              </w:rPr>
              <w:t>總預算歲入實徵資料，以利掌握年度歲入預算執行狀況。</w:t>
            </w:r>
          </w:p>
          <w:p w14:paraId="6C50088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三、因應中央政府財政現況與政策方向，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提增進財務效能或減少不經濟支出等建議，落實財政紀律。</w:t>
            </w:r>
          </w:p>
        </w:tc>
      </w:tr>
      <w:tr w:rsidR="00BE05DA" w14:paraId="3A4782A6" w14:textId="77777777">
        <w:trPr>
          <w:trHeight w:val="159"/>
        </w:trPr>
        <w:tc>
          <w:tcPr>
            <w:tcW w:w="750" w:type="pct"/>
            <w:vMerge/>
            <w:shd w:val="clear" w:color="FFFFFF" w:fill="FFFFFF"/>
            <w:tcMar>
              <w:top w:w="0" w:type="dxa"/>
              <w:left w:w="0" w:type="dxa"/>
              <w:bottom w:w="0" w:type="dxa"/>
              <w:right w:w="0" w:type="dxa"/>
            </w:tcMar>
          </w:tcPr>
          <w:p w14:paraId="59DA3621"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235B66C2"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強化庫政管理</w:t>
            </w:r>
            <w:proofErr w:type="spellEnd"/>
          </w:p>
        </w:tc>
        <w:tc>
          <w:tcPr>
            <w:tcW w:w="275" w:type="pct"/>
            <w:shd w:val="clear" w:color="FFFFFF" w:fill="FFFFFF"/>
            <w:tcMar>
              <w:top w:w="0" w:type="dxa"/>
              <w:left w:w="0" w:type="dxa"/>
              <w:bottom w:w="0" w:type="dxa"/>
              <w:right w:w="0" w:type="dxa"/>
            </w:tcMar>
          </w:tcPr>
          <w:p w14:paraId="0481E0F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5A132D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一、實地訪查國庫經辦行代庫業務，輔導國庫重點業務，</w:t>
            </w:r>
            <w:proofErr w:type="gramStart"/>
            <w:r>
              <w:rPr>
                <w:rFonts w:ascii="新細明體" w:eastAsia="新細明體" w:hAnsi="新細明體" w:cs="新細明體"/>
                <w:color w:val="000000"/>
                <w:lang w:eastAsia="zh-TW"/>
              </w:rPr>
              <w:t>精進代庫</w:t>
            </w:r>
            <w:proofErr w:type="gramEnd"/>
            <w:r>
              <w:rPr>
                <w:rFonts w:ascii="新細明體" w:eastAsia="新細明體" w:hAnsi="新細明體" w:cs="新細明體"/>
                <w:color w:val="000000"/>
                <w:lang w:eastAsia="zh-TW"/>
              </w:rPr>
              <w:t>服務效能。</w:t>
            </w:r>
          </w:p>
          <w:p w14:paraId="1427146E"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二、實地訪查中央政府機關出納事務，並舉辦出納訓練班，輔導落實出納管理機制，</w:t>
            </w:r>
            <w:proofErr w:type="gramStart"/>
            <w:r>
              <w:rPr>
                <w:rFonts w:ascii="新細明體" w:eastAsia="新細明體" w:hAnsi="新細明體" w:cs="新細明體"/>
                <w:color w:val="000000"/>
                <w:lang w:eastAsia="zh-TW"/>
              </w:rPr>
              <w:t>防杜違失</w:t>
            </w:r>
            <w:proofErr w:type="gramEnd"/>
            <w:r>
              <w:rPr>
                <w:rFonts w:ascii="新細明體" w:eastAsia="新細明體" w:hAnsi="新細明體" w:cs="新細明體"/>
                <w:color w:val="000000"/>
                <w:lang w:eastAsia="zh-TW"/>
              </w:rPr>
              <w:t>。</w:t>
            </w:r>
          </w:p>
        </w:tc>
      </w:tr>
      <w:tr w:rsidR="00BE05DA" w14:paraId="3D3CAD8A" w14:textId="77777777">
        <w:trPr>
          <w:trHeight w:val="159"/>
        </w:trPr>
        <w:tc>
          <w:tcPr>
            <w:tcW w:w="750" w:type="pct"/>
            <w:vMerge/>
            <w:shd w:val="clear" w:color="FFFFFF" w:fill="FFFFFF"/>
            <w:tcMar>
              <w:top w:w="0" w:type="dxa"/>
              <w:left w:w="0" w:type="dxa"/>
              <w:bottom w:w="0" w:type="dxa"/>
              <w:right w:w="0" w:type="dxa"/>
            </w:tcMar>
          </w:tcPr>
          <w:p w14:paraId="646BE71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1A8DD79E"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精進集中支付作業</w:t>
            </w:r>
            <w:proofErr w:type="spellEnd"/>
          </w:p>
        </w:tc>
        <w:tc>
          <w:tcPr>
            <w:tcW w:w="275" w:type="pct"/>
            <w:shd w:val="clear" w:color="FFFFFF" w:fill="FFFFFF"/>
            <w:tcMar>
              <w:top w:w="0" w:type="dxa"/>
              <w:left w:w="0" w:type="dxa"/>
              <w:bottom w:w="0" w:type="dxa"/>
              <w:right w:w="0" w:type="dxa"/>
            </w:tcMar>
          </w:tcPr>
          <w:p w14:paraId="4E9595F3"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BA6650A" w14:textId="1D3D1FD2"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一、訪查各機關國庫電子支付及集中支付作業，宣導新</w:t>
            </w:r>
            <w:proofErr w:type="gramStart"/>
            <w:r w:rsidR="00EC417A">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化措施，協助解決實務作業問題，提升支付效能。</w:t>
            </w:r>
          </w:p>
          <w:p w14:paraId="197F21B4"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二、加強推動國庫跨行通</w:t>
            </w:r>
            <w:proofErr w:type="gramStart"/>
            <w:r>
              <w:rPr>
                <w:rFonts w:ascii="新細明體" w:eastAsia="新細明體" w:hAnsi="新細明體" w:cs="新細明體"/>
                <w:color w:val="000000"/>
                <w:lang w:eastAsia="zh-TW"/>
              </w:rPr>
              <w:t>匯</w:t>
            </w:r>
            <w:proofErr w:type="gramEnd"/>
            <w:r>
              <w:rPr>
                <w:rFonts w:ascii="新細明體" w:eastAsia="新細明體" w:hAnsi="新細明體" w:cs="新細明體"/>
                <w:color w:val="000000"/>
                <w:lang w:eastAsia="zh-TW"/>
              </w:rPr>
              <w:t>作業及電子化對帳服務，提升庫款支付時效與服務品質。</w:t>
            </w:r>
          </w:p>
        </w:tc>
      </w:tr>
      <w:tr w:rsidR="00BE05DA" w14:paraId="17B5395F" w14:textId="77777777">
        <w:trPr>
          <w:trHeight w:val="159"/>
        </w:trPr>
        <w:tc>
          <w:tcPr>
            <w:tcW w:w="750" w:type="pct"/>
            <w:vMerge/>
            <w:shd w:val="clear" w:color="FFFFFF" w:fill="FFFFFF"/>
            <w:tcMar>
              <w:top w:w="0" w:type="dxa"/>
              <w:left w:w="0" w:type="dxa"/>
              <w:bottom w:w="0" w:type="dxa"/>
              <w:right w:w="0" w:type="dxa"/>
            </w:tcMar>
          </w:tcPr>
          <w:p w14:paraId="5BDA54F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61FB16D2"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定期適量發行債券</w:t>
            </w:r>
            <w:proofErr w:type="spellEnd"/>
          </w:p>
        </w:tc>
        <w:tc>
          <w:tcPr>
            <w:tcW w:w="275" w:type="pct"/>
            <w:shd w:val="clear" w:color="FFFFFF" w:fill="FFFFFF"/>
            <w:tcMar>
              <w:top w:w="0" w:type="dxa"/>
              <w:left w:w="0" w:type="dxa"/>
              <w:bottom w:w="0" w:type="dxa"/>
              <w:right w:w="0" w:type="dxa"/>
            </w:tcMar>
          </w:tcPr>
          <w:p w14:paraId="78A756D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6BC880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一、依照年度公債及國庫券發行計畫，定期適量發行公債及國庫券</w:t>
            </w:r>
          </w:p>
          <w:p w14:paraId="49BB0DF2" w14:textId="77777777" w:rsidR="00A77B3E" w:rsidRDefault="00710750">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（一）發行公債籌集國庫及中央政府債務基金所需資金。</w:t>
            </w:r>
          </w:p>
          <w:p w14:paraId="2812C67F" w14:textId="77777777" w:rsidR="00A77B3E" w:rsidRDefault="00710750">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（二）發行國庫券因應國庫短期資金需求。</w:t>
            </w:r>
          </w:p>
          <w:p w14:paraId="7355B7D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二、平滑化未來年度到期債務數額，調整債務結構。</w:t>
            </w:r>
          </w:p>
          <w:p w14:paraId="3A7AE523" w14:textId="4E40AB59"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三、控管中央政府1年以上公共債務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餘額占前3年度名目GDP平均數比率不超過40.</w:t>
            </w:r>
            <w:r w:rsidRPr="002D26B8">
              <w:rPr>
                <w:rFonts w:ascii="新細明體" w:eastAsia="新細明體" w:hAnsi="新細明體" w:cs="新細明體"/>
                <w:color w:val="000000"/>
                <w:lang w:eastAsia="zh-TW"/>
              </w:rPr>
              <w:t>6</w:t>
            </w:r>
            <w:r w:rsidR="00EC417A" w:rsidRPr="002D26B8">
              <w:rPr>
                <w:rFonts w:ascii="新細明體" w:eastAsia="新細明體" w:hAnsi="新細明體" w:cs="新細明體"/>
                <w:color w:val="000000"/>
                <w:lang w:eastAsia="zh-TW"/>
              </w:rPr>
              <w:t>%</w:t>
            </w:r>
            <w:r w:rsidRPr="002D26B8">
              <w:rPr>
                <w:rFonts w:ascii="新細明體" w:eastAsia="新細明體" w:hAnsi="新細明體" w:cs="新細明體"/>
                <w:color w:val="000000"/>
                <w:lang w:eastAsia="zh-TW"/>
              </w:rPr>
              <w:t>。</w:t>
            </w:r>
          </w:p>
        </w:tc>
      </w:tr>
      <w:tr w:rsidR="00BE05DA" w14:paraId="4D91559F" w14:textId="77777777">
        <w:trPr>
          <w:trHeight w:val="159"/>
        </w:trPr>
        <w:tc>
          <w:tcPr>
            <w:tcW w:w="750" w:type="pct"/>
            <w:vMerge/>
            <w:shd w:val="clear" w:color="FFFFFF" w:fill="FFFFFF"/>
            <w:tcMar>
              <w:top w:w="0" w:type="dxa"/>
              <w:left w:w="0" w:type="dxa"/>
              <w:bottom w:w="0" w:type="dxa"/>
              <w:right w:w="0" w:type="dxa"/>
            </w:tcMar>
          </w:tcPr>
          <w:p w14:paraId="1E66BA32"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6601CAF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落實債務監督管理</w:t>
            </w:r>
            <w:proofErr w:type="spellEnd"/>
          </w:p>
        </w:tc>
        <w:tc>
          <w:tcPr>
            <w:tcW w:w="275" w:type="pct"/>
            <w:shd w:val="clear" w:color="FFFFFF" w:fill="FFFFFF"/>
            <w:tcMar>
              <w:top w:w="0" w:type="dxa"/>
              <w:left w:w="0" w:type="dxa"/>
              <w:bottom w:w="0" w:type="dxa"/>
              <w:right w:w="0" w:type="dxa"/>
            </w:tcMar>
          </w:tcPr>
          <w:p w14:paraId="6DD4EF93"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CF7C5ED"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一、依據債務分級管理機制，按月監管直轄市及縣（市）政府年度舉債額度及公共債務</w:t>
            </w:r>
            <w:proofErr w:type="gramStart"/>
            <w:r>
              <w:rPr>
                <w:rFonts w:ascii="新細明體" w:eastAsia="新細明體" w:hAnsi="新細明體" w:cs="新細明體"/>
                <w:color w:val="000000"/>
                <w:lang w:eastAsia="zh-TW"/>
              </w:rPr>
              <w:t>未償</w:t>
            </w:r>
            <w:proofErr w:type="gramEnd"/>
            <w:r>
              <w:rPr>
                <w:rFonts w:ascii="新細明體" w:eastAsia="新細明體" w:hAnsi="新細明體" w:cs="新細明體"/>
                <w:color w:val="000000"/>
                <w:lang w:eastAsia="zh-TW"/>
              </w:rPr>
              <w:t>餘額情形，強化地方政府公共債務監督與管理。</w:t>
            </w:r>
          </w:p>
          <w:p w14:paraId="6870E1BF"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二、依據公共債務法及財政紀律法規定定期公布各級政府每月及年度公共債務資訊，強化債務資訊揭露，提升財政透明度。</w:t>
            </w:r>
          </w:p>
        </w:tc>
      </w:tr>
      <w:tr w:rsidR="00BE05DA" w14:paraId="60F5EA31" w14:textId="77777777">
        <w:trPr>
          <w:trHeight w:val="159"/>
        </w:trPr>
        <w:tc>
          <w:tcPr>
            <w:tcW w:w="750" w:type="pct"/>
            <w:vMerge/>
            <w:shd w:val="clear" w:color="FFFFFF" w:fill="FFFFFF"/>
            <w:tcMar>
              <w:top w:w="0" w:type="dxa"/>
              <w:left w:w="0" w:type="dxa"/>
              <w:bottom w:w="0" w:type="dxa"/>
              <w:right w:w="0" w:type="dxa"/>
            </w:tcMar>
          </w:tcPr>
          <w:p w14:paraId="5B8E8A8E"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0666429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落實地方財政輔導</w:t>
            </w:r>
            <w:proofErr w:type="spellEnd"/>
          </w:p>
        </w:tc>
        <w:tc>
          <w:tcPr>
            <w:tcW w:w="275" w:type="pct"/>
            <w:shd w:val="clear" w:color="FFFFFF" w:fill="FFFFFF"/>
            <w:tcMar>
              <w:top w:w="0" w:type="dxa"/>
              <w:left w:w="0" w:type="dxa"/>
              <w:bottom w:w="0" w:type="dxa"/>
              <w:right w:w="0" w:type="dxa"/>
            </w:tcMar>
          </w:tcPr>
          <w:p w14:paraId="1C15DFB2"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E3369A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一、修正中央統籌分配稅款分配辦法。</w:t>
            </w:r>
          </w:p>
          <w:p w14:paraId="6569427F"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二、推廣宣導開源節流措施。</w:t>
            </w:r>
          </w:p>
          <w:p w14:paraId="1228F4A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三、辦理地方財政業務考核。</w:t>
            </w:r>
          </w:p>
          <w:p w14:paraId="483D8CF2"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四、開辦地方財政研習班。</w:t>
            </w:r>
          </w:p>
          <w:p w14:paraId="7C54EC3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五、協助地方政府年關資金調度。</w:t>
            </w:r>
          </w:p>
        </w:tc>
      </w:tr>
      <w:tr w:rsidR="00BE05DA" w14:paraId="46B8D56C" w14:textId="77777777">
        <w:trPr>
          <w:trHeight w:val="159"/>
        </w:trPr>
        <w:tc>
          <w:tcPr>
            <w:tcW w:w="750" w:type="pct"/>
            <w:vMerge/>
            <w:shd w:val="clear" w:color="FFFFFF" w:fill="FFFFFF"/>
            <w:tcMar>
              <w:top w:w="0" w:type="dxa"/>
              <w:left w:w="0" w:type="dxa"/>
              <w:bottom w:w="0" w:type="dxa"/>
              <w:right w:w="0" w:type="dxa"/>
            </w:tcMar>
          </w:tcPr>
          <w:p w14:paraId="55264446"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38160F8A"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強化彩券管理</w:t>
            </w:r>
            <w:proofErr w:type="spellEnd"/>
          </w:p>
        </w:tc>
        <w:tc>
          <w:tcPr>
            <w:tcW w:w="275" w:type="pct"/>
            <w:shd w:val="clear" w:color="FFFFFF" w:fill="FFFFFF"/>
            <w:tcMar>
              <w:top w:w="0" w:type="dxa"/>
              <w:left w:w="0" w:type="dxa"/>
              <w:bottom w:w="0" w:type="dxa"/>
              <w:right w:w="0" w:type="dxa"/>
            </w:tcMar>
          </w:tcPr>
          <w:p w14:paraId="415F005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49DEAD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一、依甄選公告督導發行機構，積極達成年度盈餘目標。</w:t>
            </w:r>
          </w:p>
          <w:p w14:paraId="6946378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二、辦理公益彩券業務查核，精進彩券業務監督管理。</w:t>
            </w:r>
          </w:p>
          <w:p w14:paraId="45CC392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三、召開公益彩券監理會，並會同衛生福利部考核盈餘獲配機關，提升盈餘運用成效。</w:t>
            </w:r>
          </w:p>
        </w:tc>
      </w:tr>
      <w:tr w:rsidR="00BE05DA" w14:paraId="7CF5C8FA" w14:textId="77777777">
        <w:trPr>
          <w:trHeight w:val="159"/>
        </w:trPr>
        <w:tc>
          <w:tcPr>
            <w:tcW w:w="750" w:type="pct"/>
            <w:vMerge/>
            <w:shd w:val="clear" w:color="FFFFFF" w:fill="FFFFFF"/>
            <w:tcMar>
              <w:top w:w="0" w:type="dxa"/>
              <w:left w:w="0" w:type="dxa"/>
              <w:bottom w:w="0" w:type="dxa"/>
              <w:right w:w="0" w:type="dxa"/>
            </w:tcMar>
          </w:tcPr>
          <w:p w14:paraId="3BE064AE"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2A8335E3"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強化公股股權管理</w:t>
            </w:r>
            <w:proofErr w:type="spellEnd"/>
          </w:p>
        </w:tc>
        <w:tc>
          <w:tcPr>
            <w:tcW w:w="275" w:type="pct"/>
            <w:shd w:val="clear" w:color="FFFFFF" w:fill="FFFFFF"/>
            <w:tcMar>
              <w:top w:w="0" w:type="dxa"/>
              <w:left w:w="0" w:type="dxa"/>
              <w:bottom w:w="0" w:type="dxa"/>
              <w:right w:w="0" w:type="dxa"/>
            </w:tcMar>
          </w:tcPr>
          <w:p w14:paraId="06B714AB"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8A0975F"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一、考核公股事業財政部股權代表績效。 </w:t>
            </w:r>
          </w:p>
          <w:p w14:paraId="03DBFAA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二、召開金融與非金融業務研討會，瞭解公股事業公司治理成效。</w:t>
            </w:r>
          </w:p>
          <w:p w14:paraId="292B4B5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三、辦理公股事業董監改選（派）事宜。</w:t>
            </w:r>
          </w:p>
        </w:tc>
      </w:tr>
      <w:tr w:rsidR="00BE05DA" w14:paraId="55D633AB" w14:textId="77777777">
        <w:trPr>
          <w:trHeight w:val="159"/>
        </w:trPr>
        <w:tc>
          <w:tcPr>
            <w:tcW w:w="750" w:type="pct"/>
            <w:vMerge/>
            <w:shd w:val="clear" w:color="FFFFFF" w:fill="FFFFFF"/>
            <w:tcMar>
              <w:top w:w="0" w:type="dxa"/>
              <w:left w:w="0" w:type="dxa"/>
              <w:bottom w:w="0" w:type="dxa"/>
              <w:right w:w="0" w:type="dxa"/>
            </w:tcMar>
          </w:tcPr>
          <w:p w14:paraId="7C2C1B7F"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4327E0EE"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強化各機關規費、罰賠款及</w:t>
            </w:r>
            <w:r>
              <w:rPr>
                <w:rFonts w:ascii="新細明體" w:eastAsia="新細明體" w:hAnsi="新細明體" w:cs="新細明體"/>
                <w:color w:val="000000"/>
                <w:lang w:eastAsia="zh-TW"/>
              </w:rPr>
              <w:lastRenderedPageBreak/>
              <w:t>其他收入財務管理</w:t>
            </w:r>
          </w:p>
        </w:tc>
        <w:tc>
          <w:tcPr>
            <w:tcW w:w="275" w:type="pct"/>
            <w:shd w:val="clear" w:color="FFFFFF" w:fill="FFFFFF"/>
            <w:tcMar>
              <w:top w:w="0" w:type="dxa"/>
              <w:left w:w="0" w:type="dxa"/>
              <w:bottom w:w="0" w:type="dxa"/>
              <w:right w:w="0" w:type="dxa"/>
            </w:tcMar>
          </w:tcPr>
          <w:p w14:paraId="6BECE5CC"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7A38AD0E"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一、辦理中央政府機關歲入執行訪查事項。</w:t>
            </w:r>
          </w:p>
          <w:p w14:paraId="6B53EC4B"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二、按季核算中央政府各機關歲入執行情形。</w:t>
            </w:r>
          </w:p>
          <w:p w14:paraId="0D9CDCFB"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三、完成中央政府各機關新增與調整規費項目120項。</w:t>
            </w:r>
          </w:p>
        </w:tc>
      </w:tr>
      <w:tr w:rsidR="00BE05DA" w14:paraId="37623F7F" w14:textId="77777777">
        <w:trPr>
          <w:trHeight w:val="159"/>
        </w:trPr>
        <w:tc>
          <w:tcPr>
            <w:tcW w:w="750" w:type="pct"/>
            <w:vMerge/>
            <w:shd w:val="clear" w:color="FFFFFF" w:fill="FFFFFF"/>
            <w:tcMar>
              <w:top w:w="0" w:type="dxa"/>
              <w:left w:w="0" w:type="dxa"/>
              <w:bottom w:w="0" w:type="dxa"/>
              <w:right w:w="0" w:type="dxa"/>
            </w:tcMar>
          </w:tcPr>
          <w:p w14:paraId="15890097"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國庫業務</w:t>
            </w:r>
            <w:proofErr w:type="spellEnd"/>
          </w:p>
        </w:tc>
        <w:tc>
          <w:tcPr>
            <w:tcW w:w="750" w:type="pct"/>
            <w:shd w:val="clear" w:color="FFFFFF" w:fill="FFFFFF"/>
            <w:tcMar>
              <w:top w:w="0" w:type="dxa"/>
              <w:left w:w="0" w:type="dxa"/>
              <w:bottom w:w="0" w:type="dxa"/>
              <w:right w:w="0" w:type="dxa"/>
            </w:tcMar>
          </w:tcPr>
          <w:p w14:paraId="43E84FB0"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健全菸酒管理</w:t>
            </w:r>
            <w:proofErr w:type="spellEnd"/>
          </w:p>
        </w:tc>
        <w:tc>
          <w:tcPr>
            <w:tcW w:w="275" w:type="pct"/>
            <w:shd w:val="clear" w:color="FFFFFF" w:fill="FFFFFF"/>
            <w:tcMar>
              <w:top w:w="0" w:type="dxa"/>
              <w:left w:w="0" w:type="dxa"/>
              <w:bottom w:w="0" w:type="dxa"/>
              <w:right w:w="0" w:type="dxa"/>
            </w:tcMar>
          </w:tcPr>
          <w:p w14:paraId="4245DA92"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CDEDF6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一、持續推動優質酒類認證，提升國產酒品之國際競爭力。</w:t>
            </w:r>
          </w:p>
          <w:p w14:paraId="5D2CDCB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續辦理進口酒類衛生查驗，維護國人飲酒安全。</w:t>
            </w:r>
          </w:p>
          <w:p w14:paraId="1D1B3238"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三、加強查緝私劣菸酒，維護消費者安全，保障合法業者權益。</w:t>
            </w:r>
          </w:p>
        </w:tc>
      </w:tr>
      <w:tr w:rsidR="00BE05DA" w14:paraId="0C7CD0F8" w14:textId="77777777">
        <w:trPr>
          <w:trHeight w:val="159"/>
        </w:trPr>
        <w:tc>
          <w:tcPr>
            <w:tcW w:w="750" w:type="pct"/>
            <w:vMerge w:val="restart"/>
            <w:shd w:val="clear" w:color="FFFFFF" w:fill="FFFFFF"/>
            <w:tcMar>
              <w:top w:w="0" w:type="dxa"/>
              <w:left w:w="0" w:type="dxa"/>
              <w:bottom w:w="0" w:type="dxa"/>
              <w:right w:w="0" w:type="dxa"/>
            </w:tcMar>
          </w:tcPr>
          <w:p w14:paraId="4F2ACAF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37B97226"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精進綜合所得稅結算申報服務措施</w:t>
            </w:r>
          </w:p>
        </w:tc>
        <w:tc>
          <w:tcPr>
            <w:tcW w:w="275" w:type="pct"/>
            <w:shd w:val="clear" w:color="FFFFFF" w:fill="FFFFFF"/>
            <w:tcMar>
              <w:top w:w="0" w:type="dxa"/>
              <w:left w:w="0" w:type="dxa"/>
              <w:bottom w:w="0" w:type="dxa"/>
              <w:right w:w="0" w:type="dxa"/>
            </w:tcMar>
          </w:tcPr>
          <w:p w14:paraId="605CDE6A"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5CD74B4"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一、精進綜合所得稅結算申報服務措施，提升報稅服務品質。</w:t>
            </w:r>
          </w:p>
          <w:p w14:paraId="16030252"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續就申報內容簡單案件，提供綜合所得稅結算申報稅額試算服務，協助納稅義務人完成申報。</w:t>
            </w:r>
          </w:p>
        </w:tc>
      </w:tr>
      <w:tr w:rsidR="00BE05DA" w14:paraId="0809A2DE" w14:textId="77777777">
        <w:trPr>
          <w:trHeight w:val="159"/>
        </w:trPr>
        <w:tc>
          <w:tcPr>
            <w:tcW w:w="750" w:type="pct"/>
            <w:vMerge/>
            <w:shd w:val="clear" w:color="FFFFFF" w:fill="FFFFFF"/>
            <w:tcMar>
              <w:top w:w="0" w:type="dxa"/>
              <w:left w:w="0" w:type="dxa"/>
              <w:bottom w:w="0" w:type="dxa"/>
              <w:right w:w="0" w:type="dxa"/>
            </w:tcMar>
          </w:tcPr>
          <w:p w14:paraId="2B69710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072185C4"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執行稅捐稽徵作業</w:t>
            </w:r>
            <w:proofErr w:type="spellEnd"/>
          </w:p>
        </w:tc>
        <w:tc>
          <w:tcPr>
            <w:tcW w:w="275" w:type="pct"/>
            <w:shd w:val="clear" w:color="FFFFFF" w:fill="FFFFFF"/>
            <w:tcMar>
              <w:top w:w="0" w:type="dxa"/>
              <w:left w:w="0" w:type="dxa"/>
              <w:bottom w:w="0" w:type="dxa"/>
              <w:right w:w="0" w:type="dxa"/>
            </w:tcMar>
          </w:tcPr>
          <w:p w14:paraId="2C15657B"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BE2D8C7"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w:t>
            </w:r>
            <w:proofErr w:type="gramStart"/>
            <w:r>
              <w:rPr>
                <w:rFonts w:ascii="新細明體" w:eastAsia="新細明體" w:hAnsi="新細明體" w:cs="新細明體"/>
                <w:color w:val="000000"/>
                <w:lang w:eastAsia="zh-TW"/>
              </w:rPr>
              <w:t>年度各稅重點</w:t>
            </w:r>
            <w:proofErr w:type="gramEnd"/>
            <w:r>
              <w:rPr>
                <w:rFonts w:ascii="新細明體" w:eastAsia="新細明體" w:hAnsi="新細明體" w:cs="新細明體"/>
                <w:color w:val="000000"/>
                <w:lang w:eastAsia="zh-TW"/>
              </w:rPr>
              <w:t>查核作業，選定具查核價值案件，強化稅捐徵收，</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注國家財政資源。</w:t>
            </w:r>
          </w:p>
          <w:p w14:paraId="58A333DE"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徵機關落實</w:t>
            </w:r>
            <w:proofErr w:type="gramStart"/>
            <w:r>
              <w:rPr>
                <w:rFonts w:ascii="新細明體" w:eastAsia="新細明體" w:hAnsi="新細明體" w:cs="新細明體"/>
                <w:color w:val="000000"/>
                <w:lang w:eastAsia="zh-TW"/>
              </w:rPr>
              <w:t>稽徵</w:t>
            </w:r>
            <w:proofErr w:type="gramEnd"/>
            <w:r>
              <w:rPr>
                <w:rFonts w:ascii="新細明體" w:eastAsia="新細明體" w:hAnsi="新細明體" w:cs="新細明體"/>
                <w:color w:val="000000"/>
                <w:lang w:eastAsia="zh-TW"/>
              </w:rPr>
              <w:t>，精進稅捐</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徵措施，順利徵起稅收，支應政府施政所需。</w:t>
            </w:r>
          </w:p>
        </w:tc>
      </w:tr>
      <w:tr w:rsidR="00BE05DA" w14:paraId="13ED1C75" w14:textId="77777777">
        <w:trPr>
          <w:trHeight w:val="159"/>
        </w:trPr>
        <w:tc>
          <w:tcPr>
            <w:tcW w:w="750" w:type="pct"/>
            <w:vMerge/>
            <w:shd w:val="clear" w:color="FFFFFF" w:fill="FFFFFF"/>
            <w:tcMar>
              <w:top w:w="0" w:type="dxa"/>
              <w:left w:w="0" w:type="dxa"/>
              <w:bottom w:w="0" w:type="dxa"/>
              <w:right w:w="0" w:type="dxa"/>
            </w:tcMar>
          </w:tcPr>
          <w:p w14:paraId="74B9E29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1A374AD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健全稅制落實租稅公平合理</w:t>
            </w:r>
          </w:p>
        </w:tc>
        <w:tc>
          <w:tcPr>
            <w:tcW w:w="275" w:type="pct"/>
            <w:shd w:val="clear" w:color="FFFFFF" w:fill="FFFFFF"/>
            <w:tcMar>
              <w:top w:w="0" w:type="dxa"/>
              <w:left w:w="0" w:type="dxa"/>
              <w:bottom w:w="0" w:type="dxa"/>
              <w:right w:w="0" w:type="dxa"/>
            </w:tcMar>
          </w:tcPr>
          <w:p w14:paraId="563F281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FF2029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一、健全稅制、優化稅政，適時修正（訂定）賦稅法規、行政規則、發布解釋函令，落實租稅公平合理。</w:t>
            </w:r>
          </w:p>
          <w:p w14:paraId="1259A3C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二、強化落實稅務風紀考核及協助指導各地區國稅局監察室推動法紀教育暨風紀宣導。</w:t>
            </w:r>
          </w:p>
        </w:tc>
      </w:tr>
      <w:tr w:rsidR="00BE05DA" w14:paraId="232922E9" w14:textId="77777777">
        <w:trPr>
          <w:trHeight w:val="159"/>
        </w:trPr>
        <w:tc>
          <w:tcPr>
            <w:tcW w:w="750" w:type="pct"/>
            <w:vMerge/>
            <w:shd w:val="clear" w:color="FFFFFF" w:fill="FFFFFF"/>
            <w:tcMar>
              <w:top w:w="0" w:type="dxa"/>
              <w:left w:w="0" w:type="dxa"/>
              <w:bottom w:w="0" w:type="dxa"/>
              <w:right w:w="0" w:type="dxa"/>
            </w:tcMar>
          </w:tcPr>
          <w:p w14:paraId="0A695E1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074B6AEE"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推動疏減訟源方案</w:t>
            </w:r>
            <w:proofErr w:type="spellEnd"/>
          </w:p>
        </w:tc>
        <w:tc>
          <w:tcPr>
            <w:tcW w:w="275" w:type="pct"/>
            <w:shd w:val="clear" w:color="FFFFFF" w:fill="FFFFFF"/>
            <w:tcMar>
              <w:top w:w="0" w:type="dxa"/>
              <w:left w:w="0" w:type="dxa"/>
              <w:bottom w:w="0" w:type="dxa"/>
              <w:right w:w="0" w:type="dxa"/>
            </w:tcMar>
          </w:tcPr>
          <w:p w14:paraId="7351E661"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80000BD" w14:textId="77777777" w:rsidR="00A77B3E" w:rsidRDefault="0071075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續推動相關具體疏減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源措施，提升課稅處分與裁罰處分之正確性及妥適性，並積極責成納稅者權利保護官主動參與稅務爭議案件處理，化解徵納爭議，有效疏減</w:t>
            </w:r>
            <w:proofErr w:type="gramStart"/>
            <w:r>
              <w:rPr>
                <w:rFonts w:ascii="新細明體" w:eastAsia="新細明體" w:hAnsi="新細明體" w:cs="新細明體"/>
                <w:color w:val="000000"/>
                <w:lang w:eastAsia="zh-TW"/>
              </w:rPr>
              <w:t>訟</w:t>
            </w:r>
            <w:proofErr w:type="gramEnd"/>
            <w:r>
              <w:rPr>
                <w:rFonts w:ascii="新細明體" w:eastAsia="新細明體" w:hAnsi="新細明體" w:cs="新細明體"/>
                <w:color w:val="000000"/>
                <w:lang w:eastAsia="zh-TW"/>
              </w:rPr>
              <w:t>源。</w:t>
            </w:r>
          </w:p>
        </w:tc>
      </w:tr>
      <w:tr w:rsidR="00BE05DA" w14:paraId="266C9D2E" w14:textId="77777777">
        <w:trPr>
          <w:trHeight w:val="159"/>
        </w:trPr>
        <w:tc>
          <w:tcPr>
            <w:tcW w:w="750" w:type="pct"/>
            <w:vMerge/>
            <w:shd w:val="clear" w:color="FFFFFF" w:fill="FFFFFF"/>
            <w:tcMar>
              <w:top w:w="0" w:type="dxa"/>
              <w:left w:w="0" w:type="dxa"/>
              <w:bottom w:w="0" w:type="dxa"/>
              <w:right w:w="0" w:type="dxa"/>
            </w:tcMar>
          </w:tcPr>
          <w:p w14:paraId="7C2D0CB9"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674E0B5E"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執行維護租稅公平重點工作計畫</w:t>
            </w:r>
          </w:p>
        </w:tc>
        <w:tc>
          <w:tcPr>
            <w:tcW w:w="275" w:type="pct"/>
            <w:shd w:val="clear" w:color="FFFFFF" w:fill="FFFFFF"/>
            <w:tcMar>
              <w:top w:w="0" w:type="dxa"/>
              <w:left w:w="0" w:type="dxa"/>
              <w:bottom w:w="0" w:type="dxa"/>
              <w:right w:w="0" w:type="dxa"/>
            </w:tcMar>
          </w:tcPr>
          <w:p w14:paraId="38170039"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57053D6"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一、規劃年度「維護租稅公平重點工作」計畫，選定具有指標作用及因應社會新型態等逃漏情形較為嚴重項目，擬訂查核計畫，集中人力及經費專案查核，</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資遵循及執行。</w:t>
            </w:r>
          </w:p>
          <w:p w14:paraId="214D1D6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二、持續督導各</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徵機關加強辦理各項查核作業，維護租稅公平與社會正義，持續掌握新型態租稅規避及逃漏稅案件類型，促使納稅義務人自動補報繳稅，培養人人誠實納稅正確觀念，建立公平優質賦稅環境。</w:t>
            </w:r>
          </w:p>
        </w:tc>
      </w:tr>
      <w:tr w:rsidR="00BE05DA" w14:paraId="2A87FF0A" w14:textId="77777777">
        <w:trPr>
          <w:trHeight w:val="159"/>
        </w:trPr>
        <w:tc>
          <w:tcPr>
            <w:tcW w:w="750" w:type="pct"/>
            <w:vMerge/>
            <w:shd w:val="clear" w:color="FFFFFF" w:fill="FFFFFF"/>
            <w:tcMar>
              <w:top w:w="0" w:type="dxa"/>
              <w:left w:w="0" w:type="dxa"/>
              <w:bottom w:w="0" w:type="dxa"/>
              <w:right w:w="0" w:type="dxa"/>
            </w:tcMar>
          </w:tcPr>
          <w:p w14:paraId="2FD6B51E"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5AEF1DB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推動便利繳稅機制</w:t>
            </w:r>
            <w:proofErr w:type="spellEnd"/>
          </w:p>
        </w:tc>
        <w:tc>
          <w:tcPr>
            <w:tcW w:w="275" w:type="pct"/>
            <w:shd w:val="clear" w:color="FFFFFF" w:fill="FFFFFF"/>
            <w:tcMar>
              <w:top w:w="0" w:type="dxa"/>
              <w:left w:w="0" w:type="dxa"/>
              <w:bottom w:w="0" w:type="dxa"/>
              <w:right w:w="0" w:type="dxa"/>
            </w:tcMar>
          </w:tcPr>
          <w:p w14:paraId="2253927B"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B273778"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持續推廣多元便利性繳稅管道，加強宣導行動支付、電子支付帳戶及行動裝置繳稅服務，提升電子支付帳戶或行動支付使用率及</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徵機關行政效能，提供優質納稅服務。</w:t>
            </w:r>
          </w:p>
        </w:tc>
      </w:tr>
      <w:tr w:rsidR="00BE05DA" w14:paraId="29AF8568" w14:textId="77777777">
        <w:trPr>
          <w:trHeight w:val="159"/>
        </w:trPr>
        <w:tc>
          <w:tcPr>
            <w:tcW w:w="750" w:type="pct"/>
            <w:vMerge/>
            <w:shd w:val="clear" w:color="FFFFFF" w:fill="FFFFFF"/>
            <w:tcMar>
              <w:top w:w="0" w:type="dxa"/>
              <w:left w:w="0" w:type="dxa"/>
              <w:bottom w:w="0" w:type="dxa"/>
              <w:right w:w="0" w:type="dxa"/>
            </w:tcMar>
          </w:tcPr>
          <w:p w14:paraId="3E4FF3A1"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1C424EE4"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統一發票給獎及推行</w:t>
            </w:r>
            <w:proofErr w:type="spellEnd"/>
          </w:p>
        </w:tc>
        <w:tc>
          <w:tcPr>
            <w:tcW w:w="275" w:type="pct"/>
            <w:shd w:val="clear" w:color="FFFFFF" w:fill="FFFFFF"/>
            <w:tcMar>
              <w:top w:w="0" w:type="dxa"/>
              <w:left w:w="0" w:type="dxa"/>
              <w:bottom w:w="0" w:type="dxa"/>
              <w:right w:w="0" w:type="dxa"/>
            </w:tcMar>
          </w:tcPr>
          <w:p w14:paraId="36D94DC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989BA0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一、編列、控管統一發票給獎、統一發票推行及核發短漏開統一發票檢舉獎金等相關經費。</w:t>
            </w:r>
          </w:p>
          <w:p w14:paraId="43B2D6F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二、編列、控管統一發票發售、資料調查及稽查等所需相關經費。</w:t>
            </w:r>
          </w:p>
          <w:p w14:paraId="3EECB61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三、規劃當年度統一發票及雲端發票中獎組數，適時增開雲端發票專屬獎項或組數，並於年度中視經費執行情形調整中獎組數。</w:t>
            </w:r>
          </w:p>
          <w:p w14:paraId="1A116DD7"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四、辦理統一發票推行及稅制稅政教育、宣導活動。</w:t>
            </w:r>
          </w:p>
        </w:tc>
      </w:tr>
      <w:tr w:rsidR="00BE05DA" w14:paraId="68E1FEEA" w14:textId="77777777">
        <w:trPr>
          <w:trHeight w:val="159"/>
        </w:trPr>
        <w:tc>
          <w:tcPr>
            <w:tcW w:w="750" w:type="pct"/>
            <w:vMerge/>
            <w:shd w:val="clear" w:color="FFFFFF" w:fill="FFFFFF"/>
            <w:tcMar>
              <w:top w:w="0" w:type="dxa"/>
              <w:left w:w="0" w:type="dxa"/>
              <w:bottom w:w="0" w:type="dxa"/>
              <w:right w:w="0" w:type="dxa"/>
            </w:tcMar>
          </w:tcPr>
          <w:p w14:paraId="4D9DB861"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36B733A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北國稅局信義分局辦公廳舍取得計畫</w:t>
            </w:r>
          </w:p>
        </w:tc>
        <w:tc>
          <w:tcPr>
            <w:tcW w:w="275" w:type="pct"/>
            <w:shd w:val="clear" w:color="FFFFFF" w:fill="FFFFFF"/>
            <w:tcMar>
              <w:top w:w="0" w:type="dxa"/>
              <w:left w:w="0" w:type="dxa"/>
              <w:bottom w:w="0" w:type="dxa"/>
              <w:right w:w="0" w:type="dxa"/>
            </w:tcMar>
          </w:tcPr>
          <w:p w14:paraId="2D45ACB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500C066"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年度預定辦理工作項目：配合臺北市政府預算期程辦理撥付工程款、配合臺北市政府及臺北市信義區公所辦理土地撥用及建物所有權移轉登記。</w:t>
            </w:r>
          </w:p>
        </w:tc>
      </w:tr>
      <w:tr w:rsidR="00BE05DA" w14:paraId="7B26EE17" w14:textId="77777777">
        <w:trPr>
          <w:trHeight w:val="159"/>
        </w:trPr>
        <w:tc>
          <w:tcPr>
            <w:tcW w:w="750" w:type="pct"/>
            <w:vMerge/>
            <w:shd w:val="clear" w:color="FFFFFF" w:fill="FFFFFF"/>
            <w:tcMar>
              <w:top w:w="0" w:type="dxa"/>
              <w:left w:w="0" w:type="dxa"/>
              <w:bottom w:w="0" w:type="dxa"/>
              <w:right w:w="0" w:type="dxa"/>
            </w:tcMar>
          </w:tcPr>
          <w:p w14:paraId="40FD4C7F"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賦稅業務</w:t>
            </w:r>
            <w:proofErr w:type="spellEnd"/>
          </w:p>
        </w:tc>
        <w:tc>
          <w:tcPr>
            <w:tcW w:w="750" w:type="pct"/>
            <w:shd w:val="clear" w:color="FFFFFF" w:fill="FFFFFF"/>
            <w:tcMar>
              <w:top w:w="0" w:type="dxa"/>
              <w:left w:w="0" w:type="dxa"/>
              <w:bottom w:w="0" w:type="dxa"/>
              <w:right w:w="0" w:type="dxa"/>
            </w:tcMar>
          </w:tcPr>
          <w:p w14:paraId="506C76C8"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北國稅局中正分局辦公廳舍取得計畫</w:t>
            </w:r>
          </w:p>
        </w:tc>
        <w:tc>
          <w:tcPr>
            <w:tcW w:w="275" w:type="pct"/>
            <w:shd w:val="clear" w:color="FFFFFF" w:fill="FFFFFF"/>
            <w:tcMar>
              <w:top w:w="0" w:type="dxa"/>
              <w:left w:w="0" w:type="dxa"/>
              <w:bottom w:w="0" w:type="dxa"/>
              <w:right w:w="0" w:type="dxa"/>
            </w:tcMar>
          </w:tcPr>
          <w:p w14:paraId="6C15BDE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92352A9"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年度預定辦理工作項目：新南門大樓完工後配合臺北市政府財政局指示期日撥付分攤工程款、裝修及搬遷辦公廳舍。</w:t>
            </w:r>
          </w:p>
        </w:tc>
      </w:tr>
      <w:tr w:rsidR="00BE05DA" w14:paraId="440B04F7" w14:textId="77777777">
        <w:trPr>
          <w:trHeight w:val="159"/>
        </w:trPr>
        <w:tc>
          <w:tcPr>
            <w:tcW w:w="750" w:type="pct"/>
            <w:vMerge/>
            <w:shd w:val="clear" w:color="FFFFFF" w:fill="FFFFFF"/>
            <w:tcMar>
              <w:top w:w="0" w:type="dxa"/>
              <w:left w:w="0" w:type="dxa"/>
              <w:bottom w:w="0" w:type="dxa"/>
              <w:right w:w="0" w:type="dxa"/>
            </w:tcMar>
          </w:tcPr>
          <w:p w14:paraId="1F88DA40"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60298052"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財政部北區國稅局辦理羅東</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14:paraId="332CB709"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576A7AA"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105</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年度預定辦理工作項目：分攤工程款（配合建築工程施工、監造、竣工驗收、點交進度辦理）、建物登記、宜蘭縣政府經管之國有土地持分撥用。</w:t>
            </w:r>
          </w:p>
        </w:tc>
      </w:tr>
      <w:tr w:rsidR="00BE05DA" w14:paraId="3A03EF59" w14:textId="77777777">
        <w:trPr>
          <w:trHeight w:val="159"/>
        </w:trPr>
        <w:tc>
          <w:tcPr>
            <w:tcW w:w="750" w:type="pct"/>
            <w:vMerge/>
            <w:shd w:val="clear" w:color="FFFFFF" w:fill="FFFFFF"/>
            <w:tcMar>
              <w:top w:w="0" w:type="dxa"/>
              <w:left w:w="0" w:type="dxa"/>
              <w:bottom w:w="0" w:type="dxa"/>
              <w:right w:w="0" w:type="dxa"/>
            </w:tcMar>
          </w:tcPr>
          <w:p w14:paraId="75CA5A42"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6EF590B5"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財政部北區國稅局蘆竹</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徵所辦公廳舍取得計畫</w:t>
            </w:r>
          </w:p>
        </w:tc>
        <w:tc>
          <w:tcPr>
            <w:tcW w:w="275" w:type="pct"/>
            <w:shd w:val="clear" w:color="FFFFFF" w:fill="FFFFFF"/>
            <w:tcMar>
              <w:top w:w="0" w:type="dxa"/>
              <w:left w:w="0" w:type="dxa"/>
              <w:bottom w:w="0" w:type="dxa"/>
              <w:right w:w="0" w:type="dxa"/>
            </w:tcMar>
          </w:tcPr>
          <w:p w14:paraId="5DBD5DF9"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4CAFACA" w14:textId="38008B61"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年度預定辦理工作項目：分攤工程款</w:t>
            </w:r>
            <w:r w:rsidR="0024313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配合桃園市政府辦理統包細部設計、建築工程施工及專案管理監造進度辦理</w:t>
            </w:r>
            <w:r w:rsidR="0024313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tc>
      </w:tr>
      <w:tr w:rsidR="00BE05DA" w14:paraId="53E99A1D" w14:textId="77777777">
        <w:trPr>
          <w:trHeight w:val="159"/>
        </w:trPr>
        <w:tc>
          <w:tcPr>
            <w:tcW w:w="750" w:type="pct"/>
            <w:vMerge/>
            <w:shd w:val="clear" w:color="FFFFFF" w:fill="FFFFFF"/>
            <w:tcMar>
              <w:top w:w="0" w:type="dxa"/>
              <w:left w:w="0" w:type="dxa"/>
              <w:bottom w:w="0" w:type="dxa"/>
              <w:right w:w="0" w:type="dxa"/>
            </w:tcMar>
          </w:tcPr>
          <w:p w14:paraId="44020C9D"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1DAAB05D"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財政部北區國稅局淡水</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383CA4A5"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9852503"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年度預定辦理工作項目：統包工程招標及簽約、細部設計定案、建造執照取得、樹木遷移及營建施工等。</w:t>
            </w:r>
          </w:p>
        </w:tc>
      </w:tr>
      <w:tr w:rsidR="00BE05DA" w14:paraId="0B0EA511" w14:textId="77777777">
        <w:trPr>
          <w:trHeight w:val="159"/>
        </w:trPr>
        <w:tc>
          <w:tcPr>
            <w:tcW w:w="750" w:type="pct"/>
            <w:vMerge/>
            <w:shd w:val="clear" w:color="FFFFFF" w:fill="FFFFFF"/>
            <w:tcMar>
              <w:top w:w="0" w:type="dxa"/>
              <w:left w:w="0" w:type="dxa"/>
              <w:bottom w:w="0" w:type="dxa"/>
              <w:right w:w="0" w:type="dxa"/>
            </w:tcMar>
          </w:tcPr>
          <w:p w14:paraId="43CA22F3"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3CABAB01"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財政部中區國稅局東勢</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20CC2054"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200FD9F"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洽請專業機關代辦工程採購或評選委託專案管理顧問辦理並完成簽訂協議書或契約、完成土地分割、公開徵選建築師、進行初步規劃及細部設計、完成細部設計、取得建造執照、完成工程招標及簽約等。</w:t>
            </w:r>
          </w:p>
        </w:tc>
      </w:tr>
      <w:tr w:rsidR="00BE05DA" w14:paraId="5C3AEA84" w14:textId="77777777">
        <w:trPr>
          <w:trHeight w:val="159"/>
        </w:trPr>
        <w:tc>
          <w:tcPr>
            <w:tcW w:w="750" w:type="pct"/>
            <w:vMerge/>
            <w:shd w:val="clear" w:color="FFFFFF" w:fill="FFFFFF"/>
            <w:tcMar>
              <w:top w:w="0" w:type="dxa"/>
              <w:left w:w="0" w:type="dxa"/>
              <w:bottom w:w="0" w:type="dxa"/>
              <w:right w:w="0" w:type="dxa"/>
            </w:tcMar>
          </w:tcPr>
          <w:p w14:paraId="4BDF2AA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4B7452AF"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財政部南區國稅局東港</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徵所辦公廳舍興建計畫</w:t>
            </w:r>
          </w:p>
        </w:tc>
        <w:tc>
          <w:tcPr>
            <w:tcW w:w="275" w:type="pct"/>
            <w:shd w:val="clear" w:color="FFFFFF" w:fill="FFFFFF"/>
            <w:tcMar>
              <w:top w:w="0" w:type="dxa"/>
              <w:left w:w="0" w:type="dxa"/>
              <w:bottom w:w="0" w:type="dxa"/>
              <w:right w:w="0" w:type="dxa"/>
            </w:tcMar>
          </w:tcPr>
          <w:p w14:paraId="4894F3B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55796A5" w14:textId="091CBE45"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計畫期程預計自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年度預定辦理工作項目：辦理所需土地撥用</w:t>
            </w:r>
            <w:r w:rsidR="0024313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含分割土地</w:t>
            </w:r>
            <w:r w:rsidR="0024313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、與代辦機關簽訂協議書、完成公開徵選建築師、初步規劃方案擬定、細部設計等。</w:t>
            </w:r>
          </w:p>
        </w:tc>
      </w:tr>
      <w:tr w:rsidR="00BE05DA" w14:paraId="4DB9582F" w14:textId="77777777">
        <w:trPr>
          <w:trHeight w:val="159"/>
        </w:trPr>
        <w:tc>
          <w:tcPr>
            <w:tcW w:w="750" w:type="pct"/>
            <w:vMerge/>
            <w:shd w:val="clear" w:color="FFFFFF" w:fill="FFFFFF"/>
            <w:tcMar>
              <w:top w:w="0" w:type="dxa"/>
              <w:left w:w="0" w:type="dxa"/>
              <w:bottom w:w="0" w:type="dxa"/>
              <w:right w:w="0" w:type="dxa"/>
            </w:tcMar>
          </w:tcPr>
          <w:p w14:paraId="5B43BB1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賦稅業務</w:t>
            </w:r>
            <w:proofErr w:type="spellEnd"/>
          </w:p>
        </w:tc>
        <w:tc>
          <w:tcPr>
            <w:tcW w:w="750" w:type="pct"/>
            <w:shd w:val="clear" w:color="FFFFFF" w:fill="FFFFFF"/>
            <w:tcMar>
              <w:top w:w="0" w:type="dxa"/>
              <w:left w:w="0" w:type="dxa"/>
              <w:bottom w:w="0" w:type="dxa"/>
              <w:right w:w="0" w:type="dxa"/>
            </w:tcMar>
          </w:tcPr>
          <w:p w14:paraId="506D6C32"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財政部高雄國稅局及勞動部職業</w:t>
            </w:r>
            <w:proofErr w:type="gramStart"/>
            <w:r>
              <w:rPr>
                <w:rFonts w:ascii="新細明體" w:eastAsia="新細明體" w:hAnsi="新細明體" w:cs="新細明體"/>
                <w:color w:val="000000"/>
                <w:lang w:eastAsia="zh-TW"/>
              </w:rPr>
              <w:t>安全衛生署</w:t>
            </w:r>
            <w:proofErr w:type="gramEnd"/>
            <w:r>
              <w:rPr>
                <w:rFonts w:ascii="新細明體" w:eastAsia="新細明體" w:hAnsi="新細明體" w:cs="新細明體"/>
                <w:color w:val="000000"/>
                <w:lang w:eastAsia="zh-TW"/>
              </w:rPr>
              <w:t>合署興建所屬單位辦公廳舍計畫</w:t>
            </w:r>
          </w:p>
        </w:tc>
        <w:tc>
          <w:tcPr>
            <w:tcW w:w="275" w:type="pct"/>
            <w:shd w:val="clear" w:color="FFFFFF" w:fill="FFFFFF"/>
            <w:tcMar>
              <w:top w:w="0" w:type="dxa"/>
              <w:left w:w="0" w:type="dxa"/>
              <w:bottom w:w="0" w:type="dxa"/>
              <w:right w:w="0" w:type="dxa"/>
            </w:tcMar>
          </w:tcPr>
          <w:p w14:paraId="10DCAA43"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C7C759F"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107</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年度預定辦理工作項目：營建施工、履約管理、界面圖整合；瑕疵處理、矯正、預防，</w:t>
            </w:r>
            <w:proofErr w:type="gramStart"/>
            <w:r>
              <w:rPr>
                <w:rFonts w:ascii="新細明體" w:eastAsia="新細明體" w:hAnsi="新細明體" w:cs="新細明體"/>
                <w:color w:val="000000"/>
                <w:lang w:eastAsia="zh-TW"/>
              </w:rPr>
              <w:t>進度與估驗</w:t>
            </w:r>
            <w:proofErr w:type="gramEnd"/>
            <w:r>
              <w:rPr>
                <w:rFonts w:ascii="新細明體" w:eastAsia="新細明體" w:hAnsi="新細明體" w:cs="新細明體"/>
                <w:color w:val="000000"/>
                <w:lang w:eastAsia="zh-TW"/>
              </w:rPr>
              <w:t>計價、竣工。</w:t>
            </w:r>
          </w:p>
        </w:tc>
      </w:tr>
      <w:tr w:rsidR="00BE05DA" w14:paraId="19A8CD43" w14:textId="77777777">
        <w:trPr>
          <w:trHeight w:val="159"/>
        </w:trPr>
        <w:tc>
          <w:tcPr>
            <w:tcW w:w="750" w:type="pct"/>
            <w:vMerge w:val="restart"/>
            <w:shd w:val="clear" w:color="FFFFFF" w:fill="FFFFFF"/>
            <w:tcMar>
              <w:top w:w="0" w:type="dxa"/>
              <w:left w:w="0" w:type="dxa"/>
              <w:bottom w:w="0" w:type="dxa"/>
              <w:right w:w="0" w:type="dxa"/>
            </w:tcMar>
          </w:tcPr>
          <w:p w14:paraId="5A78F3FD"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6D3526D8"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財政部關務署海關</w:t>
            </w:r>
            <w:proofErr w:type="gramStart"/>
            <w:r>
              <w:rPr>
                <w:rFonts w:ascii="新細明體" w:eastAsia="新細明體" w:hAnsi="新細明體" w:cs="新細明體"/>
                <w:color w:val="000000"/>
                <w:lang w:eastAsia="zh-TW"/>
              </w:rPr>
              <w:t>巡緝艇汰舊換新</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2B2028ED"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BCEDAB3" w14:textId="77777777" w:rsidR="00A77B3E" w:rsidRDefault="0071075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換4艘100噸級</w:t>
            </w:r>
            <w:proofErr w:type="gramStart"/>
            <w:r>
              <w:rPr>
                <w:rFonts w:ascii="新細明體" w:eastAsia="新細明體" w:hAnsi="新細明體" w:cs="新細明體"/>
                <w:color w:val="000000"/>
                <w:lang w:eastAsia="zh-TW"/>
              </w:rPr>
              <w:t>巡緝艇</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106</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年度預定辦理工作項目：完成第2艘巡</w:t>
            </w:r>
            <w:proofErr w:type="gramStart"/>
            <w:r>
              <w:rPr>
                <w:rFonts w:ascii="新細明體" w:eastAsia="新細明體" w:hAnsi="新細明體" w:cs="新細明體"/>
                <w:color w:val="000000"/>
                <w:lang w:eastAsia="zh-TW"/>
              </w:rPr>
              <w:t>緝艇交</w:t>
            </w:r>
            <w:proofErr w:type="gramEnd"/>
            <w:r>
              <w:rPr>
                <w:rFonts w:ascii="新細明體" w:eastAsia="新細明體" w:hAnsi="新細明體" w:cs="新細明體"/>
                <w:color w:val="000000"/>
                <w:lang w:eastAsia="zh-TW"/>
              </w:rPr>
              <w:t>船、第3及第4艘</w:t>
            </w:r>
            <w:proofErr w:type="gramStart"/>
            <w:r>
              <w:rPr>
                <w:rFonts w:ascii="新細明體" w:eastAsia="新細明體" w:hAnsi="新細明體" w:cs="新細明體"/>
                <w:color w:val="000000"/>
                <w:lang w:eastAsia="zh-TW"/>
              </w:rPr>
              <w:t>巡緝艇完工</w:t>
            </w:r>
            <w:proofErr w:type="gramEnd"/>
            <w:r>
              <w:rPr>
                <w:rFonts w:ascii="新細明體" w:eastAsia="新細明體" w:hAnsi="新細明體" w:cs="新細明體"/>
                <w:color w:val="000000"/>
                <w:lang w:eastAsia="zh-TW"/>
              </w:rPr>
              <w:t>並交船。</w:t>
            </w:r>
          </w:p>
        </w:tc>
      </w:tr>
      <w:tr w:rsidR="00BE05DA" w14:paraId="61EEB94B" w14:textId="77777777">
        <w:trPr>
          <w:trHeight w:val="159"/>
        </w:trPr>
        <w:tc>
          <w:tcPr>
            <w:tcW w:w="750" w:type="pct"/>
            <w:vMerge/>
            <w:shd w:val="clear" w:color="FFFFFF" w:fill="FFFFFF"/>
            <w:tcMar>
              <w:top w:w="0" w:type="dxa"/>
              <w:left w:w="0" w:type="dxa"/>
              <w:bottom w:w="0" w:type="dxa"/>
              <w:right w:w="0" w:type="dxa"/>
            </w:tcMar>
          </w:tcPr>
          <w:p w14:paraId="7BD73AB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0AF43AE0"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財政部關務署海關</w:t>
            </w:r>
            <w:proofErr w:type="gramStart"/>
            <w:r>
              <w:rPr>
                <w:rFonts w:ascii="新細明體" w:eastAsia="新細明體" w:hAnsi="新細明體" w:cs="新細明體"/>
                <w:color w:val="000000"/>
                <w:lang w:eastAsia="zh-TW"/>
              </w:rPr>
              <w:t>巡緝艇汰舊換新</w:t>
            </w:r>
            <w:proofErr w:type="gramEnd"/>
            <w:r>
              <w:rPr>
                <w:rFonts w:ascii="新細明體" w:eastAsia="新細明體" w:hAnsi="新細明體" w:cs="新細明體"/>
                <w:color w:val="000000"/>
                <w:lang w:eastAsia="zh-TW"/>
              </w:rPr>
              <w:t>第二期計畫</w:t>
            </w:r>
          </w:p>
        </w:tc>
        <w:tc>
          <w:tcPr>
            <w:tcW w:w="275" w:type="pct"/>
            <w:shd w:val="clear" w:color="FFFFFF" w:fill="FFFFFF"/>
            <w:tcMar>
              <w:top w:w="0" w:type="dxa"/>
              <w:left w:w="0" w:type="dxa"/>
              <w:bottom w:w="0" w:type="dxa"/>
              <w:right w:w="0" w:type="dxa"/>
            </w:tcMar>
          </w:tcPr>
          <w:p w14:paraId="5683666F"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9FD9FF9" w14:textId="77777777" w:rsidR="00A77B3E" w:rsidRDefault="0071075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換2艘100噸級</w:t>
            </w:r>
            <w:proofErr w:type="gramStart"/>
            <w:r>
              <w:rPr>
                <w:rFonts w:ascii="新細明體" w:eastAsia="新細明體" w:hAnsi="新細明體" w:cs="新細明體"/>
                <w:color w:val="000000"/>
                <w:lang w:eastAsia="zh-TW"/>
              </w:rPr>
              <w:t>巡緝艇</w:t>
            </w:r>
            <w:proofErr w:type="gramEnd"/>
            <w:r>
              <w:rPr>
                <w:rFonts w:ascii="新細明體" w:eastAsia="新細明體" w:hAnsi="新細明體" w:cs="新細明體"/>
                <w:color w:val="000000"/>
                <w:lang w:eastAsia="zh-TW"/>
              </w:rPr>
              <w:t>、3艘35噸級</w:t>
            </w:r>
            <w:proofErr w:type="gramStart"/>
            <w:r>
              <w:rPr>
                <w:rFonts w:ascii="新細明體" w:eastAsia="新細明體" w:hAnsi="新細明體" w:cs="新細明體"/>
                <w:color w:val="000000"/>
                <w:lang w:eastAsia="zh-TW"/>
              </w:rPr>
              <w:t>巡緝艇及</w:t>
            </w:r>
            <w:proofErr w:type="gramEnd"/>
            <w:r>
              <w:rPr>
                <w:rFonts w:ascii="新細明體" w:eastAsia="新細明體" w:hAnsi="新細明體" w:cs="新細明體"/>
                <w:color w:val="000000"/>
                <w:lang w:eastAsia="zh-TW"/>
              </w:rPr>
              <w:t>3艘5噸級快艇，計畫期程自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完成新艇規劃</w:t>
            </w:r>
            <w:proofErr w:type="gramEnd"/>
            <w:r>
              <w:rPr>
                <w:rFonts w:ascii="新細明體" w:eastAsia="新細明體" w:hAnsi="新細明體" w:cs="新細明體"/>
                <w:color w:val="000000"/>
                <w:lang w:eastAsia="zh-TW"/>
              </w:rPr>
              <w:t>設計與監造案招標、決標、簽約及規劃設計，並完成2艘100噸級</w:t>
            </w:r>
            <w:proofErr w:type="gramStart"/>
            <w:r>
              <w:rPr>
                <w:rFonts w:ascii="新細明體" w:eastAsia="新細明體" w:hAnsi="新細明體" w:cs="新細明體"/>
                <w:color w:val="000000"/>
                <w:lang w:eastAsia="zh-TW"/>
              </w:rPr>
              <w:t>巡緝艇建造</w:t>
            </w:r>
            <w:proofErr w:type="gramEnd"/>
            <w:r>
              <w:rPr>
                <w:rFonts w:ascii="新細明體" w:eastAsia="新細明體" w:hAnsi="新細明體" w:cs="新細明體"/>
                <w:color w:val="000000"/>
                <w:lang w:eastAsia="zh-TW"/>
              </w:rPr>
              <w:t>案招標。</w:t>
            </w:r>
          </w:p>
        </w:tc>
      </w:tr>
      <w:tr w:rsidR="00BE05DA" w14:paraId="4E40134B" w14:textId="77777777">
        <w:trPr>
          <w:trHeight w:val="159"/>
        </w:trPr>
        <w:tc>
          <w:tcPr>
            <w:tcW w:w="750" w:type="pct"/>
            <w:vMerge/>
            <w:shd w:val="clear" w:color="FFFFFF" w:fill="FFFFFF"/>
            <w:tcMar>
              <w:top w:w="0" w:type="dxa"/>
              <w:left w:w="0" w:type="dxa"/>
              <w:bottom w:w="0" w:type="dxa"/>
              <w:right w:w="0" w:type="dxa"/>
            </w:tcMar>
          </w:tcPr>
          <w:p w14:paraId="1E476809"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346EE96D"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財政部關務署基隆關西16私貨倉庫新建計畫</w:t>
            </w:r>
          </w:p>
        </w:tc>
        <w:tc>
          <w:tcPr>
            <w:tcW w:w="275" w:type="pct"/>
            <w:shd w:val="clear" w:color="FFFFFF" w:fill="FFFFFF"/>
            <w:tcMar>
              <w:top w:w="0" w:type="dxa"/>
              <w:left w:w="0" w:type="dxa"/>
              <w:bottom w:w="0" w:type="dxa"/>
              <w:right w:w="0" w:type="dxa"/>
            </w:tcMar>
          </w:tcPr>
          <w:p w14:paraId="1DFDD15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D55C3AA"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新建基隆關西16私貨倉庫，計畫期程自</w:t>
            </w:r>
            <w:proofErr w:type="gramStart"/>
            <w:r>
              <w:rPr>
                <w:rFonts w:ascii="新細明體" w:eastAsia="新細明體" w:hAnsi="新細明體" w:cs="新細明體"/>
                <w:color w:val="000000"/>
                <w:lang w:eastAsia="zh-TW"/>
              </w:rPr>
              <w:t>108</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年度預定辦理工作項目：完成基本設計報請工程會審議補正作業、完成細部設計核定、取得建造執照、完成工程招標簽約、</w:t>
            </w:r>
            <w:proofErr w:type="gramStart"/>
            <w:r>
              <w:rPr>
                <w:rFonts w:ascii="新細明體" w:eastAsia="新細明體" w:hAnsi="新細明體" w:cs="新細明體"/>
                <w:color w:val="000000"/>
                <w:lang w:eastAsia="zh-TW"/>
              </w:rPr>
              <w:t>完成原西</w:t>
            </w:r>
            <w:proofErr w:type="gramEnd"/>
            <w:r>
              <w:rPr>
                <w:rFonts w:ascii="新細明體" w:eastAsia="新細明體" w:hAnsi="新細明體" w:cs="新細明體"/>
                <w:color w:val="000000"/>
                <w:lang w:eastAsia="zh-TW"/>
              </w:rPr>
              <w:t xml:space="preserve"> 16 </w:t>
            </w:r>
            <w:proofErr w:type="gramStart"/>
            <w:r>
              <w:rPr>
                <w:rFonts w:ascii="新細明體" w:eastAsia="新細明體" w:hAnsi="新細明體" w:cs="新細明體"/>
                <w:color w:val="000000"/>
                <w:lang w:eastAsia="zh-TW"/>
              </w:rPr>
              <w:t>後庫拆除</w:t>
            </w:r>
            <w:proofErr w:type="gramEnd"/>
            <w:r>
              <w:rPr>
                <w:rFonts w:ascii="新細明體" w:eastAsia="新細明體" w:hAnsi="新細明體" w:cs="新細明體"/>
                <w:color w:val="000000"/>
                <w:lang w:eastAsia="zh-TW"/>
              </w:rPr>
              <w:t>及土地分割、新建新西 16 私貨倉庫施工，並持續租用港公司</w:t>
            </w:r>
            <w:proofErr w:type="gramStart"/>
            <w:r>
              <w:rPr>
                <w:rFonts w:ascii="新細明體" w:eastAsia="新細明體" w:hAnsi="新細明體" w:cs="新細明體"/>
                <w:color w:val="000000"/>
                <w:lang w:eastAsia="zh-TW"/>
              </w:rPr>
              <w:t>新前庫暫</w:t>
            </w:r>
            <w:proofErr w:type="gramEnd"/>
            <w:r>
              <w:rPr>
                <w:rFonts w:ascii="新細明體" w:eastAsia="新細明體" w:hAnsi="新細明體" w:cs="新細明體"/>
                <w:color w:val="000000"/>
                <w:lang w:eastAsia="zh-TW"/>
              </w:rPr>
              <w:t>放私貨。</w:t>
            </w:r>
          </w:p>
        </w:tc>
      </w:tr>
      <w:tr w:rsidR="00BE05DA" w14:paraId="46D1589E" w14:textId="77777777">
        <w:trPr>
          <w:trHeight w:val="159"/>
        </w:trPr>
        <w:tc>
          <w:tcPr>
            <w:tcW w:w="750" w:type="pct"/>
            <w:vMerge/>
            <w:shd w:val="clear" w:color="FFFFFF" w:fill="FFFFFF"/>
            <w:tcMar>
              <w:top w:w="0" w:type="dxa"/>
              <w:left w:w="0" w:type="dxa"/>
              <w:bottom w:w="0" w:type="dxa"/>
              <w:right w:w="0" w:type="dxa"/>
            </w:tcMar>
          </w:tcPr>
          <w:p w14:paraId="0B31097A"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關稅業務</w:t>
            </w:r>
            <w:proofErr w:type="spellEnd"/>
          </w:p>
        </w:tc>
        <w:tc>
          <w:tcPr>
            <w:tcW w:w="750" w:type="pct"/>
            <w:shd w:val="clear" w:color="FFFFFF" w:fill="FFFFFF"/>
            <w:tcMar>
              <w:top w:w="0" w:type="dxa"/>
              <w:left w:w="0" w:type="dxa"/>
              <w:bottom w:w="0" w:type="dxa"/>
              <w:right w:w="0" w:type="dxa"/>
            </w:tcMar>
          </w:tcPr>
          <w:p w14:paraId="73455001"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建置計畫</w:t>
            </w:r>
          </w:p>
        </w:tc>
        <w:tc>
          <w:tcPr>
            <w:tcW w:w="275" w:type="pct"/>
            <w:shd w:val="clear" w:color="FFFFFF" w:fill="FFFFFF"/>
            <w:tcMar>
              <w:top w:w="0" w:type="dxa"/>
              <w:left w:w="0" w:type="dxa"/>
              <w:bottom w:w="0" w:type="dxa"/>
              <w:right w:w="0" w:type="dxa"/>
            </w:tcMar>
          </w:tcPr>
          <w:p w14:paraId="451B2987"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E1500ED"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建置高雄關第六貨櫃中心軌道式貨櫃檢查儀</w:t>
            </w:r>
            <w:proofErr w:type="gramStart"/>
            <w:r>
              <w:rPr>
                <w:rFonts w:ascii="新細明體" w:eastAsia="新細明體" w:hAnsi="新細明體" w:cs="新細明體"/>
                <w:color w:val="000000"/>
                <w:lang w:eastAsia="zh-TW"/>
              </w:rPr>
              <w:t>及儀檢站</w:t>
            </w:r>
            <w:proofErr w:type="gramEnd"/>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辦理儀檢站</w:t>
            </w:r>
            <w:proofErr w:type="gramEnd"/>
            <w:r>
              <w:rPr>
                <w:rFonts w:ascii="新細明體" w:eastAsia="新細明體" w:hAnsi="新細明體" w:cs="新細明體"/>
                <w:color w:val="000000"/>
                <w:lang w:eastAsia="zh-TW"/>
              </w:rPr>
              <w:t>辦公廳舍及剛性地面工程施工、</w:t>
            </w:r>
            <w:proofErr w:type="gramStart"/>
            <w:r>
              <w:rPr>
                <w:rFonts w:ascii="新細明體" w:eastAsia="新細明體" w:hAnsi="新細明體" w:cs="新細明體"/>
                <w:color w:val="000000"/>
                <w:lang w:eastAsia="zh-TW"/>
              </w:rPr>
              <w:t>屏蔽設施</w:t>
            </w:r>
            <w:proofErr w:type="gramEnd"/>
            <w:r>
              <w:rPr>
                <w:rFonts w:ascii="新細明體" w:eastAsia="新細明體" w:hAnsi="新細明體" w:cs="新細明體"/>
                <w:color w:val="000000"/>
                <w:lang w:eastAsia="zh-TW"/>
              </w:rPr>
              <w:t>工程開工及施工。</w:t>
            </w:r>
          </w:p>
        </w:tc>
      </w:tr>
      <w:tr w:rsidR="00BE05DA" w14:paraId="62EF9DD5" w14:textId="77777777">
        <w:trPr>
          <w:trHeight w:val="159"/>
        </w:trPr>
        <w:tc>
          <w:tcPr>
            <w:tcW w:w="750" w:type="pct"/>
            <w:vMerge/>
            <w:shd w:val="clear" w:color="FFFFFF" w:fill="FFFFFF"/>
            <w:tcMar>
              <w:top w:w="0" w:type="dxa"/>
              <w:left w:w="0" w:type="dxa"/>
              <w:bottom w:w="0" w:type="dxa"/>
              <w:right w:w="0" w:type="dxa"/>
            </w:tcMar>
          </w:tcPr>
          <w:p w14:paraId="68417B0A"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331A2013" w14:textId="77777777" w:rsidR="00A77B3E" w:rsidRDefault="0071075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物聯網</w:t>
            </w:r>
            <w:proofErr w:type="gramEnd"/>
            <w:r>
              <w:rPr>
                <w:rFonts w:ascii="新細明體" w:eastAsia="新細明體" w:hAnsi="新細明體" w:cs="新細明體"/>
                <w:color w:val="000000"/>
                <w:lang w:eastAsia="zh-TW"/>
              </w:rPr>
              <w:t>全時監控建置計畫</w:t>
            </w:r>
          </w:p>
        </w:tc>
        <w:tc>
          <w:tcPr>
            <w:tcW w:w="275" w:type="pct"/>
            <w:shd w:val="clear" w:color="FFFFFF" w:fill="FFFFFF"/>
            <w:tcMar>
              <w:top w:w="0" w:type="dxa"/>
              <w:left w:w="0" w:type="dxa"/>
              <w:bottom w:w="0" w:type="dxa"/>
              <w:right w:w="0" w:type="dxa"/>
            </w:tcMar>
          </w:tcPr>
          <w:p w14:paraId="0C4D52E5"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D71D471" w14:textId="77777777" w:rsidR="00A77B3E" w:rsidRDefault="0071075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運用物聯監控</w:t>
            </w:r>
            <w:proofErr w:type="gramEnd"/>
            <w:r>
              <w:rPr>
                <w:rFonts w:ascii="新細明體" w:eastAsia="新細明體" w:hAnsi="新細明體" w:cs="新細明體"/>
                <w:color w:val="000000"/>
                <w:lang w:eastAsia="zh-TW"/>
              </w:rPr>
              <w:t>網絡，發展貨櫃移動監管機制，計畫期程自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roofErr w:type="gramStart"/>
            <w:r>
              <w:rPr>
                <w:rFonts w:ascii="新細明體" w:eastAsia="新細明體" w:hAnsi="新細明體" w:cs="新細明體"/>
                <w:color w:val="000000"/>
                <w:lang w:eastAsia="zh-TW"/>
              </w:rPr>
              <w:t>建置物聯網</w:t>
            </w:r>
            <w:proofErr w:type="gramEnd"/>
            <w:r>
              <w:rPr>
                <w:rFonts w:ascii="新細明體" w:eastAsia="新細明體" w:hAnsi="新細明體" w:cs="新細明體"/>
                <w:color w:val="000000"/>
                <w:lang w:eastAsia="zh-TW"/>
              </w:rPr>
              <w:t>全時監控智慧分析平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、建構人工智慧緝私系統及建立業者及相關機關加值服務。</w:t>
            </w:r>
          </w:p>
        </w:tc>
      </w:tr>
      <w:tr w:rsidR="00BE05DA" w14:paraId="1BEFF2D7" w14:textId="77777777">
        <w:trPr>
          <w:trHeight w:val="159"/>
        </w:trPr>
        <w:tc>
          <w:tcPr>
            <w:tcW w:w="750" w:type="pct"/>
            <w:vMerge/>
            <w:shd w:val="clear" w:color="FFFFFF" w:fill="FFFFFF"/>
            <w:tcMar>
              <w:top w:w="0" w:type="dxa"/>
              <w:left w:w="0" w:type="dxa"/>
              <w:bottom w:w="0" w:type="dxa"/>
              <w:right w:w="0" w:type="dxa"/>
            </w:tcMar>
          </w:tcPr>
          <w:p w14:paraId="1D86E9B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5BC0FC8D" w14:textId="77777777" w:rsidR="00A77B3E" w:rsidRDefault="0071075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臺北港儀檢站</w:t>
            </w:r>
            <w:proofErr w:type="gramEnd"/>
            <w:r>
              <w:rPr>
                <w:rFonts w:ascii="新細明體" w:eastAsia="新細明體" w:hAnsi="新細明體" w:cs="新細明體"/>
                <w:color w:val="000000"/>
                <w:lang w:eastAsia="zh-TW"/>
              </w:rPr>
              <w:t>軌道式貨櫃檢查儀建置計畫</w:t>
            </w:r>
          </w:p>
        </w:tc>
        <w:tc>
          <w:tcPr>
            <w:tcW w:w="275" w:type="pct"/>
            <w:shd w:val="clear" w:color="FFFFFF" w:fill="FFFFFF"/>
            <w:tcMar>
              <w:top w:w="0" w:type="dxa"/>
              <w:left w:w="0" w:type="dxa"/>
              <w:bottom w:w="0" w:type="dxa"/>
              <w:right w:w="0" w:type="dxa"/>
            </w:tcMar>
          </w:tcPr>
          <w:p w14:paraId="15A59CB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D79FD1D"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於基隆關</w:t>
            </w:r>
            <w:proofErr w:type="gramStart"/>
            <w:r>
              <w:rPr>
                <w:rFonts w:ascii="新細明體" w:eastAsia="新細明體" w:hAnsi="新細明體" w:cs="新細明體"/>
                <w:color w:val="000000"/>
                <w:lang w:eastAsia="zh-TW"/>
              </w:rPr>
              <w:t>臺北港儀檢站</w:t>
            </w:r>
            <w:proofErr w:type="gramEnd"/>
            <w:r>
              <w:rPr>
                <w:rFonts w:ascii="新細明體" w:eastAsia="新細明體" w:hAnsi="新細明體" w:cs="新細明體"/>
                <w:color w:val="000000"/>
                <w:lang w:eastAsia="zh-TW"/>
              </w:rPr>
              <w:t>建置固定軌道式貨櫃檢查儀，計畫期程自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年度預定辦理工作項目：完成附屬工程規劃、設計及建造執照申請，並進行附屬工程施工。</w:t>
            </w:r>
          </w:p>
        </w:tc>
      </w:tr>
      <w:tr w:rsidR="00BE05DA" w14:paraId="09E46880" w14:textId="77777777">
        <w:trPr>
          <w:trHeight w:val="159"/>
        </w:trPr>
        <w:tc>
          <w:tcPr>
            <w:tcW w:w="750" w:type="pct"/>
            <w:vMerge/>
            <w:shd w:val="clear" w:color="FFFFFF" w:fill="FFFFFF"/>
            <w:tcMar>
              <w:top w:w="0" w:type="dxa"/>
              <w:left w:w="0" w:type="dxa"/>
              <w:bottom w:w="0" w:type="dxa"/>
              <w:right w:w="0" w:type="dxa"/>
            </w:tcMar>
          </w:tcPr>
          <w:p w14:paraId="5F43E983"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4B622466"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第二貨櫃中心儀檢站軌道式貨櫃檢查儀建置計畫</w:t>
            </w:r>
          </w:p>
        </w:tc>
        <w:tc>
          <w:tcPr>
            <w:tcW w:w="275" w:type="pct"/>
            <w:shd w:val="clear" w:color="FFFFFF" w:fill="FFFFFF"/>
            <w:tcMar>
              <w:top w:w="0" w:type="dxa"/>
              <w:left w:w="0" w:type="dxa"/>
              <w:bottom w:w="0" w:type="dxa"/>
              <w:right w:w="0" w:type="dxa"/>
            </w:tcMar>
          </w:tcPr>
          <w:p w14:paraId="0F1B46C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4772573"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中關第二貨櫃中心儀檢站軌道式貨櫃檢查儀，計畫期程自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年度預定辦理工作項目：協調租用替代場地及簽約，並辦理委託學術或專業機構專業服務、附屬工程委託專案管理及監造之技術服務採購招標、軌道式貨櫃檢查儀及附屬工程採購招標。</w:t>
            </w:r>
          </w:p>
        </w:tc>
      </w:tr>
      <w:tr w:rsidR="00BE05DA" w14:paraId="45978CE4" w14:textId="77777777">
        <w:trPr>
          <w:trHeight w:val="159"/>
        </w:trPr>
        <w:tc>
          <w:tcPr>
            <w:tcW w:w="750" w:type="pct"/>
            <w:vMerge/>
            <w:shd w:val="clear" w:color="FFFFFF" w:fill="FFFFFF"/>
            <w:tcMar>
              <w:top w:w="0" w:type="dxa"/>
              <w:left w:w="0" w:type="dxa"/>
              <w:bottom w:w="0" w:type="dxa"/>
              <w:right w:w="0" w:type="dxa"/>
            </w:tcMar>
          </w:tcPr>
          <w:p w14:paraId="1A89A110"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2CF49CE2"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精進人工智慧選案作業</w:t>
            </w:r>
          </w:p>
        </w:tc>
        <w:tc>
          <w:tcPr>
            <w:tcW w:w="275" w:type="pct"/>
            <w:shd w:val="clear" w:color="FFFFFF" w:fill="FFFFFF"/>
            <w:tcMar>
              <w:top w:w="0" w:type="dxa"/>
              <w:left w:w="0" w:type="dxa"/>
              <w:bottom w:w="0" w:type="dxa"/>
              <w:right w:w="0" w:type="dxa"/>
            </w:tcMar>
          </w:tcPr>
          <w:p w14:paraId="3F335B2D"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03D955B"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優化海關事後稽核人工智慧選案系統，精進完稅價格分析品質，提升事後稽核選案效能。</w:t>
            </w:r>
          </w:p>
        </w:tc>
      </w:tr>
      <w:tr w:rsidR="00BE05DA" w14:paraId="2857970B" w14:textId="77777777">
        <w:trPr>
          <w:trHeight w:val="159"/>
        </w:trPr>
        <w:tc>
          <w:tcPr>
            <w:tcW w:w="750" w:type="pct"/>
            <w:vMerge/>
            <w:shd w:val="clear" w:color="FFFFFF" w:fill="FFFFFF"/>
            <w:tcMar>
              <w:top w:w="0" w:type="dxa"/>
              <w:left w:w="0" w:type="dxa"/>
              <w:bottom w:w="0" w:type="dxa"/>
              <w:right w:w="0" w:type="dxa"/>
            </w:tcMar>
          </w:tcPr>
          <w:p w14:paraId="6204CF9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關稅業務</w:t>
            </w:r>
            <w:proofErr w:type="spellEnd"/>
          </w:p>
        </w:tc>
        <w:tc>
          <w:tcPr>
            <w:tcW w:w="750" w:type="pct"/>
            <w:shd w:val="clear" w:color="FFFFFF" w:fill="FFFFFF"/>
            <w:tcMar>
              <w:top w:w="0" w:type="dxa"/>
              <w:left w:w="0" w:type="dxa"/>
              <w:bottom w:w="0" w:type="dxa"/>
              <w:right w:w="0" w:type="dxa"/>
            </w:tcMar>
          </w:tcPr>
          <w:p w14:paraId="6D9C6F47"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雲世代智慧海關計畫</w:t>
            </w:r>
            <w:proofErr w:type="spellEnd"/>
          </w:p>
        </w:tc>
        <w:tc>
          <w:tcPr>
            <w:tcW w:w="275" w:type="pct"/>
            <w:shd w:val="clear" w:color="FFFFFF" w:fill="FFFFFF"/>
            <w:tcMar>
              <w:top w:w="0" w:type="dxa"/>
              <w:left w:w="0" w:type="dxa"/>
              <w:bottom w:w="0" w:type="dxa"/>
              <w:right w:w="0" w:type="dxa"/>
            </w:tcMar>
          </w:tcPr>
          <w:p w14:paraId="2565E311"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0C4C8C9"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運用政府公有雲資源發展便民服務，計畫期程自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年度預定辦理工作項目：建置稅則資料檢索系統、</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續開發AI應用模型及專業人員培訓、部署資料加值服務及跨機關車輛資訊服務網至公有雲，並</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續辦理公有雲租用及強化雲端設施</w:t>
            </w:r>
            <w:proofErr w:type="gramStart"/>
            <w:r>
              <w:rPr>
                <w:rFonts w:ascii="新細明體" w:eastAsia="新細明體" w:hAnsi="新細明體" w:cs="新細明體"/>
                <w:color w:val="000000"/>
                <w:lang w:eastAsia="zh-TW"/>
              </w:rPr>
              <w:t>及資安防護</w:t>
            </w:r>
            <w:proofErr w:type="gramEnd"/>
            <w:r>
              <w:rPr>
                <w:rFonts w:ascii="新細明體" w:eastAsia="新細明體" w:hAnsi="新細明體" w:cs="新細明體"/>
                <w:color w:val="000000"/>
                <w:lang w:eastAsia="zh-TW"/>
              </w:rPr>
              <w:t>。</w:t>
            </w:r>
          </w:p>
        </w:tc>
      </w:tr>
      <w:tr w:rsidR="00BE05DA" w14:paraId="35D133EF" w14:textId="77777777">
        <w:trPr>
          <w:trHeight w:val="159"/>
        </w:trPr>
        <w:tc>
          <w:tcPr>
            <w:tcW w:w="750" w:type="pct"/>
            <w:vMerge w:val="restart"/>
            <w:shd w:val="clear" w:color="FFFFFF" w:fill="FFFFFF"/>
            <w:tcMar>
              <w:top w:w="0" w:type="dxa"/>
              <w:left w:w="0" w:type="dxa"/>
              <w:bottom w:w="0" w:type="dxa"/>
              <w:right w:w="0" w:type="dxa"/>
            </w:tcMar>
          </w:tcPr>
          <w:p w14:paraId="434A5A89"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168015EF"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接管國有非公用不動產</w:t>
            </w:r>
          </w:p>
        </w:tc>
        <w:tc>
          <w:tcPr>
            <w:tcW w:w="275" w:type="pct"/>
            <w:shd w:val="clear" w:color="FFFFFF" w:fill="FFFFFF"/>
            <w:tcMar>
              <w:top w:w="0" w:type="dxa"/>
              <w:left w:w="0" w:type="dxa"/>
              <w:bottom w:w="0" w:type="dxa"/>
              <w:right w:w="0" w:type="dxa"/>
            </w:tcMar>
          </w:tcPr>
          <w:p w14:paraId="4AD63556"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6C8F0F9"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接管各機關移交國有非公用不動產，或依法歸屬國有登記之不動產，含新辦登記（自行申辦或地政機關</w:t>
            </w:r>
            <w:proofErr w:type="gramStart"/>
            <w:r>
              <w:rPr>
                <w:rFonts w:ascii="新細明體" w:eastAsia="新細明體" w:hAnsi="新細明體" w:cs="新細明體"/>
                <w:color w:val="000000"/>
                <w:lang w:eastAsia="zh-TW"/>
              </w:rPr>
              <w:t>逕</w:t>
            </w:r>
            <w:proofErr w:type="gramEnd"/>
            <w:r>
              <w:rPr>
                <w:rFonts w:ascii="新細明體" w:eastAsia="新細明體" w:hAnsi="新細明體" w:cs="新細明體"/>
                <w:color w:val="000000"/>
                <w:lang w:eastAsia="zh-TW"/>
              </w:rPr>
              <w:t>為登記）、民眾抵稅、拋棄、捐贈、無人承認繼承收歸國有、各機關經管申辦變更為非公用財產等。</w:t>
            </w:r>
          </w:p>
        </w:tc>
      </w:tr>
      <w:tr w:rsidR="00BE05DA" w14:paraId="4D9E8D44" w14:textId="77777777">
        <w:trPr>
          <w:trHeight w:val="159"/>
        </w:trPr>
        <w:tc>
          <w:tcPr>
            <w:tcW w:w="750" w:type="pct"/>
            <w:vMerge/>
            <w:shd w:val="clear" w:color="FFFFFF" w:fill="FFFFFF"/>
            <w:tcMar>
              <w:top w:w="0" w:type="dxa"/>
              <w:left w:w="0" w:type="dxa"/>
              <w:bottom w:w="0" w:type="dxa"/>
              <w:right w:w="0" w:type="dxa"/>
            </w:tcMar>
          </w:tcPr>
          <w:p w14:paraId="35C2297F"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74BEC686"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配合各級政府機關公務或公共建設提供需用國有不動產</w:t>
            </w:r>
          </w:p>
        </w:tc>
        <w:tc>
          <w:tcPr>
            <w:tcW w:w="275" w:type="pct"/>
            <w:shd w:val="clear" w:color="FFFFFF" w:fill="FFFFFF"/>
            <w:tcMar>
              <w:top w:w="0" w:type="dxa"/>
              <w:left w:w="0" w:type="dxa"/>
              <w:bottom w:w="0" w:type="dxa"/>
              <w:right w:w="0" w:type="dxa"/>
            </w:tcMar>
          </w:tcPr>
          <w:p w14:paraId="55D2F744"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964DDD2"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配合國家重大政策（如長照等）及各級政府機關推動公務或公共建設，提供需用國有不動產，促進國家發展。</w:t>
            </w:r>
          </w:p>
        </w:tc>
      </w:tr>
      <w:tr w:rsidR="00BE05DA" w14:paraId="32A574DD" w14:textId="77777777">
        <w:trPr>
          <w:trHeight w:val="159"/>
        </w:trPr>
        <w:tc>
          <w:tcPr>
            <w:tcW w:w="750" w:type="pct"/>
            <w:vMerge/>
            <w:shd w:val="clear" w:color="FFFFFF" w:fill="FFFFFF"/>
            <w:tcMar>
              <w:top w:w="0" w:type="dxa"/>
              <w:left w:w="0" w:type="dxa"/>
              <w:bottom w:w="0" w:type="dxa"/>
              <w:right w:w="0" w:type="dxa"/>
            </w:tcMar>
          </w:tcPr>
          <w:p w14:paraId="569E4A96"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11A03104"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以出租、招標設定地上權、改良利用等方式活化利用國有土地</w:t>
            </w:r>
          </w:p>
        </w:tc>
        <w:tc>
          <w:tcPr>
            <w:tcW w:w="275" w:type="pct"/>
            <w:shd w:val="clear" w:color="FFFFFF" w:fill="FFFFFF"/>
            <w:tcMar>
              <w:top w:w="0" w:type="dxa"/>
              <w:left w:w="0" w:type="dxa"/>
              <w:bottom w:w="0" w:type="dxa"/>
              <w:right w:w="0" w:type="dxa"/>
            </w:tcMar>
          </w:tcPr>
          <w:p w14:paraId="498515BC"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19F9861"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國有土地除保育、公用優先外，配合都市發展需求及政府推動再生能源發展、興辦社會住宅及長照社會福利等政策，以出租（含標租）、招標設定地上權、改良利用等多元方式活化利用，吸引民間投資，發揮</w:t>
            </w:r>
            <w:proofErr w:type="gramStart"/>
            <w:r>
              <w:rPr>
                <w:rFonts w:ascii="新細明體" w:eastAsia="新細明體" w:hAnsi="新細明體" w:cs="新細明體"/>
                <w:color w:val="000000"/>
                <w:lang w:eastAsia="zh-TW"/>
              </w:rPr>
              <w:t>支援綠能</w:t>
            </w:r>
            <w:proofErr w:type="gramEnd"/>
            <w:r>
              <w:rPr>
                <w:rFonts w:ascii="新細明體" w:eastAsia="新細明體" w:hAnsi="新細明體" w:cs="新細明體"/>
                <w:color w:val="000000"/>
                <w:lang w:eastAsia="zh-TW"/>
              </w:rPr>
              <w:t>、社福產業及活絡經濟功能，提升整體社經動能，增加國庫收益。</w:t>
            </w:r>
          </w:p>
        </w:tc>
      </w:tr>
      <w:tr w:rsidR="00BE05DA" w14:paraId="1E6DEC3D" w14:textId="77777777">
        <w:trPr>
          <w:trHeight w:val="159"/>
        </w:trPr>
        <w:tc>
          <w:tcPr>
            <w:tcW w:w="750" w:type="pct"/>
            <w:vMerge/>
            <w:shd w:val="clear" w:color="FFFFFF" w:fill="FFFFFF"/>
            <w:tcMar>
              <w:top w:w="0" w:type="dxa"/>
              <w:left w:w="0" w:type="dxa"/>
              <w:bottom w:w="0" w:type="dxa"/>
              <w:right w:w="0" w:type="dxa"/>
            </w:tcMar>
          </w:tcPr>
          <w:p w14:paraId="108121E6"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44FE1F57"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被占用國有非公用不動產加強清理第二期計畫</w:t>
            </w:r>
          </w:p>
        </w:tc>
        <w:tc>
          <w:tcPr>
            <w:tcW w:w="275" w:type="pct"/>
            <w:shd w:val="clear" w:color="FFFFFF" w:fill="FFFFFF"/>
            <w:tcMar>
              <w:top w:w="0" w:type="dxa"/>
              <w:left w:w="0" w:type="dxa"/>
              <w:bottom w:w="0" w:type="dxa"/>
              <w:right w:w="0" w:type="dxa"/>
            </w:tcMar>
          </w:tcPr>
          <w:p w14:paraId="64051B94"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2FFE7D7"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年度預定辦理工作項目：辦理清查確認現況，</w:t>
            </w:r>
            <w:proofErr w:type="gramStart"/>
            <w:r>
              <w:rPr>
                <w:rFonts w:ascii="新細明體" w:eastAsia="新細明體" w:hAnsi="新細明體" w:cs="新細明體"/>
                <w:color w:val="000000"/>
                <w:lang w:eastAsia="zh-TW"/>
              </w:rPr>
              <w:t>確屬占用</w:t>
            </w:r>
            <w:proofErr w:type="gramEnd"/>
            <w:r>
              <w:rPr>
                <w:rFonts w:ascii="新細明體" w:eastAsia="新細明體" w:hAnsi="新細明體" w:cs="新細明體"/>
                <w:color w:val="000000"/>
                <w:lang w:eastAsia="zh-TW"/>
              </w:rPr>
              <w:t>者，以訴訟、結合公權力機關強制排除等方式，優先處理大面積、高價值及涉國土保安之占用，以遏止占用歪風、實現公平正義，收回之土地可多元運用，提高效益。</w:t>
            </w:r>
          </w:p>
        </w:tc>
      </w:tr>
      <w:tr w:rsidR="00BE05DA" w14:paraId="78E564B0" w14:textId="77777777">
        <w:trPr>
          <w:trHeight w:val="159"/>
        </w:trPr>
        <w:tc>
          <w:tcPr>
            <w:tcW w:w="750" w:type="pct"/>
            <w:vMerge/>
            <w:shd w:val="clear" w:color="FFFFFF" w:fill="FFFFFF"/>
            <w:tcMar>
              <w:top w:w="0" w:type="dxa"/>
              <w:left w:w="0" w:type="dxa"/>
              <w:bottom w:w="0" w:type="dxa"/>
              <w:right w:w="0" w:type="dxa"/>
            </w:tcMar>
          </w:tcPr>
          <w:p w14:paraId="7A0C9E6C"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51269343"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清潔維護國有非公用海岸土地及各目的事</w:t>
            </w:r>
            <w:r>
              <w:rPr>
                <w:rFonts w:ascii="新細明體" w:eastAsia="新細明體" w:hAnsi="新細明體" w:cs="新細明體"/>
                <w:color w:val="000000"/>
                <w:lang w:eastAsia="zh-TW"/>
              </w:rPr>
              <w:lastRenderedPageBreak/>
              <w:t>業主管機關劃設管理範圍外之未登錄海岸土地</w:t>
            </w:r>
          </w:p>
        </w:tc>
        <w:tc>
          <w:tcPr>
            <w:tcW w:w="275" w:type="pct"/>
            <w:shd w:val="clear" w:color="FFFFFF" w:fill="FFFFFF"/>
            <w:tcMar>
              <w:top w:w="0" w:type="dxa"/>
              <w:left w:w="0" w:type="dxa"/>
              <w:bottom w:w="0" w:type="dxa"/>
              <w:right w:w="0" w:type="dxa"/>
            </w:tcMar>
          </w:tcPr>
          <w:p w14:paraId="4FEC5F42"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3A0F52B9"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依行政院環境保護署提報行政院核定之「向海致敬－海岸清潔維護計畫（109年～112年）」，辦理</w:t>
            </w:r>
            <w:proofErr w:type="gramStart"/>
            <w:r>
              <w:rPr>
                <w:rFonts w:ascii="新細明體" w:eastAsia="新細明體" w:hAnsi="新細明體" w:cs="新細明體"/>
                <w:color w:val="000000"/>
                <w:lang w:eastAsia="zh-TW"/>
              </w:rPr>
              <w:t>定點巡管清理</w:t>
            </w:r>
            <w:proofErr w:type="gramEnd"/>
            <w:r>
              <w:rPr>
                <w:rFonts w:ascii="新細明體" w:eastAsia="新細明體" w:hAnsi="新細明體" w:cs="新細明體"/>
                <w:color w:val="000000"/>
                <w:lang w:eastAsia="zh-TW"/>
              </w:rPr>
              <w:t>、重點機動清理、協調機關統籌清理、主動媒合認養意願及加強宣導</w:t>
            </w:r>
            <w:r>
              <w:rPr>
                <w:rFonts w:ascii="新細明體" w:eastAsia="新細明體" w:hAnsi="新細明體" w:cs="新細明體"/>
                <w:color w:val="000000"/>
                <w:lang w:eastAsia="zh-TW"/>
              </w:rPr>
              <w:lastRenderedPageBreak/>
              <w:t>源頭管理5項工作，清理海岸線國有非公用土地及各目的事業主管機關劃設管理範圍以外之未登錄土地，並藉由宣導廢棄物正確去化回收再利用管道，由源頭減量避免流入河川、海洋，造成海岸環境髒亂，增加清理負擔。</w:t>
            </w:r>
          </w:p>
        </w:tc>
      </w:tr>
      <w:tr w:rsidR="00BE05DA" w14:paraId="5CEE91A5" w14:textId="77777777">
        <w:trPr>
          <w:trHeight w:val="159"/>
        </w:trPr>
        <w:tc>
          <w:tcPr>
            <w:tcW w:w="750" w:type="pct"/>
            <w:vMerge/>
            <w:shd w:val="clear" w:color="FFFFFF" w:fill="FFFFFF"/>
            <w:tcMar>
              <w:top w:w="0" w:type="dxa"/>
              <w:left w:w="0" w:type="dxa"/>
              <w:bottom w:w="0" w:type="dxa"/>
              <w:right w:w="0" w:type="dxa"/>
            </w:tcMar>
          </w:tcPr>
          <w:p w14:paraId="135499D8"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國有財產業務</w:t>
            </w:r>
            <w:proofErr w:type="spellEnd"/>
          </w:p>
        </w:tc>
        <w:tc>
          <w:tcPr>
            <w:tcW w:w="750" w:type="pct"/>
            <w:shd w:val="clear" w:color="FFFFFF" w:fill="FFFFFF"/>
            <w:tcMar>
              <w:top w:w="0" w:type="dxa"/>
              <w:left w:w="0" w:type="dxa"/>
              <w:bottom w:w="0" w:type="dxa"/>
              <w:right w:w="0" w:type="dxa"/>
            </w:tcMar>
          </w:tcPr>
          <w:p w14:paraId="2F9EA825"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國有非公用文化資產修復及管理維護計畫</w:t>
            </w:r>
          </w:p>
        </w:tc>
        <w:tc>
          <w:tcPr>
            <w:tcW w:w="275" w:type="pct"/>
            <w:shd w:val="clear" w:color="FFFFFF" w:fill="FFFFFF"/>
            <w:tcMar>
              <w:top w:w="0" w:type="dxa"/>
              <w:left w:w="0" w:type="dxa"/>
              <w:bottom w:w="0" w:type="dxa"/>
              <w:right w:w="0" w:type="dxa"/>
            </w:tcMar>
          </w:tcPr>
          <w:p w14:paraId="74A56184"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79AE923"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辦理17處文化資產修復再利用及管理維護，及其餘文化資產通案例行保存維護（如例行修繕、維護、清潔、巡查等），計畫期程自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年度預定辦理工作項目：完成1處文化資產修復再利用計畫（調查研究）、1處文化資產修復工程及1處文化資產管理維護計畫。</w:t>
            </w:r>
          </w:p>
        </w:tc>
      </w:tr>
      <w:tr w:rsidR="00BE05DA" w14:paraId="6404924B" w14:textId="77777777">
        <w:trPr>
          <w:trHeight w:val="159"/>
        </w:trPr>
        <w:tc>
          <w:tcPr>
            <w:tcW w:w="750" w:type="pct"/>
            <w:vMerge/>
            <w:shd w:val="clear" w:color="FFFFFF" w:fill="FFFFFF"/>
            <w:tcMar>
              <w:top w:w="0" w:type="dxa"/>
              <w:left w:w="0" w:type="dxa"/>
              <w:bottom w:w="0" w:type="dxa"/>
              <w:right w:w="0" w:type="dxa"/>
            </w:tcMar>
          </w:tcPr>
          <w:p w14:paraId="47564E0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54FCD370"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國有非公用不動產環境清理維護暨登革熱高風險場域巡查管理計畫</w:t>
            </w:r>
          </w:p>
        </w:tc>
        <w:tc>
          <w:tcPr>
            <w:tcW w:w="275" w:type="pct"/>
            <w:shd w:val="clear" w:color="FFFFFF" w:fill="FFFFFF"/>
            <w:tcMar>
              <w:top w:w="0" w:type="dxa"/>
              <w:left w:w="0" w:type="dxa"/>
              <w:bottom w:w="0" w:type="dxa"/>
              <w:right w:w="0" w:type="dxa"/>
            </w:tcMar>
          </w:tcPr>
          <w:p w14:paraId="0248488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A143366"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116</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年度預定辦理工作項目：提高登革熱高風險場</w:t>
            </w:r>
            <w:proofErr w:type="gramStart"/>
            <w:r>
              <w:rPr>
                <w:rFonts w:ascii="新細明體" w:eastAsia="新細明體" w:hAnsi="新細明體" w:cs="新細明體"/>
                <w:color w:val="000000"/>
                <w:lang w:eastAsia="zh-TW"/>
              </w:rPr>
              <w:t>域巡管</w:t>
            </w:r>
            <w:proofErr w:type="gramEnd"/>
            <w:r>
              <w:rPr>
                <w:rFonts w:ascii="新細明體" w:eastAsia="新細明體" w:hAnsi="新細明體" w:cs="新細明體"/>
                <w:color w:val="000000"/>
                <w:lang w:eastAsia="zh-TW"/>
              </w:rPr>
              <w:t>頻率、加強國有非公用空屋及空地環境清理，降低登革熱</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情流行機率，提高管理效能，並改善地方市容觀瞻，創造優質鄰里生活環境。</w:t>
            </w:r>
          </w:p>
        </w:tc>
      </w:tr>
      <w:tr w:rsidR="00BE05DA" w14:paraId="5A647B3B" w14:textId="77777777">
        <w:trPr>
          <w:trHeight w:val="159"/>
        </w:trPr>
        <w:tc>
          <w:tcPr>
            <w:tcW w:w="750" w:type="pct"/>
            <w:vMerge/>
            <w:shd w:val="clear" w:color="FFFFFF" w:fill="FFFFFF"/>
            <w:tcMar>
              <w:top w:w="0" w:type="dxa"/>
              <w:left w:w="0" w:type="dxa"/>
              <w:bottom w:w="0" w:type="dxa"/>
              <w:right w:w="0" w:type="dxa"/>
            </w:tcMar>
          </w:tcPr>
          <w:p w14:paraId="1E6D279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國有財產業務</w:t>
            </w:r>
            <w:proofErr w:type="spellEnd"/>
          </w:p>
        </w:tc>
        <w:tc>
          <w:tcPr>
            <w:tcW w:w="750" w:type="pct"/>
            <w:shd w:val="clear" w:color="FFFFFF" w:fill="FFFFFF"/>
            <w:tcMar>
              <w:top w:w="0" w:type="dxa"/>
              <w:left w:w="0" w:type="dxa"/>
              <w:bottom w:w="0" w:type="dxa"/>
              <w:right w:w="0" w:type="dxa"/>
            </w:tcMar>
          </w:tcPr>
          <w:p w14:paraId="5C952F6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財政部國有財產署辦公廳舍取得案</w:t>
            </w:r>
          </w:p>
        </w:tc>
        <w:tc>
          <w:tcPr>
            <w:tcW w:w="275" w:type="pct"/>
            <w:shd w:val="clear" w:color="FFFFFF" w:fill="FFFFFF"/>
            <w:tcMar>
              <w:top w:w="0" w:type="dxa"/>
              <w:left w:w="0" w:type="dxa"/>
              <w:bottom w:w="0" w:type="dxa"/>
              <w:right w:w="0" w:type="dxa"/>
            </w:tcMar>
          </w:tcPr>
          <w:p w14:paraId="6248C1A2"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C3952AC"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一、提供國有土地，引進民間廠商資金興建辦公廳舍；搭配提供其他國有土地供其興建、營運自有建物，收取國有土地使用權權利金及土地租金。</w:t>
            </w:r>
          </w:p>
          <w:p w14:paraId="5E255CC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年度預定辦理工作項目：搬遷至中繼辦公室、取得建造執照、申請候選綠建築證書及候選智慧建築證書、細部設計、施工、專案管理等。</w:t>
            </w:r>
          </w:p>
        </w:tc>
      </w:tr>
      <w:tr w:rsidR="00BE05DA" w14:paraId="63EDF7E0" w14:textId="77777777">
        <w:trPr>
          <w:trHeight w:val="159"/>
        </w:trPr>
        <w:tc>
          <w:tcPr>
            <w:tcW w:w="750" w:type="pct"/>
            <w:vMerge w:val="restart"/>
            <w:shd w:val="clear" w:color="FFFFFF" w:fill="FFFFFF"/>
            <w:tcMar>
              <w:top w:w="0" w:type="dxa"/>
              <w:left w:w="0" w:type="dxa"/>
              <w:bottom w:w="0" w:type="dxa"/>
              <w:right w:w="0" w:type="dxa"/>
            </w:tcMar>
          </w:tcPr>
          <w:p w14:paraId="5BD870D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196D7286"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稅務便民服務及資源整合計畫</w:t>
            </w:r>
          </w:p>
        </w:tc>
        <w:tc>
          <w:tcPr>
            <w:tcW w:w="275" w:type="pct"/>
            <w:shd w:val="clear" w:color="FFFFFF" w:fill="FFFFFF"/>
            <w:tcMar>
              <w:top w:w="0" w:type="dxa"/>
              <w:left w:w="0" w:type="dxa"/>
              <w:bottom w:w="0" w:type="dxa"/>
              <w:right w:w="0" w:type="dxa"/>
            </w:tcMar>
          </w:tcPr>
          <w:p w14:paraId="16CF3BAD"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73109C8"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109</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1F50FE66" w14:textId="2C285022" w:rsidR="00A77B3E" w:rsidRPr="002D26B8"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賡續維</w:t>
            </w:r>
            <w:proofErr w:type="gramEnd"/>
            <w:r w:rsidRPr="002D26B8">
              <w:rPr>
                <w:rFonts w:ascii="新細明體" w:eastAsia="新細明體" w:hAnsi="新細明體" w:cs="新細明體"/>
                <w:color w:val="000000"/>
                <w:lang w:eastAsia="zh-TW"/>
              </w:rPr>
              <w:t>運稅務</w:t>
            </w:r>
            <w:proofErr w:type="gramStart"/>
            <w:r w:rsidR="00B11240" w:rsidRPr="002D26B8">
              <w:rPr>
                <w:rFonts w:ascii="新細明體" w:eastAsia="新細明體" w:hAnsi="新細明體" w:cs="新細明體" w:hint="eastAsia"/>
                <w:color w:val="000000"/>
                <w:lang w:eastAsia="zh-TW"/>
              </w:rPr>
              <w:t>ｅ</w:t>
            </w:r>
            <w:proofErr w:type="gramEnd"/>
            <w:r w:rsidRPr="002D26B8">
              <w:rPr>
                <w:rFonts w:ascii="新細明體" w:eastAsia="新細明體" w:hAnsi="新細明體" w:cs="新細明體"/>
                <w:color w:val="000000"/>
                <w:lang w:eastAsia="zh-TW"/>
              </w:rPr>
              <w:t>網通系統及精</w:t>
            </w:r>
            <w:proofErr w:type="gramStart"/>
            <w:r w:rsidRPr="002D26B8">
              <w:rPr>
                <w:rFonts w:ascii="新細明體" w:eastAsia="新細明體" w:hAnsi="新細明體" w:cs="新細明體"/>
                <w:color w:val="000000"/>
                <w:lang w:eastAsia="zh-TW"/>
              </w:rPr>
              <w:t>進線上</w:t>
            </w:r>
            <w:proofErr w:type="gramEnd"/>
            <w:r w:rsidRPr="002D26B8">
              <w:rPr>
                <w:rFonts w:ascii="新細明體" w:eastAsia="新細明體" w:hAnsi="新細明體" w:cs="新細明體"/>
                <w:color w:val="000000"/>
                <w:lang w:eastAsia="zh-TW"/>
              </w:rPr>
              <w:t>便民服務。</w:t>
            </w:r>
          </w:p>
          <w:p w14:paraId="013C4023" w14:textId="77777777" w:rsidR="00A77B3E" w:rsidRPr="002D26B8" w:rsidRDefault="00710750">
            <w:pPr>
              <w:spacing w:line="320" w:lineRule="exact"/>
              <w:ind w:left="480" w:hanging="480"/>
              <w:jc w:val="both"/>
              <w:rPr>
                <w:rFonts w:ascii="新細明體" w:eastAsia="新細明體" w:hAnsi="新細明體" w:cs="新細明體"/>
                <w:color w:val="000000"/>
                <w:lang w:eastAsia="zh-TW"/>
              </w:rPr>
            </w:pPr>
            <w:r w:rsidRPr="002D26B8">
              <w:rPr>
                <w:rFonts w:ascii="新細明體" w:eastAsia="新細明體" w:hAnsi="新細明體" w:cs="新細明體"/>
                <w:color w:val="000000"/>
                <w:lang w:eastAsia="zh-TW"/>
              </w:rPr>
              <w:t>二、</w:t>
            </w:r>
            <w:proofErr w:type="gramStart"/>
            <w:r w:rsidRPr="002D26B8">
              <w:rPr>
                <w:rFonts w:ascii="新細明體" w:eastAsia="新細明體" w:hAnsi="新細明體" w:cs="新細明體"/>
                <w:color w:val="000000"/>
                <w:lang w:eastAsia="zh-TW"/>
              </w:rPr>
              <w:t>賡續維</w:t>
            </w:r>
            <w:proofErr w:type="gramEnd"/>
            <w:r w:rsidRPr="002D26B8">
              <w:rPr>
                <w:rFonts w:ascii="新細明體" w:eastAsia="新細明體" w:hAnsi="新細明體" w:cs="新細明體"/>
                <w:color w:val="000000"/>
                <w:lang w:eastAsia="zh-TW"/>
              </w:rPr>
              <w:t>運及導入跨機關整合共用行政資訊系統。</w:t>
            </w:r>
          </w:p>
          <w:p w14:paraId="7F753137" w14:textId="77777777" w:rsidR="00A77B3E" w:rsidRPr="002D26B8" w:rsidRDefault="00710750">
            <w:pPr>
              <w:spacing w:line="320" w:lineRule="exact"/>
              <w:ind w:left="480" w:hanging="480"/>
              <w:jc w:val="both"/>
              <w:rPr>
                <w:rFonts w:ascii="新細明體" w:eastAsia="新細明體" w:hAnsi="新細明體" w:cs="新細明體"/>
                <w:color w:val="000000"/>
                <w:lang w:eastAsia="zh-TW"/>
              </w:rPr>
            </w:pPr>
            <w:r w:rsidRPr="002D26B8">
              <w:rPr>
                <w:rFonts w:ascii="新細明體" w:eastAsia="新細明體" w:hAnsi="新細明體" w:cs="新細明體"/>
                <w:color w:val="000000"/>
                <w:lang w:eastAsia="zh-TW"/>
              </w:rPr>
              <w:t>三、辦理財政資訊中心及五區國稅局公文及檔案管理系統整合教育訓練及輔導上線。</w:t>
            </w:r>
          </w:p>
          <w:p w14:paraId="4DEDF528" w14:textId="77777777" w:rsidR="00A77B3E" w:rsidRPr="002D26B8" w:rsidRDefault="00710750">
            <w:pPr>
              <w:spacing w:line="320" w:lineRule="exact"/>
              <w:ind w:left="480" w:hanging="480"/>
              <w:jc w:val="both"/>
              <w:rPr>
                <w:rFonts w:ascii="新細明體" w:eastAsia="新細明體" w:hAnsi="新細明體" w:cs="新細明體"/>
                <w:color w:val="000000"/>
                <w:lang w:eastAsia="zh-TW"/>
              </w:rPr>
            </w:pPr>
            <w:r w:rsidRPr="002D26B8">
              <w:rPr>
                <w:rFonts w:ascii="新細明體" w:eastAsia="新細明體" w:hAnsi="新細明體" w:cs="新細明體"/>
                <w:color w:val="000000"/>
                <w:lang w:eastAsia="zh-TW"/>
              </w:rPr>
              <w:t>四、辦理財政資訊中心及五區國稅局稅務綜合輔助行政系統教育訓練及輔導上線。</w:t>
            </w:r>
          </w:p>
          <w:p w14:paraId="3CE2CD62" w14:textId="26D882FD" w:rsidR="00A77B3E" w:rsidRDefault="00710750">
            <w:pPr>
              <w:spacing w:line="320" w:lineRule="exact"/>
              <w:ind w:left="480" w:hanging="480"/>
              <w:jc w:val="both"/>
              <w:rPr>
                <w:rFonts w:ascii="新細明體" w:eastAsia="新細明體" w:hAnsi="新細明體" w:cs="新細明體"/>
                <w:color w:val="000000"/>
                <w:lang w:eastAsia="zh-TW"/>
              </w:rPr>
            </w:pPr>
            <w:r w:rsidRPr="002D26B8">
              <w:rPr>
                <w:rFonts w:ascii="新細明體" w:eastAsia="新細明體" w:hAnsi="新細明體" w:cs="新細明體"/>
                <w:color w:val="000000"/>
                <w:lang w:eastAsia="zh-TW"/>
              </w:rPr>
              <w:t>五、維運稅務</w:t>
            </w:r>
            <w:proofErr w:type="gramStart"/>
            <w:r w:rsidRPr="002D26B8">
              <w:rPr>
                <w:rFonts w:ascii="新細明體" w:eastAsia="新細明體" w:hAnsi="新細明體" w:cs="新細明體" w:hint="eastAsia"/>
                <w:color w:val="000000"/>
                <w:lang w:eastAsia="zh-TW"/>
              </w:rPr>
              <w:t>ｅ</w:t>
            </w:r>
            <w:proofErr w:type="gramEnd"/>
            <w:r w:rsidRPr="002D26B8">
              <w:rPr>
                <w:rFonts w:ascii="新細明體" w:eastAsia="新細明體" w:hAnsi="新細明體" w:cs="新細明體"/>
                <w:color w:val="000000"/>
                <w:lang w:eastAsia="zh-TW"/>
              </w:rPr>
              <w:t>網通系統及</w:t>
            </w:r>
            <w:r>
              <w:rPr>
                <w:rFonts w:ascii="新細明體" w:eastAsia="新細明體" w:hAnsi="新細明體" w:cs="新細明體"/>
                <w:color w:val="000000"/>
                <w:lang w:eastAsia="zh-TW"/>
              </w:rPr>
              <w:t>稅務綜合輔助行政系統</w:t>
            </w:r>
            <w:proofErr w:type="gramStart"/>
            <w:r>
              <w:rPr>
                <w:rFonts w:ascii="新細明體" w:eastAsia="新細明體" w:hAnsi="新細明體" w:cs="新細明體"/>
                <w:color w:val="000000"/>
                <w:lang w:eastAsia="zh-TW"/>
              </w:rPr>
              <w:t>環境資安</w:t>
            </w:r>
            <w:proofErr w:type="gramEnd"/>
            <w:r>
              <w:rPr>
                <w:rFonts w:ascii="新細明體" w:eastAsia="新細明體" w:hAnsi="新細明體" w:cs="新細明體"/>
                <w:color w:val="000000"/>
                <w:lang w:eastAsia="zh-TW"/>
              </w:rPr>
              <w:t>。</w:t>
            </w:r>
          </w:p>
        </w:tc>
      </w:tr>
      <w:tr w:rsidR="00BE05DA" w14:paraId="7917E163" w14:textId="77777777">
        <w:trPr>
          <w:trHeight w:val="159"/>
        </w:trPr>
        <w:tc>
          <w:tcPr>
            <w:tcW w:w="750" w:type="pct"/>
            <w:vMerge/>
            <w:shd w:val="clear" w:color="FFFFFF" w:fill="FFFFFF"/>
            <w:tcMar>
              <w:top w:w="0" w:type="dxa"/>
              <w:left w:w="0" w:type="dxa"/>
              <w:bottom w:w="0" w:type="dxa"/>
              <w:right w:w="0" w:type="dxa"/>
            </w:tcMar>
          </w:tcPr>
          <w:p w14:paraId="3B4B2CF5"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4E089203"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稅務雲世代雲端基礎建設計畫</w:t>
            </w:r>
          </w:p>
        </w:tc>
        <w:tc>
          <w:tcPr>
            <w:tcW w:w="275" w:type="pct"/>
            <w:shd w:val="clear" w:color="FFFFFF" w:fill="FFFFFF"/>
            <w:tcMar>
              <w:top w:w="0" w:type="dxa"/>
              <w:left w:w="0" w:type="dxa"/>
              <w:bottom w:w="0" w:type="dxa"/>
              <w:right w:w="0" w:type="dxa"/>
            </w:tcMar>
          </w:tcPr>
          <w:p w14:paraId="39D66338"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0A924EC"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23FA59D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一、運用公有雲基礎設施，導入消費通路雲端發票微服務，將多元載具之發票查詢相關API服務，及開放資料加值應用相關統計結果與開放主題等作業移至公有雲運作，提升服務之高可用性及擴充能力。</w:t>
            </w:r>
          </w:p>
          <w:p w14:paraId="56543F9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二、透過公有雲端環境，推動稅務好幫手雲端服務，篩選重要為民服務且符合雲端化特性者，</w:t>
            </w:r>
            <w:proofErr w:type="gramStart"/>
            <w:r>
              <w:rPr>
                <w:rFonts w:ascii="新細明體" w:eastAsia="新細明體" w:hAnsi="新細明體" w:cs="新細明體"/>
                <w:color w:val="000000"/>
                <w:lang w:eastAsia="zh-TW"/>
              </w:rPr>
              <w:t>如稅籍</w:t>
            </w:r>
            <w:proofErr w:type="gramEnd"/>
            <w:r>
              <w:rPr>
                <w:rFonts w:ascii="新細明體" w:eastAsia="新細明體" w:hAnsi="新細明體" w:cs="新細明體"/>
                <w:color w:val="000000"/>
                <w:lang w:eastAsia="zh-TW"/>
              </w:rPr>
              <w:t>資訊雲端查詢、試算API、雲端列印繳款書及中獎發票查詢等作業，優先導入公有雲運作，以更少資源提供更高品質服務，提升政府服務效能與整體服務滿意度。</w:t>
            </w:r>
          </w:p>
        </w:tc>
      </w:tr>
      <w:tr w:rsidR="00BE05DA" w14:paraId="62A9BF21" w14:textId="77777777">
        <w:trPr>
          <w:trHeight w:val="159"/>
        </w:trPr>
        <w:tc>
          <w:tcPr>
            <w:tcW w:w="750" w:type="pct"/>
            <w:vMerge/>
            <w:shd w:val="clear" w:color="FFFFFF" w:fill="FFFFFF"/>
            <w:tcMar>
              <w:top w:w="0" w:type="dxa"/>
              <w:left w:w="0" w:type="dxa"/>
              <w:bottom w:w="0" w:type="dxa"/>
              <w:right w:w="0" w:type="dxa"/>
            </w:tcMar>
          </w:tcPr>
          <w:p w14:paraId="242E7DE4"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26A04F1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稅務暨戶政大數據資料加值運用計畫</w:t>
            </w:r>
          </w:p>
        </w:tc>
        <w:tc>
          <w:tcPr>
            <w:tcW w:w="275" w:type="pct"/>
            <w:shd w:val="clear" w:color="FFFFFF" w:fill="FFFFFF"/>
            <w:tcMar>
              <w:top w:w="0" w:type="dxa"/>
              <w:left w:w="0" w:type="dxa"/>
              <w:bottom w:w="0" w:type="dxa"/>
              <w:right w:w="0" w:type="dxa"/>
            </w:tcMar>
          </w:tcPr>
          <w:p w14:paraId="6F073F8E"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41E23C0"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134E254A"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一、運用內政部戶政親等資料精進綜合所得稅異常案件查核作業，提升稅務行政效率及服務滿意度。</w:t>
            </w:r>
          </w:p>
          <w:p w14:paraId="37F945A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二、精進雲端發票巨量資料分析服務，建置供應鏈分析機制及溯源追蹤，協助</w:t>
            </w:r>
            <w:proofErr w:type="gramStart"/>
            <w:r>
              <w:rPr>
                <w:rFonts w:ascii="新細明體" w:eastAsia="新細明體" w:hAnsi="新細明體" w:cs="新細明體"/>
                <w:color w:val="000000"/>
                <w:lang w:eastAsia="zh-TW"/>
              </w:rPr>
              <w:t>跨域（</w:t>
            </w:r>
            <w:proofErr w:type="gramEnd"/>
            <w:r>
              <w:rPr>
                <w:rFonts w:ascii="新細明體" w:eastAsia="新細明體" w:hAnsi="新細明體" w:cs="新細明體"/>
                <w:color w:val="000000"/>
                <w:lang w:eastAsia="zh-TW"/>
              </w:rPr>
              <w:t>機關）加值運用。</w:t>
            </w:r>
          </w:p>
          <w:p w14:paraId="70F0D86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三、建置財產資料抽樣資料庫，提供學術、研究單位及其他政府機關以大數據分析技術強化決策精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度，創造稅務資料加值運用效益。</w:t>
            </w:r>
          </w:p>
        </w:tc>
      </w:tr>
      <w:tr w:rsidR="00BE05DA" w14:paraId="1FA1AC2F" w14:textId="77777777">
        <w:trPr>
          <w:trHeight w:val="159"/>
        </w:trPr>
        <w:tc>
          <w:tcPr>
            <w:tcW w:w="750" w:type="pct"/>
            <w:vMerge/>
            <w:shd w:val="clear" w:color="FFFFFF" w:fill="FFFFFF"/>
            <w:tcMar>
              <w:top w:w="0" w:type="dxa"/>
              <w:left w:w="0" w:type="dxa"/>
              <w:bottom w:w="0" w:type="dxa"/>
              <w:right w:w="0" w:type="dxa"/>
            </w:tcMar>
          </w:tcPr>
          <w:p w14:paraId="25163054"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14:paraId="5F48CA1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地方稅</w:t>
            </w:r>
            <w:proofErr w:type="gramStart"/>
            <w:r>
              <w:rPr>
                <w:rFonts w:ascii="新細明體" w:eastAsia="新細明體" w:hAnsi="新細明體" w:cs="新細明體"/>
                <w:color w:val="000000"/>
                <w:lang w:eastAsia="zh-TW"/>
              </w:rPr>
              <w:t>智慧線上服務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067E1B25"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EE409CC"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7D58A927"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一、提供具良好使用者體驗之行動化地方稅網路申報服務。</w:t>
            </w:r>
          </w:p>
          <w:p w14:paraId="4D5E3966"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賡續精</w:t>
            </w:r>
            <w:proofErr w:type="gramEnd"/>
            <w:r>
              <w:rPr>
                <w:rFonts w:ascii="新細明體" w:eastAsia="新細明體" w:hAnsi="新細明體" w:cs="新細明體"/>
                <w:color w:val="000000"/>
                <w:lang w:eastAsia="zh-TW"/>
              </w:rPr>
              <w:t>進智能客服知識庫及完備調校作業，智能客服服務新增1項稅目上線。</w:t>
            </w:r>
          </w:p>
          <w:p w14:paraId="32CCDE3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三、依據電子化稅務作業流程分析，</w:t>
            </w:r>
            <w:proofErr w:type="gramStart"/>
            <w:r>
              <w:rPr>
                <w:rFonts w:ascii="新細明體" w:eastAsia="新細明體" w:hAnsi="新細明體" w:cs="新細明體"/>
                <w:color w:val="000000"/>
                <w:lang w:eastAsia="zh-TW"/>
              </w:rPr>
              <w:t>線上查</w:t>
            </w:r>
            <w:proofErr w:type="gramEnd"/>
            <w:r>
              <w:rPr>
                <w:rFonts w:ascii="新細明體" w:eastAsia="新細明體" w:hAnsi="新細明體" w:cs="新細明體"/>
                <w:color w:val="000000"/>
                <w:lang w:eastAsia="zh-TW"/>
              </w:rPr>
              <w:t>繳稅新增1項非定期開徵稅目繳納服務，並持續精進服務項目。</w:t>
            </w:r>
          </w:p>
          <w:p w14:paraId="7874B2FF"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四、使用牌照稅提供整合稅單歸戶服務，有助於納稅人以較簡便方式繳納使用牌照稅。</w:t>
            </w:r>
          </w:p>
          <w:p w14:paraId="3003DF7E"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賡續精</w:t>
            </w:r>
            <w:proofErr w:type="gramEnd"/>
            <w:r>
              <w:rPr>
                <w:rFonts w:ascii="新細明體" w:eastAsia="新細明體" w:hAnsi="新細明體" w:cs="新細明體"/>
                <w:color w:val="000000"/>
                <w:lang w:eastAsia="zh-TW"/>
              </w:rPr>
              <w:t>進稅務資訊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接地政機關之作業流程。</w:t>
            </w:r>
          </w:p>
        </w:tc>
      </w:tr>
      <w:tr w:rsidR="00BE05DA" w14:paraId="4439D947" w14:textId="77777777">
        <w:trPr>
          <w:trHeight w:val="159"/>
        </w:trPr>
        <w:tc>
          <w:tcPr>
            <w:tcW w:w="750" w:type="pct"/>
            <w:vMerge/>
            <w:shd w:val="clear" w:color="FFFFFF" w:fill="FFFFFF"/>
            <w:tcMar>
              <w:top w:w="0" w:type="dxa"/>
              <w:left w:w="0" w:type="dxa"/>
              <w:bottom w:w="0" w:type="dxa"/>
              <w:right w:w="0" w:type="dxa"/>
            </w:tcMar>
          </w:tcPr>
          <w:p w14:paraId="18573E86"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66065E0A"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推動雲端發票數位服務計畫</w:t>
            </w:r>
          </w:p>
        </w:tc>
        <w:tc>
          <w:tcPr>
            <w:tcW w:w="275" w:type="pct"/>
            <w:shd w:val="clear" w:color="FFFFFF" w:fill="FFFFFF"/>
            <w:tcMar>
              <w:top w:w="0" w:type="dxa"/>
              <w:left w:w="0" w:type="dxa"/>
              <w:bottom w:w="0" w:type="dxa"/>
              <w:right w:w="0" w:type="dxa"/>
            </w:tcMar>
          </w:tcPr>
          <w:p w14:paraId="1D528ACA"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2A3231B"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47866D5E"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一、極大化政府開放資料。</w:t>
            </w:r>
          </w:p>
          <w:p w14:paraId="0B1E8F96"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二、釋出民眾個人化資料。</w:t>
            </w:r>
          </w:p>
          <w:p w14:paraId="2E772F3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三、推動大數據精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決策。</w:t>
            </w:r>
          </w:p>
          <w:p w14:paraId="2D5AC332"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四、建構貼心數位服務。</w:t>
            </w:r>
          </w:p>
          <w:p w14:paraId="0DFF1ED2"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五、資訊安全防護。</w:t>
            </w:r>
          </w:p>
          <w:p w14:paraId="0F4E26F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六、法規增修與技術規範。</w:t>
            </w:r>
          </w:p>
        </w:tc>
      </w:tr>
      <w:tr w:rsidR="00BE05DA" w14:paraId="5E4464D1" w14:textId="77777777">
        <w:trPr>
          <w:trHeight w:val="159"/>
        </w:trPr>
        <w:tc>
          <w:tcPr>
            <w:tcW w:w="750" w:type="pct"/>
            <w:vMerge/>
            <w:shd w:val="clear" w:color="FFFFFF" w:fill="FFFFFF"/>
            <w:tcMar>
              <w:top w:w="0" w:type="dxa"/>
              <w:left w:w="0" w:type="dxa"/>
              <w:bottom w:w="0" w:type="dxa"/>
              <w:right w:w="0" w:type="dxa"/>
            </w:tcMar>
          </w:tcPr>
          <w:p w14:paraId="7A5142D2"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1A7D5DD0"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財政部共用資料中心資源擴充計畫</w:t>
            </w:r>
          </w:p>
        </w:tc>
        <w:tc>
          <w:tcPr>
            <w:tcW w:w="275" w:type="pct"/>
            <w:shd w:val="clear" w:color="FFFFFF" w:fill="FFFFFF"/>
            <w:tcMar>
              <w:top w:w="0" w:type="dxa"/>
              <w:left w:w="0" w:type="dxa"/>
              <w:bottom w:w="0" w:type="dxa"/>
              <w:right w:w="0" w:type="dxa"/>
            </w:tcMar>
          </w:tcPr>
          <w:p w14:paraId="5684C137"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DF52DDA"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01ECD9FE" w14:textId="34CF566E"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一、優化機房改善能源使用效率，進行主中心</w:t>
            </w:r>
            <w:r w:rsidR="00B11240" w:rsidRPr="00B11240">
              <w:rPr>
                <w:rFonts w:ascii="新細明體" w:eastAsia="新細明體" w:hAnsi="新細明體" w:cs="新細明體"/>
                <w:color w:val="000000"/>
                <w:lang w:eastAsia="zh-TW"/>
              </w:rPr>
              <w:t>A</w:t>
            </w:r>
            <w:r>
              <w:rPr>
                <w:rFonts w:ascii="新細明體" w:eastAsia="新細明體" w:hAnsi="新細明體" w:cs="新細明體"/>
                <w:color w:val="000000"/>
                <w:lang w:eastAsia="zh-TW"/>
              </w:rPr>
              <w:t>區機房改善建置、</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換主中心水冷式冰水主機、</w:t>
            </w:r>
            <w:proofErr w:type="gramStart"/>
            <w:r>
              <w:rPr>
                <w:rFonts w:ascii="新細明體" w:eastAsia="新細明體" w:hAnsi="新細明體" w:cs="新細明體"/>
                <w:color w:val="000000"/>
                <w:lang w:eastAsia="zh-TW"/>
              </w:rPr>
              <w:t>異備中心</w:t>
            </w:r>
            <w:proofErr w:type="gramEnd"/>
            <w:r>
              <w:rPr>
                <w:rFonts w:ascii="新細明體" w:eastAsia="新細明體" w:hAnsi="新細明體" w:cs="新細明體"/>
                <w:color w:val="000000"/>
                <w:lang w:eastAsia="zh-TW"/>
              </w:rPr>
              <w:t>冰水主機建置。</w:t>
            </w:r>
          </w:p>
          <w:p w14:paraId="767397EC"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二、調整骨幹網路及集中出口強化</w:t>
            </w:r>
            <w:proofErr w:type="gramStart"/>
            <w:r>
              <w:rPr>
                <w:rFonts w:ascii="新細明體" w:eastAsia="新細明體" w:hAnsi="新細明體" w:cs="新細明體"/>
                <w:color w:val="000000"/>
                <w:lang w:eastAsia="zh-TW"/>
              </w:rPr>
              <w:t>網路資安防護</w:t>
            </w:r>
            <w:proofErr w:type="gramEnd"/>
            <w:r>
              <w:rPr>
                <w:rFonts w:ascii="新細明體" w:eastAsia="新細明體" w:hAnsi="新細明體" w:cs="新細明體"/>
                <w:color w:val="000000"/>
                <w:lang w:eastAsia="zh-TW"/>
              </w:rPr>
              <w:t>，持續維運財政骨幹網路及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接新專案。</w:t>
            </w:r>
          </w:p>
          <w:p w14:paraId="4B9830D9"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三、建構資料交換機制與作業環境，持續維運本部暨所屬機關資料交換服務及</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接新專案。</w:t>
            </w:r>
          </w:p>
          <w:p w14:paraId="2896C5D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四、因應資源整合集中擴充</w:t>
            </w:r>
            <w:proofErr w:type="gramStart"/>
            <w:r>
              <w:rPr>
                <w:rFonts w:ascii="新細明體" w:eastAsia="新細明體" w:hAnsi="新細明體" w:cs="新細明體"/>
                <w:color w:val="000000"/>
                <w:lang w:eastAsia="zh-TW"/>
              </w:rPr>
              <w:t>暨維運主</w:t>
            </w:r>
            <w:proofErr w:type="gramEnd"/>
            <w:r>
              <w:rPr>
                <w:rFonts w:ascii="新細明體" w:eastAsia="新細明體" w:hAnsi="新細明體" w:cs="新細明體"/>
                <w:color w:val="000000"/>
                <w:lang w:eastAsia="zh-TW"/>
              </w:rPr>
              <w:t>中心</w:t>
            </w:r>
            <w:proofErr w:type="gramStart"/>
            <w:r>
              <w:rPr>
                <w:rFonts w:ascii="新細明體" w:eastAsia="新細明體" w:hAnsi="新細明體" w:cs="新細明體"/>
                <w:color w:val="000000"/>
                <w:lang w:eastAsia="zh-TW"/>
              </w:rPr>
              <w:t>及異備中心</w:t>
            </w:r>
            <w:proofErr w:type="gramEnd"/>
            <w:r>
              <w:rPr>
                <w:rFonts w:ascii="新細明體" w:eastAsia="新細明體" w:hAnsi="新細明體" w:cs="新細明體"/>
                <w:color w:val="000000"/>
                <w:lang w:eastAsia="zh-TW"/>
              </w:rPr>
              <w:t>雲端共享平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資源。</w:t>
            </w:r>
          </w:p>
          <w:p w14:paraId="3B303D6B"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五、建置主中心大數據分析作業環境資源。</w:t>
            </w:r>
          </w:p>
          <w:p w14:paraId="44B0FED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六、建置電子發票平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主中心雲端運算及高效能主機資源。</w:t>
            </w:r>
          </w:p>
          <w:p w14:paraId="552CAD08"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七、更新「稅務便民服務」系統軟體軟體授權。</w:t>
            </w:r>
          </w:p>
          <w:p w14:paraId="2DF6F794"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八、擴充「稅務輔助行政服務」系統軟體。</w:t>
            </w:r>
          </w:p>
          <w:p w14:paraId="7684C347"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九、建構整體資通安全防護網，整合維運具可擴充</w:t>
            </w:r>
            <w:proofErr w:type="gramStart"/>
            <w:r>
              <w:rPr>
                <w:rFonts w:ascii="新細明體" w:eastAsia="新細明體" w:hAnsi="新細明體" w:cs="新細明體"/>
                <w:color w:val="000000"/>
                <w:lang w:eastAsia="zh-TW"/>
              </w:rPr>
              <w:t>性資安</w:t>
            </w:r>
            <w:proofErr w:type="gramEnd"/>
            <w:r>
              <w:rPr>
                <w:rFonts w:ascii="新細明體" w:eastAsia="新細明體" w:hAnsi="新細明體" w:cs="新細明體"/>
                <w:color w:val="000000"/>
                <w:lang w:eastAsia="zh-TW"/>
              </w:rPr>
              <w:t>防護中心、進行平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安全性檢測。</w:t>
            </w:r>
          </w:p>
        </w:tc>
      </w:tr>
      <w:tr w:rsidR="00BE05DA" w14:paraId="7AFA8AA7" w14:textId="77777777">
        <w:trPr>
          <w:trHeight w:val="159"/>
        </w:trPr>
        <w:tc>
          <w:tcPr>
            <w:tcW w:w="750" w:type="pct"/>
            <w:vMerge/>
            <w:shd w:val="clear" w:color="FFFFFF" w:fill="FFFFFF"/>
            <w:tcMar>
              <w:top w:w="0" w:type="dxa"/>
              <w:left w:w="0" w:type="dxa"/>
              <w:bottom w:w="0" w:type="dxa"/>
              <w:right w:w="0" w:type="dxa"/>
            </w:tcMar>
          </w:tcPr>
          <w:p w14:paraId="00DC80AB"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財政資訊業務</w:t>
            </w:r>
            <w:proofErr w:type="spellEnd"/>
          </w:p>
        </w:tc>
        <w:tc>
          <w:tcPr>
            <w:tcW w:w="750" w:type="pct"/>
            <w:shd w:val="clear" w:color="FFFFFF" w:fill="FFFFFF"/>
            <w:tcMar>
              <w:top w:w="0" w:type="dxa"/>
              <w:left w:w="0" w:type="dxa"/>
              <w:bottom w:w="0" w:type="dxa"/>
              <w:right w:w="0" w:type="dxa"/>
            </w:tcMar>
          </w:tcPr>
          <w:p w14:paraId="2640D253"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賦稅數位轉型服務計畫</w:t>
            </w:r>
          </w:p>
        </w:tc>
        <w:tc>
          <w:tcPr>
            <w:tcW w:w="275" w:type="pct"/>
            <w:shd w:val="clear" w:color="FFFFFF" w:fill="FFFFFF"/>
            <w:tcMar>
              <w:top w:w="0" w:type="dxa"/>
              <w:left w:w="0" w:type="dxa"/>
              <w:bottom w:w="0" w:type="dxa"/>
              <w:right w:w="0" w:type="dxa"/>
            </w:tcMar>
          </w:tcPr>
          <w:p w14:paraId="1FD18875"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46CA85D"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1783CE4B" w14:textId="0D49EE65"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一、建置智能稅務應用系統</w:t>
            </w:r>
            <w:r w:rsidR="00EA11A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營利事業所得稅、綜合所得稅查審服務</w:t>
            </w:r>
            <w:r w:rsidR="00EA11A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368DCE97" w14:textId="1EF33A90"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二、建置資料治理系統</w:t>
            </w:r>
            <w:r w:rsidR="00EA11A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營業稅部分</w:t>
            </w:r>
            <w:r w:rsidR="00EA11A5">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w:t>
            </w:r>
          </w:p>
          <w:p w14:paraId="793B4B4C"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三、培育數據分析人才，試行數據分析主題。</w:t>
            </w:r>
          </w:p>
          <w:p w14:paraId="72C497A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四、擴增稅務問答智能知識庫。</w:t>
            </w:r>
          </w:p>
        </w:tc>
      </w:tr>
      <w:tr w:rsidR="00BE05DA" w14:paraId="483D11D3" w14:textId="77777777">
        <w:trPr>
          <w:trHeight w:val="159"/>
        </w:trPr>
        <w:tc>
          <w:tcPr>
            <w:tcW w:w="750" w:type="pct"/>
            <w:vMerge/>
            <w:shd w:val="clear" w:color="FFFFFF" w:fill="FFFFFF"/>
            <w:tcMar>
              <w:top w:w="0" w:type="dxa"/>
              <w:left w:w="0" w:type="dxa"/>
              <w:bottom w:w="0" w:type="dxa"/>
              <w:right w:w="0" w:type="dxa"/>
            </w:tcMar>
          </w:tcPr>
          <w:p w14:paraId="78A6104A"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財政資訊業務</w:t>
            </w:r>
            <w:proofErr w:type="spellEnd"/>
          </w:p>
        </w:tc>
        <w:tc>
          <w:tcPr>
            <w:tcW w:w="750" w:type="pct"/>
            <w:shd w:val="clear" w:color="FFFFFF" w:fill="FFFFFF"/>
            <w:tcMar>
              <w:top w:w="0" w:type="dxa"/>
              <w:left w:w="0" w:type="dxa"/>
              <w:bottom w:w="0" w:type="dxa"/>
              <w:right w:w="0" w:type="dxa"/>
            </w:tcMar>
          </w:tcPr>
          <w:p w14:paraId="15CBEF2E"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次世代稅務服務雲端平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建構計畫</w:t>
            </w:r>
          </w:p>
        </w:tc>
        <w:tc>
          <w:tcPr>
            <w:tcW w:w="275" w:type="pct"/>
            <w:shd w:val="clear" w:color="FFFFFF" w:fill="FFFFFF"/>
            <w:tcMar>
              <w:top w:w="0" w:type="dxa"/>
              <w:left w:w="0" w:type="dxa"/>
              <w:bottom w:w="0" w:type="dxa"/>
              <w:right w:w="0" w:type="dxa"/>
            </w:tcMar>
          </w:tcPr>
          <w:p w14:paraId="4BA37AC5"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9A9C735"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115</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614C2ED1"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一、整備各地區國稅局數位資源。</w:t>
            </w:r>
          </w:p>
          <w:p w14:paraId="42ACFDB7"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二、推動地方稅系統平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移轉。</w:t>
            </w:r>
          </w:p>
          <w:p w14:paraId="018E1DA4"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三、建構主動式智慧租稅服務。</w:t>
            </w:r>
          </w:p>
          <w:p w14:paraId="4413CCFB"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w:t>
            </w:r>
          </w:p>
          <w:p w14:paraId="46ABA01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五、強化資料整合及治理機制。</w:t>
            </w:r>
          </w:p>
          <w:p w14:paraId="412853D0"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六、資訊服務管理及監控機制。</w:t>
            </w:r>
          </w:p>
          <w:p w14:paraId="43242FC6"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w:t>
            </w:r>
            <w:proofErr w:type="gramStart"/>
            <w:r>
              <w:rPr>
                <w:rFonts w:ascii="新細明體" w:eastAsia="新細明體" w:hAnsi="新細明體" w:cs="新細明體"/>
                <w:color w:val="000000"/>
                <w:lang w:eastAsia="zh-TW"/>
              </w:rPr>
              <w:t>完善資</w:t>
            </w:r>
            <w:proofErr w:type="gramEnd"/>
            <w:r>
              <w:rPr>
                <w:rFonts w:ascii="新細明體" w:eastAsia="新細明體" w:hAnsi="新細明體" w:cs="新細明體"/>
                <w:color w:val="000000"/>
                <w:lang w:eastAsia="zh-TW"/>
              </w:rPr>
              <w:t>通訊安全管理效能。</w:t>
            </w:r>
          </w:p>
          <w:p w14:paraId="5E499745"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八、獨立各地方稅</w:t>
            </w:r>
            <w:proofErr w:type="gramStart"/>
            <w:r>
              <w:rPr>
                <w:rFonts w:ascii="新細明體" w:eastAsia="新細明體" w:hAnsi="新細明體" w:cs="新細明體"/>
                <w:color w:val="000000"/>
                <w:lang w:eastAsia="zh-TW"/>
              </w:rPr>
              <w:t>稽</w:t>
            </w:r>
            <w:proofErr w:type="gramEnd"/>
            <w:r>
              <w:rPr>
                <w:rFonts w:ascii="新細明體" w:eastAsia="新細明體" w:hAnsi="新細明體" w:cs="新細明體"/>
                <w:color w:val="000000"/>
                <w:lang w:eastAsia="zh-TW"/>
              </w:rPr>
              <w:t>徵機關資源及防護管理機制。</w:t>
            </w:r>
          </w:p>
        </w:tc>
      </w:tr>
      <w:tr w:rsidR="00BE05DA" w14:paraId="7292DC7A" w14:textId="77777777">
        <w:trPr>
          <w:trHeight w:val="159"/>
        </w:trPr>
        <w:tc>
          <w:tcPr>
            <w:tcW w:w="750" w:type="pct"/>
            <w:vMerge w:val="restart"/>
            <w:shd w:val="clear" w:color="FFFFFF" w:fill="FFFFFF"/>
            <w:tcMar>
              <w:top w:w="0" w:type="dxa"/>
              <w:left w:w="0" w:type="dxa"/>
              <w:bottom w:w="0" w:type="dxa"/>
              <w:right w:w="0" w:type="dxa"/>
            </w:tcMar>
          </w:tcPr>
          <w:p w14:paraId="69E1AABC"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促參業務</w:t>
            </w:r>
            <w:proofErr w:type="spellEnd"/>
          </w:p>
        </w:tc>
        <w:tc>
          <w:tcPr>
            <w:tcW w:w="750" w:type="pct"/>
            <w:shd w:val="clear" w:color="FFFFFF" w:fill="FFFFFF"/>
            <w:tcMar>
              <w:top w:w="0" w:type="dxa"/>
              <w:left w:w="0" w:type="dxa"/>
              <w:bottom w:w="0" w:type="dxa"/>
              <w:right w:w="0" w:type="dxa"/>
            </w:tcMar>
          </w:tcPr>
          <w:p w14:paraId="115FDB65" w14:textId="62EA1319"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協助各機關推動民間參與公共</w:t>
            </w:r>
            <w:r w:rsidRPr="002D26B8">
              <w:rPr>
                <w:rFonts w:ascii="新細明體" w:eastAsia="新細明體" w:hAnsi="新細明體" w:cs="新細明體"/>
                <w:color w:val="000000"/>
                <w:lang w:eastAsia="zh-TW"/>
              </w:rPr>
              <w:t>建設計畫（111年</w:t>
            </w:r>
            <w:r w:rsidR="00EA11A5" w:rsidRPr="002D26B8">
              <w:rPr>
                <w:rFonts w:ascii="新細明體" w:eastAsia="新細明體" w:hAnsi="新細明體" w:cs="新細明體" w:hint="eastAsia"/>
                <w:color w:val="000000"/>
                <w:lang w:eastAsia="zh-TW"/>
              </w:rPr>
              <w:t>－</w:t>
            </w:r>
            <w:r w:rsidRPr="002D26B8">
              <w:rPr>
                <w:rFonts w:ascii="新細明體" w:eastAsia="新細明體" w:hAnsi="新細明體" w:cs="新細明體"/>
                <w:color w:val="000000"/>
                <w:lang w:eastAsia="zh-TW"/>
              </w:rPr>
              <w:t>11</w:t>
            </w:r>
            <w:r>
              <w:rPr>
                <w:rFonts w:ascii="新細明體" w:eastAsia="新細明體" w:hAnsi="新細明體" w:cs="新細明體"/>
                <w:color w:val="000000"/>
                <w:lang w:eastAsia="zh-TW"/>
              </w:rPr>
              <w:t>4年）</w:t>
            </w:r>
          </w:p>
        </w:tc>
        <w:tc>
          <w:tcPr>
            <w:tcW w:w="275" w:type="pct"/>
            <w:shd w:val="clear" w:color="FFFFFF" w:fill="FFFFFF"/>
            <w:tcMar>
              <w:top w:w="0" w:type="dxa"/>
              <w:left w:w="0" w:type="dxa"/>
              <w:bottom w:w="0" w:type="dxa"/>
              <w:right w:w="0" w:type="dxa"/>
            </w:tcMar>
          </w:tcPr>
          <w:p w14:paraId="25707727"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697D541" w14:textId="77777777" w:rsidR="00A77B3E" w:rsidRDefault="0071075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計畫期程自</w:t>
            </w:r>
            <w:proofErr w:type="gramStart"/>
            <w:r>
              <w:rPr>
                <w:rFonts w:ascii="新細明體" w:eastAsia="新細明體" w:hAnsi="新細明體" w:cs="新細明體"/>
                <w:color w:val="000000"/>
                <w:lang w:eastAsia="zh-TW"/>
              </w:rPr>
              <w:t>111</w:t>
            </w:r>
            <w:proofErr w:type="gramEnd"/>
            <w:r>
              <w:rPr>
                <w:rFonts w:ascii="新細明體" w:eastAsia="新細明體" w:hAnsi="新細明體" w:cs="新細明體"/>
                <w:color w:val="000000"/>
                <w:lang w:eastAsia="zh-TW"/>
              </w:rPr>
              <w:t>年度至</w:t>
            </w:r>
            <w:proofErr w:type="gramStart"/>
            <w:r>
              <w:rPr>
                <w:rFonts w:ascii="新細明體" w:eastAsia="新細明體" w:hAnsi="新細明體" w:cs="新細明體"/>
                <w:color w:val="000000"/>
                <w:lang w:eastAsia="zh-TW"/>
              </w:rPr>
              <w:t>114</w:t>
            </w:r>
            <w:proofErr w:type="gramEnd"/>
            <w:r>
              <w:rPr>
                <w:rFonts w:ascii="新細明體" w:eastAsia="新細明體" w:hAnsi="新細明體" w:cs="新細明體"/>
                <w:color w:val="000000"/>
                <w:lang w:eastAsia="zh-TW"/>
              </w:rPr>
              <w:t>年度，</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年度預定辦理工作項目：</w:t>
            </w:r>
          </w:p>
          <w:p w14:paraId="69DD0064"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續配合行政院促參推動小組運作，引導重大公共基礎建設，優先利用促參模式引進民間投資。</w:t>
            </w:r>
          </w:p>
          <w:p w14:paraId="5E64FE1A"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二、因應促進民間參與公共建設法修正，</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修相關子法及作業指引，強化促參法令制度。</w:t>
            </w:r>
          </w:p>
          <w:p w14:paraId="63751C5C"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三、強化輔導</w:t>
            </w:r>
            <w:proofErr w:type="gramStart"/>
            <w:r>
              <w:rPr>
                <w:rFonts w:ascii="新細明體" w:eastAsia="新細明體" w:hAnsi="新細明體" w:cs="新細明體"/>
                <w:color w:val="000000"/>
                <w:lang w:eastAsia="zh-TW"/>
              </w:rPr>
              <w:t>及協審機制</w:t>
            </w:r>
            <w:proofErr w:type="gramEnd"/>
            <w:r>
              <w:rPr>
                <w:rFonts w:ascii="新細明體" w:eastAsia="新細明體" w:hAnsi="新細明體" w:cs="新細明體"/>
                <w:color w:val="000000"/>
                <w:lang w:eastAsia="zh-TW"/>
              </w:rPr>
              <w:t>，並加強媒合行銷，提高招商成功率。</w:t>
            </w:r>
          </w:p>
          <w:p w14:paraId="1ECDEB5D"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四、精進激勵措施，提振推動能量。</w:t>
            </w:r>
          </w:p>
          <w:p w14:paraId="5CCAFE83"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五、優化督導及考核作業，建立履約爭議調解機制相關子法，完備</w:t>
            </w:r>
            <w:proofErr w:type="gramStart"/>
            <w:r>
              <w:rPr>
                <w:rFonts w:ascii="新細明體" w:eastAsia="新細明體" w:hAnsi="新細明體" w:cs="新細明體"/>
                <w:color w:val="000000"/>
                <w:lang w:eastAsia="zh-TW"/>
              </w:rPr>
              <w:t>促參管考</w:t>
            </w:r>
            <w:proofErr w:type="gramEnd"/>
            <w:r>
              <w:rPr>
                <w:rFonts w:ascii="新細明體" w:eastAsia="新細明體" w:hAnsi="新細明體" w:cs="新細明體"/>
                <w:color w:val="000000"/>
                <w:lang w:eastAsia="zh-TW"/>
              </w:rPr>
              <w:t>服務體系。</w:t>
            </w:r>
          </w:p>
        </w:tc>
      </w:tr>
      <w:tr w:rsidR="00BE05DA" w14:paraId="6E728377" w14:textId="77777777">
        <w:trPr>
          <w:trHeight w:val="159"/>
        </w:trPr>
        <w:tc>
          <w:tcPr>
            <w:tcW w:w="750" w:type="pct"/>
            <w:shd w:val="clear" w:color="FFFFFF" w:fill="FFFFFF"/>
            <w:tcMar>
              <w:top w:w="0" w:type="dxa"/>
              <w:left w:w="0" w:type="dxa"/>
              <w:bottom w:w="0" w:type="dxa"/>
              <w:right w:w="0" w:type="dxa"/>
            </w:tcMar>
          </w:tcPr>
          <w:p w14:paraId="07211BF3" w14:textId="77777777" w:rsidR="00A77B3E" w:rsidRDefault="0071075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1C39F4D9" w14:textId="77777777" w:rsidR="00A77B3E" w:rsidRDefault="0071075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推動洽簽及執行財稅關務協定</w:t>
            </w:r>
          </w:p>
        </w:tc>
        <w:tc>
          <w:tcPr>
            <w:tcW w:w="275" w:type="pct"/>
            <w:shd w:val="clear" w:color="FFFFFF" w:fill="FFFFFF"/>
            <w:tcMar>
              <w:top w:w="0" w:type="dxa"/>
              <w:left w:w="0" w:type="dxa"/>
              <w:bottom w:w="0" w:type="dxa"/>
              <w:right w:w="0" w:type="dxa"/>
            </w:tcMar>
          </w:tcPr>
          <w:p w14:paraId="7672EBD1" w14:textId="77777777" w:rsidR="00A77B3E" w:rsidRDefault="0071075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1CD999A"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一、積極配合國家經貿策略布局，完善租稅協定網絡，營造有利投資賦稅環境；持續依國際標準執行稅務資訊交換及相互協議程序，增進跨境稅務合作及保障納稅義務人權益。</w:t>
            </w:r>
          </w:p>
          <w:p w14:paraId="378A7958"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二、推動洽簽關務互助協定及貨物暫准通關證協定，強化與重要貿易國家關務議題之經驗交流與合作，營造便捷與安全通關環境。</w:t>
            </w:r>
          </w:p>
          <w:p w14:paraId="565DFAFC" w14:textId="77777777" w:rsidR="00A77B3E" w:rsidRDefault="0071075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三、積極參與國際會議與活動，促進國際租稅與財政合作及交流，深化與國際組織及重要經貿國家實質合作。</w:t>
            </w:r>
          </w:p>
        </w:tc>
      </w:tr>
    </w:tbl>
    <w:p w14:paraId="3A2A57FA" w14:textId="77777777" w:rsidR="00A77B3E" w:rsidRDefault="00A77B3E">
      <w:pPr>
        <w:spacing w:line="320" w:lineRule="exact"/>
        <w:jc w:val="both"/>
        <w:rPr>
          <w:rFonts w:ascii="新細明體" w:eastAsia="新細明體" w:hAnsi="新細明體" w:cs="新細明體"/>
          <w:color w:val="000000"/>
          <w:lang w:eastAsia="zh-TW"/>
        </w:rPr>
      </w:pPr>
    </w:p>
    <w:p w14:paraId="057DF375"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86ABB" w14:textId="77777777" w:rsidR="002D4F5A" w:rsidRDefault="00710750">
      <w:r>
        <w:separator/>
      </w:r>
    </w:p>
  </w:endnote>
  <w:endnote w:type="continuationSeparator" w:id="0">
    <w:p w14:paraId="0CDBE95A" w14:textId="77777777" w:rsidR="002D4F5A" w:rsidRDefault="00710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B3988" w14:textId="77777777" w:rsidR="00BE05DA" w:rsidRDefault="00710750">
    <w:pPr>
      <w:jc w:val="center"/>
      <w:rPr>
        <w:rFonts w:ascii="新細明體" w:eastAsia="新細明體" w:hAnsi="新細明體" w:cs="新細明體"/>
      </w:rPr>
    </w:pPr>
    <w:r>
      <w:rPr>
        <w:rFonts w:ascii="新細明體" w:eastAsia="新細明體" w:hAnsi="新細明體" w:cs="新細明體"/>
        <w:sz w:val="20"/>
      </w:rPr>
      <w:t>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681F80">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1769E" w14:textId="77777777" w:rsidR="002D4F5A" w:rsidRDefault="00710750">
      <w:r>
        <w:separator/>
      </w:r>
    </w:p>
  </w:footnote>
  <w:footnote w:type="continuationSeparator" w:id="0">
    <w:p w14:paraId="510A72FD" w14:textId="77777777" w:rsidR="002D4F5A" w:rsidRDefault="007107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80387"/>
    <w:rsid w:val="00243137"/>
    <w:rsid w:val="002D26B8"/>
    <w:rsid w:val="002D4F5A"/>
    <w:rsid w:val="004D6EFD"/>
    <w:rsid w:val="00681F80"/>
    <w:rsid w:val="006C3227"/>
    <w:rsid w:val="006D3C4E"/>
    <w:rsid w:val="00710750"/>
    <w:rsid w:val="00727CF6"/>
    <w:rsid w:val="00A7690B"/>
    <w:rsid w:val="00A77B3E"/>
    <w:rsid w:val="00B11240"/>
    <w:rsid w:val="00B909DD"/>
    <w:rsid w:val="00BE05DA"/>
    <w:rsid w:val="00C70AA0"/>
    <w:rsid w:val="00CA2A55"/>
    <w:rsid w:val="00D36C10"/>
    <w:rsid w:val="00EA11A5"/>
    <w:rsid w:val="00EC41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308E0B4"/>
  <w15:docId w15:val="{5385ACD8-F0A9-48E5-A945-A9949D80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7690B"/>
    <w:pPr>
      <w:tabs>
        <w:tab w:val="center" w:pos="4153"/>
        <w:tab w:val="right" w:pos="8306"/>
      </w:tabs>
      <w:snapToGrid w:val="0"/>
    </w:pPr>
    <w:rPr>
      <w:sz w:val="20"/>
      <w:szCs w:val="20"/>
    </w:rPr>
  </w:style>
  <w:style w:type="character" w:customStyle="1" w:styleId="a4">
    <w:name w:val="頁首 字元"/>
    <w:basedOn w:val="a0"/>
    <w:link w:val="a3"/>
    <w:rsid w:val="00A7690B"/>
  </w:style>
  <w:style w:type="paragraph" w:styleId="a5">
    <w:name w:val="footer"/>
    <w:basedOn w:val="a"/>
    <w:link w:val="a6"/>
    <w:unhideWhenUsed/>
    <w:rsid w:val="00A7690B"/>
    <w:pPr>
      <w:tabs>
        <w:tab w:val="center" w:pos="4153"/>
        <w:tab w:val="right" w:pos="8306"/>
      </w:tabs>
      <w:snapToGrid w:val="0"/>
    </w:pPr>
    <w:rPr>
      <w:sz w:val="20"/>
      <w:szCs w:val="20"/>
    </w:rPr>
  </w:style>
  <w:style w:type="character" w:customStyle="1" w:styleId="a6">
    <w:name w:val="頁尾 字元"/>
    <w:basedOn w:val="a0"/>
    <w:link w:val="a5"/>
    <w:rsid w:val="00A76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8535</Words>
  <Characters>621</Characters>
  <Application>Microsoft Office Word</Application>
  <DocSecurity>0</DocSecurity>
  <Lines>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張婉淑</dc:creator>
  <cp:lastModifiedBy>曾偌豪</cp:lastModifiedBy>
  <cp:revision>3</cp:revision>
  <cp:lastPrinted>2022-07-19T04:11:00Z</cp:lastPrinted>
  <dcterms:created xsi:type="dcterms:W3CDTF">2022-07-21T08:47:00Z</dcterms:created>
  <dcterms:modified xsi:type="dcterms:W3CDTF">2022-07-21T08:48:00Z</dcterms:modified>
</cp:coreProperties>
</file>