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default"/>
          <w:shd w:val="clear" w:color="auto" w:fill="FFFFFF"/>
        </w:rPr>
      </w:pPr>
      <w:bookmarkStart w:id="0" w:name="_Hlk158834102"/>
    </w:p>
    <w:p>
      <w:pPr>
        <w:pStyle w:val="2"/>
        <w:rPr>
          <w:rFonts w:hint="default"/>
          <w:shd w:val="clear" w:color="auto" w:fill="FFFFFF"/>
        </w:rPr>
      </w:pPr>
      <w:r>
        <w:rPr>
          <w:shd w:val="clear" w:color="auto" w:fill="FFFFFF"/>
        </w:rPr>
        <w:t>《武威市电动车管理条例（</w:t>
      </w:r>
      <w:r>
        <w:rPr>
          <w:rFonts w:hint="eastAsia"/>
          <w:shd w:val="clear" w:color="auto" w:fill="FFFFFF"/>
          <w:lang w:val="en-US" w:eastAsia="zh-CN"/>
        </w:rPr>
        <w:t>征求意见稿</w:t>
      </w:r>
      <w:r>
        <w:rPr>
          <w:shd w:val="clear" w:color="auto" w:fill="FFFFFF"/>
        </w:rPr>
        <w:t>）》</w:t>
      </w:r>
      <w:bookmarkEnd w:id="0"/>
    </w:p>
    <w:p>
      <w:pPr>
        <w:jc w:val="center"/>
        <w:rPr>
          <w:rFonts w:hint="eastAsia" w:ascii="楷体" w:hAnsi="楷体" w:eastAsia="楷体" w:cs="楷体"/>
          <w:b/>
          <w:bCs/>
          <w:sz w:val="28"/>
          <w:szCs w:val="28"/>
        </w:rPr>
      </w:pPr>
      <w:r>
        <w:rPr>
          <w:rFonts w:hint="eastAsia" w:ascii="楷体" w:hAnsi="楷体" w:eastAsia="楷体" w:cs="楷体"/>
          <w:b/>
          <w:bCs/>
          <w:sz w:val="28"/>
          <w:szCs w:val="28"/>
        </w:rPr>
        <w:t>（2024年6月25日）</w:t>
      </w:r>
    </w:p>
    <w:p>
      <w:bookmarkStart w:id="44" w:name="_GoBack"/>
      <w:bookmarkEnd w:id="44"/>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652"/>
        <w:rPr>
          <w:rFonts w:hint="eastAsia" w:ascii="仿宋" w:hAnsi="仿宋" w:eastAsia="仿宋" w:cs="仿宋"/>
          <w:sz w:val="32"/>
          <w:szCs w:val="32"/>
        </w:rPr>
      </w:pPr>
      <w:r>
        <w:rPr>
          <w:rStyle w:val="10"/>
          <w:rFonts w:hint="eastAsia" w:ascii="仿宋" w:hAnsi="仿宋" w:eastAsia="仿宋" w:cs="仿宋"/>
          <w:b w:val="0"/>
          <w:bCs/>
          <w:color w:val="323232"/>
          <w:spacing w:val="23"/>
          <w:sz w:val="32"/>
          <w:szCs w:val="32"/>
          <w:shd w:val="clear" w:color="auto" w:fill="FFFFFF"/>
        </w:rPr>
        <w:t>第一条</w:t>
      </w:r>
      <w:r>
        <w:rPr>
          <w:rFonts w:hint="eastAsia" w:ascii="仿宋" w:hAnsi="仿宋" w:eastAsia="仿宋" w:cs="仿宋"/>
          <w:b/>
          <w:bCs/>
          <w:color w:val="323232"/>
          <w:spacing w:val="23"/>
          <w:sz w:val="32"/>
          <w:szCs w:val="32"/>
          <w:shd w:val="clear" w:color="auto" w:fill="FFFFFF"/>
        </w:rPr>
        <w:t>【立法目的】</w:t>
      </w:r>
      <w:r>
        <w:rPr>
          <w:rFonts w:hint="eastAsia" w:ascii="仿宋" w:hAnsi="仿宋" w:eastAsia="仿宋" w:cs="仿宋"/>
          <w:sz w:val="32"/>
          <w:szCs w:val="32"/>
        </w:rPr>
        <w:t>为了规范和加强电动车管理，维护道路交通秩序，预防和减少交通、火灾等安全事故，保护公众生命财产安全，根据《中华人民共和国道路交通安全法》《中华人民共和国产品质量法》《中华人民共和国消防法》《甘肃省道路交通安全条例》等有关法律、法规，结合本市实际，制定本条例。</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652"/>
        <w:rPr>
          <w:rFonts w:hint="eastAsia" w:ascii="仿宋" w:hAnsi="仿宋" w:eastAsia="仿宋" w:cs="仿宋"/>
          <w:sz w:val="32"/>
          <w:szCs w:val="32"/>
        </w:rPr>
      </w:pPr>
      <w:r>
        <w:rPr>
          <w:rStyle w:val="10"/>
          <w:rFonts w:hint="eastAsia" w:ascii="仿宋" w:hAnsi="仿宋" w:eastAsia="仿宋" w:cs="仿宋"/>
          <w:b w:val="0"/>
          <w:bCs/>
          <w:color w:val="323232"/>
          <w:spacing w:val="23"/>
          <w:sz w:val="32"/>
          <w:szCs w:val="32"/>
          <w:shd w:val="clear" w:color="auto" w:fill="FFFFFF"/>
        </w:rPr>
        <w:t>第二条</w:t>
      </w:r>
      <w:bookmarkStart w:id="1" w:name="_Hlk157527043"/>
      <w:r>
        <w:rPr>
          <w:rFonts w:hint="eastAsia" w:ascii="仿宋" w:hAnsi="仿宋" w:eastAsia="仿宋" w:cs="仿宋"/>
          <w:b/>
          <w:bCs/>
          <w:color w:val="323232"/>
          <w:spacing w:val="23"/>
          <w:sz w:val="32"/>
          <w:szCs w:val="32"/>
          <w:shd w:val="clear" w:color="auto" w:fill="FFFFFF"/>
        </w:rPr>
        <w:t>【适用范围】</w:t>
      </w:r>
      <w:bookmarkEnd w:id="1"/>
      <w:r>
        <w:rPr>
          <w:rFonts w:hint="eastAsia" w:ascii="仿宋" w:hAnsi="仿宋" w:eastAsia="仿宋" w:cs="仿宋"/>
          <w:sz w:val="32"/>
          <w:szCs w:val="32"/>
        </w:rPr>
        <w:t>本市行政区域内电动车的生产、销售、登记、停放、道路通行及相关管理活动适用本条例。</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bookmarkStart w:id="2" w:name="_Hlk158844634"/>
      <w:r>
        <w:rPr>
          <w:rFonts w:hint="eastAsia" w:ascii="仿宋" w:hAnsi="仿宋" w:eastAsia="仿宋" w:cs="仿宋"/>
          <w:sz w:val="32"/>
          <w:szCs w:val="32"/>
        </w:rPr>
        <w:t>本条例所称电动车包括电动自行车、电动摩托车（轻便摩托车和普通摩托车）和低速电动汽车</w:t>
      </w:r>
      <w:bookmarkStart w:id="3" w:name="_Hlk158844135"/>
      <w:r>
        <w:rPr>
          <w:rFonts w:hint="eastAsia" w:ascii="仿宋" w:hAnsi="仿宋" w:eastAsia="仿宋" w:cs="仿宋"/>
          <w:sz w:val="32"/>
          <w:szCs w:val="32"/>
        </w:rPr>
        <w:t>。</w:t>
      </w:r>
    </w:p>
    <w:bookmarkEnd w:id="2"/>
    <w:bookmarkEnd w:id="3"/>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法律、法规对电动车管理已有规定的，依照其规定执行。</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652"/>
        <w:rPr>
          <w:rFonts w:hint="eastAsia" w:ascii="仿宋" w:hAnsi="仿宋" w:eastAsia="仿宋" w:cs="仿宋"/>
          <w:sz w:val="32"/>
          <w:szCs w:val="32"/>
        </w:rPr>
      </w:pPr>
      <w:r>
        <w:rPr>
          <w:rStyle w:val="10"/>
          <w:rFonts w:hint="eastAsia" w:ascii="仿宋" w:hAnsi="仿宋" w:eastAsia="仿宋" w:cs="仿宋"/>
          <w:b w:val="0"/>
          <w:bCs/>
          <w:color w:val="323232"/>
          <w:spacing w:val="23"/>
          <w:sz w:val="32"/>
          <w:szCs w:val="32"/>
          <w:shd w:val="clear" w:color="auto" w:fill="FFFFFF"/>
        </w:rPr>
        <w:t>第三条</w:t>
      </w:r>
      <w:r>
        <w:rPr>
          <w:rFonts w:hint="eastAsia" w:ascii="仿宋" w:hAnsi="仿宋" w:eastAsia="仿宋" w:cs="仿宋"/>
          <w:b/>
          <w:bCs/>
          <w:color w:val="323232"/>
          <w:spacing w:val="23"/>
          <w:sz w:val="32"/>
          <w:szCs w:val="32"/>
          <w:shd w:val="clear" w:color="auto" w:fill="FFFFFF"/>
        </w:rPr>
        <w:t>【管理原则】</w:t>
      </w:r>
      <w:r>
        <w:rPr>
          <w:rStyle w:val="10"/>
          <w:rFonts w:hint="eastAsia" w:ascii="仿宋" w:hAnsi="仿宋" w:eastAsia="仿宋" w:cs="仿宋"/>
          <w:b w:val="0"/>
          <w:bCs/>
          <w:color w:val="323232"/>
          <w:spacing w:val="23"/>
          <w:sz w:val="32"/>
          <w:szCs w:val="32"/>
          <w:shd w:val="clear" w:color="auto" w:fill="FFFFFF"/>
        </w:rPr>
        <w:t> </w:t>
      </w:r>
      <w:r>
        <w:rPr>
          <w:rFonts w:hint="eastAsia" w:ascii="仿宋" w:hAnsi="仿宋" w:eastAsia="仿宋" w:cs="仿宋"/>
          <w:sz w:val="32"/>
          <w:szCs w:val="32"/>
        </w:rPr>
        <w:t>电动车管理应当坚持人民至上、生命至上，遵循源头管理、防治结合、分类施策、协同共治、高效便民的原则。</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652"/>
        <w:rPr>
          <w:rFonts w:hint="eastAsia" w:ascii="仿宋" w:hAnsi="仿宋" w:eastAsia="仿宋" w:cs="仿宋"/>
          <w:sz w:val="32"/>
          <w:szCs w:val="32"/>
        </w:rPr>
      </w:pPr>
      <w:bookmarkStart w:id="4" w:name="_Hlk157526854"/>
      <w:r>
        <w:rPr>
          <w:rStyle w:val="10"/>
          <w:rFonts w:hint="eastAsia" w:ascii="仿宋" w:hAnsi="仿宋" w:eastAsia="仿宋" w:cs="仿宋"/>
          <w:b w:val="0"/>
          <w:bCs/>
          <w:color w:val="323232"/>
          <w:spacing w:val="23"/>
          <w:sz w:val="32"/>
          <w:szCs w:val="32"/>
          <w:shd w:val="clear" w:color="auto" w:fill="FFFFFF"/>
        </w:rPr>
        <w:t>第四条</w:t>
      </w:r>
      <w:r>
        <w:rPr>
          <w:rFonts w:hint="eastAsia" w:ascii="仿宋" w:hAnsi="仿宋" w:eastAsia="仿宋" w:cs="仿宋"/>
          <w:b/>
          <w:bCs/>
          <w:color w:val="323232"/>
          <w:spacing w:val="23"/>
          <w:sz w:val="32"/>
          <w:szCs w:val="32"/>
          <w:shd w:val="clear" w:color="auto" w:fill="FFFFFF"/>
        </w:rPr>
        <w:t>【职责分工】</w:t>
      </w:r>
      <w:r>
        <w:rPr>
          <w:rStyle w:val="10"/>
          <w:rFonts w:hint="eastAsia" w:ascii="仿宋" w:hAnsi="仿宋" w:eastAsia="仿宋" w:cs="仿宋"/>
          <w:b w:val="0"/>
          <w:bCs/>
          <w:color w:val="323232"/>
          <w:spacing w:val="23"/>
          <w:sz w:val="32"/>
          <w:szCs w:val="32"/>
          <w:shd w:val="clear" w:color="auto" w:fill="FFFFFF"/>
        </w:rPr>
        <w:t> </w:t>
      </w:r>
      <w:bookmarkEnd w:id="4"/>
      <w:bookmarkStart w:id="5" w:name="_Hlk168663780"/>
      <w:r>
        <w:rPr>
          <w:rFonts w:hint="eastAsia" w:ascii="仿宋" w:hAnsi="仿宋" w:eastAsia="仿宋" w:cs="仿宋"/>
          <w:sz w:val="32"/>
          <w:szCs w:val="32"/>
        </w:rPr>
        <w:t>市、县（区）人民政府</w:t>
      </w:r>
      <w:bookmarkEnd w:id="5"/>
      <w:r>
        <w:rPr>
          <w:rFonts w:hint="eastAsia" w:ascii="仿宋" w:hAnsi="仿宋" w:eastAsia="仿宋" w:cs="仿宋"/>
          <w:sz w:val="32"/>
          <w:szCs w:val="32"/>
        </w:rPr>
        <w:t>应当加强对电动车管理工作的领导，制定相关政策措施，建立健全工作协调机制，保障经费投入，督促有关部门依法履行监督管理职责。</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bookmarkStart w:id="6" w:name="_Hlk158837993"/>
      <w:r>
        <w:rPr>
          <w:rFonts w:hint="eastAsia" w:ascii="仿宋" w:hAnsi="仿宋" w:eastAsia="仿宋" w:cs="仿宋"/>
          <w:sz w:val="32"/>
          <w:szCs w:val="32"/>
        </w:rPr>
        <w:t>市、县（区）人民政府有关部门在各自职责范围内，重点履行以下电动车监督管理职责：</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（一）公安机关交通管理部门负责电动车道路交通安全的监督管理。</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（二）市场监管部门负责生产、销售领域电动车及其充电器、蓄电池等配套零部件产品质量的监督管理。</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（三）工业和信息化部门负责电动车生产企业及其产品的准入和监督管理。</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（四）生态环境部门负责电动车废旧蓄电池的回收、处置等的监督管理。</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（五）住房和城乡建设部门督促指导车辆停放场地及充电设施配建，督促物业服务企业加强物业服务区域内电动车的停放、充电管理。</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（六）城市管理部门负责电动车影响城市市容环境卫生的监督管理。</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自然资源、发展改革、交通运输、财政、教育、应急、邮政等有关部门和消防救援机构，按照各自职责做好电动车监督管理相关工作。</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负有监督管理职责的有关部门及单位应当建立信息共享和执法协作机制，通过信息通报、联合执法、案件移送等方式，加强电动车的日常监督管理，及时制止并依法处理电动车有关违法行为。</w:t>
      </w:r>
    </w:p>
    <w:bookmarkEnd w:id="6"/>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652"/>
        <w:rPr>
          <w:rFonts w:hint="eastAsia" w:ascii="仿宋" w:hAnsi="仿宋" w:eastAsia="仿宋" w:cs="仿宋"/>
          <w:sz w:val="32"/>
          <w:szCs w:val="32"/>
        </w:rPr>
      </w:pPr>
      <w:r>
        <w:rPr>
          <w:rStyle w:val="10"/>
          <w:rFonts w:hint="eastAsia" w:ascii="仿宋" w:hAnsi="仿宋" w:eastAsia="仿宋" w:cs="仿宋"/>
          <w:b w:val="0"/>
          <w:bCs/>
          <w:color w:val="323232"/>
          <w:spacing w:val="23"/>
          <w:sz w:val="32"/>
          <w:szCs w:val="32"/>
          <w:shd w:val="clear" w:color="auto" w:fill="FFFFFF"/>
        </w:rPr>
        <w:t>第五条</w:t>
      </w:r>
      <w:bookmarkStart w:id="7" w:name="_Hlk157528131"/>
      <w:r>
        <w:rPr>
          <w:rFonts w:hint="eastAsia" w:ascii="仿宋" w:hAnsi="仿宋" w:eastAsia="仿宋" w:cs="仿宋"/>
          <w:b/>
          <w:bCs/>
          <w:color w:val="323232"/>
          <w:spacing w:val="23"/>
          <w:sz w:val="32"/>
          <w:szCs w:val="32"/>
          <w:shd w:val="clear" w:color="auto" w:fill="FFFFFF"/>
        </w:rPr>
        <w:t>【宣传教育】</w:t>
      </w:r>
      <w:r>
        <w:rPr>
          <w:rStyle w:val="10"/>
          <w:rFonts w:hint="eastAsia" w:ascii="仿宋" w:hAnsi="仿宋" w:eastAsia="仿宋" w:cs="仿宋"/>
          <w:b w:val="0"/>
          <w:bCs/>
          <w:color w:val="323232"/>
          <w:spacing w:val="23"/>
          <w:sz w:val="32"/>
          <w:szCs w:val="32"/>
          <w:shd w:val="clear" w:color="auto" w:fill="FFFFFF"/>
        </w:rPr>
        <w:t> </w:t>
      </w:r>
      <w:bookmarkEnd w:id="7"/>
      <w:r>
        <w:rPr>
          <w:rFonts w:hint="eastAsia" w:ascii="仿宋" w:hAnsi="仿宋" w:eastAsia="仿宋" w:cs="仿宋"/>
          <w:sz w:val="32"/>
          <w:szCs w:val="32"/>
        </w:rPr>
        <w:t>市、县（区）人民政府和有关部门应当加强电动车安全的宣传教育，深入开展安全文化建设、安全常识普及和事故警示教育活动，培养和提高公众的电动车安全意识和安全素质。</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机关、企业事业单位、社会团体和有关组织应当加强对本单位人员电动车安全的宣传教育。</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报刊、广播、电视、互联网等媒体应当加强电动车安全的公益宣传。</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教育行政部门、学校应当将电动车安全纳入教育内容。</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652"/>
        <w:rPr>
          <w:rFonts w:hint="eastAsia" w:ascii="仿宋" w:hAnsi="仿宋" w:eastAsia="仿宋" w:cs="仿宋"/>
          <w:sz w:val="32"/>
          <w:szCs w:val="32"/>
        </w:rPr>
      </w:pPr>
      <w:bookmarkStart w:id="8" w:name="_Hlk158374536"/>
      <w:r>
        <w:rPr>
          <w:rStyle w:val="10"/>
          <w:rFonts w:hint="eastAsia" w:ascii="仿宋" w:hAnsi="仿宋" w:eastAsia="仿宋" w:cs="仿宋"/>
          <w:b w:val="0"/>
          <w:bCs/>
          <w:color w:val="323232"/>
          <w:spacing w:val="23"/>
          <w:sz w:val="32"/>
          <w:szCs w:val="32"/>
          <w:shd w:val="clear" w:color="auto" w:fill="FFFFFF"/>
        </w:rPr>
        <w:t>第六条</w:t>
      </w:r>
      <w:bookmarkStart w:id="9" w:name="_Hlk157541499"/>
      <w:r>
        <w:rPr>
          <w:rFonts w:hint="eastAsia" w:ascii="仿宋" w:hAnsi="仿宋" w:eastAsia="仿宋" w:cs="仿宋"/>
          <w:b/>
          <w:bCs/>
          <w:color w:val="323232"/>
          <w:spacing w:val="23"/>
          <w:sz w:val="32"/>
          <w:szCs w:val="32"/>
          <w:shd w:val="clear" w:color="auto" w:fill="FFFFFF"/>
        </w:rPr>
        <w:t>【租赁电动车源头调控】</w:t>
      </w:r>
      <w:bookmarkEnd w:id="8"/>
      <w:bookmarkEnd w:id="9"/>
      <w:bookmarkStart w:id="10" w:name="_Hlk168686865"/>
      <w:bookmarkStart w:id="11" w:name="_Hlk168686312"/>
      <w:r>
        <w:rPr>
          <w:rFonts w:hint="eastAsia" w:ascii="仿宋" w:hAnsi="仿宋" w:eastAsia="仿宋" w:cs="仿宋"/>
          <w:sz w:val="32"/>
          <w:szCs w:val="32"/>
        </w:rPr>
        <w:t>县（区）人民政府</w:t>
      </w:r>
      <w:bookmarkEnd w:id="10"/>
      <w:r>
        <w:rPr>
          <w:rFonts w:hint="eastAsia" w:ascii="仿宋" w:hAnsi="仿宋" w:eastAsia="仿宋" w:cs="仿宋"/>
          <w:sz w:val="32"/>
          <w:szCs w:val="32"/>
        </w:rPr>
        <w:t>确定的部门，应当根据道路通行、安全状况和交通需求等因素，合理确定投放互联网租赁电动车的种类、范围、数量和相关管理要求，向社会公布，并采取措施引导互联网电动车经营者规范有序开展经营服务活动。</w:t>
      </w:r>
    </w:p>
    <w:bookmarkEnd w:id="11"/>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县（区）人民政府确定的部门应当通过公开招标等公平竞争方式确定</w:t>
      </w:r>
      <w:bookmarkStart w:id="12" w:name="_Hlk159355302"/>
      <w:r>
        <w:rPr>
          <w:rFonts w:hint="eastAsia" w:ascii="仿宋" w:hAnsi="仿宋" w:eastAsia="仿宋" w:cs="仿宋"/>
          <w:sz w:val="32"/>
          <w:szCs w:val="32"/>
        </w:rPr>
        <w:t>互联网租赁电动车经营者</w:t>
      </w:r>
      <w:bookmarkEnd w:id="12"/>
      <w:r>
        <w:rPr>
          <w:rFonts w:hint="eastAsia" w:ascii="仿宋" w:hAnsi="仿宋" w:eastAsia="仿宋" w:cs="仿宋"/>
          <w:sz w:val="32"/>
          <w:szCs w:val="32"/>
        </w:rPr>
        <w:t>（以下简称经营者）以及车辆投放数额，并与经营者签订经营服务协议，明确经营管理要求、履约考核标准、违约责任等内容。</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任何单位和个人不得擅自投放</w:t>
      </w:r>
      <w:bookmarkStart w:id="13" w:name="_Hlk158927419"/>
      <w:r>
        <w:rPr>
          <w:rFonts w:hint="eastAsia" w:ascii="仿宋" w:hAnsi="仿宋" w:eastAsia="仿宋" w:cs="仿宋"/>
          <w:sz w:val="32"/>
          <w:szCs w:val="32"/>
        </w:rPr>
        <w:t>或者超配额投放互联网租赁电动车。</w:t>
      </w:r>
    </w:p>
    <w:bookmarkEnd w:id="13"/>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违反本条第三款规定，擅自投放或者超配额投放互联网租赁电动车的，由县（区）城市管理部门责令限期收回车辆，对经营者处二万元以上二十万元以下罚款。</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第七条</w:t>
      </w:r>
      <w:r>
        <w:rPr>
          <w:rFonts w:hint="eastAsia" w:ascii="仿宋" w:hAnsi="仿宋" w:eastAsia="仿宋" w:cs="仿宋"/>
          <w:b/>
          <w:bCs/>
          <w:color w:val="323232"/>
          <w:spacing w:val="23"/>
          <w:sz w:val="32"/>
          <w:szCs w:val="32"/>
          <w:shd w:val="clear" w:color="auto" w:fill="FFFFFF"/>
        </w:rPr>
        <w:t>【行业组织管理】</w:t>
      </w:r>
      <w:r>
        <w:rPr>
          <w:rFonts w:hint="eastAsia" w:ascii="仿宋" w:hAnsi="仿宋" w:eastAsia="仿宋" w:cs="仿宋"/>
          <w:sz w:val="32"/>
          <w:szCs w:val="32"/>
        </w:rPr>
        <w:t>电动车有关行业组织应当加强行业自律，建立健全行业管理规范，引导、协调、监督会员单位依法从事电动车生产、销售、回收等经营活动，协助有关部门做好电动车管理工作。</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第八条</w:t>
      </w:r>
      <w:r>
        <w:rPr>
          <w:rFonts w:hint="eastAsia" w:ascii="仿宋" w:hAnsi="仿宋" w:eastAsia="仿宋" w:cs="仿宋"/>
          <w:b/>
          <w:bCs/>
          <w:color w:val="323232"/>
          <w:spacing w:val="23"/>
          <w:sz w:val="32"/>
          <w:szCs w:val="32"/>
          <w:shd w:val="clear" w:color="auto" w:fill="FFFFFF"/>
        </w:rPr>
        <w:t>【电动车辆准入管理】</w:t>
      </w:r>
      <w:r>
        <w:rPr>
          <w:rFonts w:hint="eastAsia" w:ascii="仿宋" w:hAnsi="仿宋" w:eastAsia="仿宋" w:cs="仿宋"/>
          <w:sz w:val="32"/>
          <w:szCs w:val="32"/>
        </w:rPr>
        <w:t>可在本市生产、销售和进口的电动车包括：（一）符合强制性国家标准并获得强制性产品认证的电动自行车；（二）已经</w:t>
      </w:r>
      <w:bookmarkStart w:id="14" w:name="_Hlk170237491"/>
      <w:r>
        <w:rPr>
          <w:rFonts w:hint="eastAsia" w:ascii="仿宋" w:hAnsi="仿宋" w:eastAsia="仿宋" w:cs="仿宋"/>
          <w:sz w:val="32"/>
          <w:szCs w:val="32"/>
        </w:rPr>
        <w:t>列入《道路机动车辆生产企业及产品公告》的电动摩托车和电动汽车</w:t>
      </w:r>
      <w:bookmarkEnd w:id="14"/>
      <w:r>
        <w:rPr>
          <w:rFonts w:hint="eastAsia" w:ascii="仿宋" w:hAnsi="仿宋" w:eastAsia="仿宋" w:cs="仿宋"/>
          <w:sz w:val="32"/>
          <w:szCs w:val="32"/>
        </w:rPr>
        <w:t>。</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电动自行车生产者、进口者应当委托经国家认证认可监督管理部门指定的认证机构对其生产或者进口的电动自行车进行强制性产品认证。认证机构应当及时将已获得强制性产品认证证书的电动自行车品牌型号、认证证书和产品合格证等有关内容的数据信息上传至市场监督管理部门相关信息管理系统。</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市场监督管理部门应当将已获得强制性产品认证证书的电动自行车的生产者、品牌、型号、认证证书等内容的查询途径向社会公布。</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bCs/>
          <w:sz w:val="32"/>
          <w:szCs w:val="32"/>
        </w:rPr>
        <w:t>第九条</w:t>
      </w:r>
      <w:bookmarkStart w:id="15" w:name="_Hlk157544218"/>
      <w:r>
        <w:rPr>
          <w:rFonts w:hint="eastAsia" w:ascii="仿宋" w:hAnsi="仿宋" w:eastAsia="仿宋" w:cs="仿宋"/>
          <w:b/>
          <w:color w:val="323232"/>
          <w:spacing w:val="23"/>
          <w:sz w:val="32"/>
          <w:szCs w:val="32"/>
          <w:shd w:val="clear" w:color="auto" w:fill="FFFFFF"/>
        </w:rPr>
        <w:t>【电动车</w:t>
      </w:r>
      <w:r>
        <w:rPr>
          <w:rFonts w:hint="eastAsia" w:ascii="仿宋" w:hAnsi="仿宋" w:eastAsia="仿宋" w:cs="仿宋"/>
          <w:b/>
          <w:sz w:val="32"/>
          <w:szCs w:val="32"/>
        </w:rPr>
        <w:t>销售者义务</w:t>
      </w:r>
      <w:r>
        <w:rPr>
          <w:rFonts w:hint="eastAsia" w:ascii="仿宋" w:hAnsi="仿宋" w:eastAsia="仿宋" w:cs="仿宋"/>
          <w:b/>
          <w:color w:val="323232"/>
          <w:spacing w:val="23"/>
          <w:sz w:val="32"/>
          <w:szCs w:val="32"/>
          <w:shd w:val="clear" w:color="auto" w:fill="FFFFFF"/>
        </w:rPr>
        <w:t>】</w:t>
      </w:r>
      <w:bookmarkEnd w:id="15"/>
      <w:bookmarkStart w:id="16" w:name="_Hlk158840274"/>
      <w:r>
        <w:rPr>
          <w:rFonts w:hint="eastAsia" w:ascii="仿宋" w:hAnsi="仿宋" w:eastAsia="仿宋" w:cs="仿宋"/>
          <w:sz w:val="32"/>
          <w:szCs w:val="32"/>
        </w:rPr>
        <w:t>电动车销售者应当建立并执行进货查验制度，验明电动车及其他安全附件的合格证明和其他标识。</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电动车销售者应当在销售场所醒目位置公示销售的电动车列入《道路机动车辆生产企业及产品公告》、</w:t>
      </w:r>
      <w:bookmarkStart w:id="17" w:name="_Hlk163590782"/>
      <w:r>
        <w:rPr>
          <w:rFonts w:hint="eastAsia" w:ascii="仿宋" w:hAnsi="仿宋" w:eastAsia="仿宋" w:cs="仿宋"/>
          <w:sz w:val="32"/>
          <w:szCs w:val="32"/>
        </w:rPr>
        <w:t>符合强制性国家标准并获得强制性产品认证</w:t>
      </w:r>
      <w:bookmarkEnd w:id="17"/>
      <w:r>
        <w:rPr>
          <w:rFonts w:hint="eastAsia" w:ascii="仿宋" w:hAnsi="仿宋" w:eastAsia="仿宋" w:cs="仿宋"/>
          <w:sz w:val="32"/>
          <w:szCs w:val="32"/>
        </w:rPr>
        <w:t>等相关信息。向消费者明示产品的性能、规格、标准、合格证、说明书等，为消费者提供销售发票和车辆合格证。不得向消费者作虚假宣传，不得销售不符合强制性国家标准或者未经强制性产品认证的电动车。</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消费者购买电动车时，应当对电动车的性能、规格、标准、合格证、说明书等进行了解，购买符合强制性国家标准并获得强制性产品认证的电动车，并索要销售发票和车辆合格证，及时办理登记。</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鼓励电动车销售者实行带牌销售。市、县（区）公安机关交通管理部门可以委托电动车销售者带牌销售。</w:t>
      </w:r>
    </w:p>
    <w:bookmarkEnd w:id="16"/>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652"/>
        <w:rPr>
          <w:rFonts w:hint="eastAsia" w:ascii="仿宋" w:hAnsi="仿宋" w:eastAsia="仿宋" w:cs="仿宋"/>
          <w:sz w:val="32"/>
          <w:szCs w:val="32"/>
        </w:rPr>
      </w:pPr>
      <w:bookmarkStart w:id="18" w:name="_Hlk158840168"/>
      <w:r>
        <w:rPr>
          <w:rStyle w:val="10"/>
          <w:rFonts w:hint="eastAsia" w:ascii="仿宋" w:hAnsi="仿宋" w:eastAsia="仿宋" w:cs="仿宋"/>
          <w:b w:val="0"/>
          <w:bCs/>
          <w:color w:val="323232"/>
          <w:spacing w:val="23"/>
          <w:sz w:val="32"/>
          <w:szCs w:val="32"/>
          <w:shd w:val="clear" w:color="auto" w:fill="FFFFFF"/>
        </w:rPr>
        <w:t>第十条</w:t>
      </w:r>
      <w:bookmarkStart w:id="19" w:name="_Hlk157585747"/>
      <w:r>
        <w:rPr>
          <w:rFonts w:hint="eastAsia" w:ascii="仿宋" w:hAnsi="仿宋" w:eastAsia="仿宋" w:cs="仿宋"/>
          <w:b/>
          <w:color w:val="323232"/>
          <w:spacing w:val="23"/>
          <w:sz w:val="32"/>
          <w:szCs w:val="32"/>
          <w:shd w:val="clear" w:color="auto" w:fill="FFFFFF"/>
        </w:rPr>
        <w:t>【电动车登记管理】</w:t>
      </w:r>
      <w:bookmarkEnd w:id="19"/>
      <w:r>
        <w:rPr>
          <w:rFonts w:hint="eastAsia" w:ascii="仿宋" w:hAnsi="仿宋" w:eastAsia="仿宋" w:cs="仿宋"/>
          <w:sz w:val="32"/>
          <w:szCs w:val="32"/>
        </w:rPr>
        <w:t>电动摩托车和低速电动汽车属于机动车，依照《机动车登记规定》进行登记。电动自行车属于非机动车，符合国家标准的电动自行车依照《甘肃省电动自行车管理办法》进行登记；对在用超标电动自行车已发放临时号牌的，县（区）人民政府应当采取以旧换新、折价回购、发放补贴等措施，稳妥淘汰。</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电动车应当在取得公安机关交通管理部门核发的有效号牌、行驶证后，方可上道路行驶；尚未取得号牌、行驶证的电动车，需要临时上道路行驶的，应当取得临时通行号牌。互联网租赁电动车应当由经营者办理号牌和行驶证后方可投入运营。</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bookmarkStart w:id="20" w:name="_Hlk170237243"/>
      <w:bookmarkStart w:id="21" w:name="_Hlk157588249"/>
      <w:r>
        <w:rPr>
          <w:rFonts w:hint="eastAsia" w:ascii="仿宋" w:hAnsi="仿宋" w:eastAsia="仿宋" w:cs="仿宋"/>
          <w:sz w:val="32"/>
          <w:szCs w:val="32"/>
        </w:rPr>
        <w:t>违反本条第二款规定，</w:t>
      </w:r>
      <w:bookmarkEnd w:id="20"/>
      <w:r>
        <w:rPr>
          <w:rFonts w:hint="eastAsia" w:ascii="仿宋" w:hAnsi="仿宋" w:eastAsia="仿宋" w:cs="仿宋"/>
          <w:sz w:val="32"/>
          <w:szCs w:val="32"/>
        </w:rPr>
        <w:t>驾驶未经登记的电动自行车上道路行驶的，由公安机关交通管理部门对驾驶人处五十元罚款。对拒绝接受罚款处罚的，可以扣留电动自行车。驾驶人接受处理后，公安机关交通管理部门应当立即归还车辆。</w:t>
      </w:r>
    </w:p>
    <w:bookmarkEnd w:id="21"/>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652"/>
        <w:rPr>
          <w:rFonts w:hint="eastAsia" w:ascii="仿宋" w:hAnsi="仿宋" w:eastAsia="仿宋" w:cs="仿宋"/>
          <w:sz w:val="32"/>
          <w:szCs w:val="32"/>
        </w:rPr>
      </w:pPr>
      <w:r>
        <w:rPr>
          <w:rStyle w:val="10"/>
          <w:rFonts w:hint="eastAsia" w:ascii="仿宋" w:hAnsi="仿宋" w:eastAsia="仿宋" w:cs="仿宋"/>
          <w:b w:val="0"/>
          <w:bCs/>
          <w:spacing w:val="23"/>
          <w:sz w:val="32"/>
          <w:szCs w:val="32"/>
          <w:shd w:val="clear" w:color="auto" w:fill="FFFFFF"/>
        </w:rPr>
        <w:t>第十一条</w:t>
      </w:r>
      <w:r>
        <w:rPr>
          <w:rFonts w:hint="eastAsia" w:ascii="仿宋" w:hAnsi="仿宋" w:eastAsia="仿宋" w:cs="仿宋"/>
          <w:b/>
          <w:spacing w:val="23"/>
          <w:sz w:val="32"/>
          <w:szCs w:val="32"/>
          <w:shd w:val="clear" w:color="auto" w:fill="FFFFFF"/>
        </w:rPr>
        <w:t>【驾驶人准入】 </w:t>
      </w:r>
      <w:r>
        <w:rPr>
          <w:rFonts w:hint="eastAsia" w:ascii="仿宋" w:hAnsi="仿宋" w:eastAsia="仿宋" w:cs="仿宋"/>
          <w:sz w:val="32"/>
          <w:szCs w:val="32"/>
        </w:rPr>
        <w:t>电动车驾驶人应当符合下列条件：</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（一）驾驶电动自行车的，应当年满十六周岁；</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 xml:space="preserve">（二）驾驶轻便电动摩托车的，应当年满18周岁，并取得轻便摩托车准驾车型的机动车驾驶证（准驾车型代号：F）； </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 xml:space="preserve">（三）驾驶普通电动摩托车的，应当为年满18周岁以上、60周岁以下，并取得普通二轮摩托车准驾车型的机动车驾驶证（准驾车型代号：E）； </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 xml:space="preserve">（四）驾驶普通三轮电动摩托车的，应当为年满18周岁以上、60周岁以下，并取得普通三轮摩托车准驾车型的机动车驾驶证（准驾车型代号：D）； </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 xml:space="preserve">（五）驾驶低速三轮电动汽车的，应当为年满18周岁以上、60周岁以下，并取得三轮汽车准驾车型的机动车驾驶证（准驾车型代号：C4）； </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 xml:space="preserve">（六）驾驶低速载货四轮电动汽车的，应当为年满18周岁以上、60周岁以下，并取得低速载货汽车准驾车型的机动车驾驶证（准驾车型代号：C3）； </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（七）驾驶低速载客四轮电动汽车的，应当为年满18周岁以上，并取得小型自动挡汽车准驾车型的机动车驾驶证（准驾车型代号：C2）；</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652"/>
        <w:rPr>
          <w:rFonts w:hint="eastAsia" w:ascii="仿宋" w:hAnsi="仿宋" w:eastAsia="仿宋" w:cs="仿宋"/>
          <w:sz w:val="32"/>
          <w:szCs w:val="32"/>
        </w:rPr>
      </w:pPr>
      <w:r>
        <w:rPr>
          <w:rStyle w:val="10"/>
          <w:rFonts w:hint="eastAsia" w:ascii="仿宋" w:hAnsi="仿宋" w:eastAsia="仿宋" w:cs="仿宋"/>
          <w:b w:val="0"/>
          <w:bCs/>
          <w:color w:val="323232"/>
          <w:spacing w:val="23"/>
          <w:sz w:val="32"/>
          <w:szCs w:val="32"/>
          <w:shd w:val="clear" w:color="auto" w:fill="FFFFFF"/>
        </w:rPr>
        <w:t>第十二条</w:t>
      </w:r>
      <w:r>
        <w:rPr>
          <w:rFonts w:hint="eastAsia" w:ascii="仿宋" w:hAnsi="仿宋" w:eastAsia="仿宋" w:cs="仿宋"/>
          <w:b/>
          <w:color w:val="323232"/>
          <w:spacing w:val="23"/>
          <w:sz w:val="32"/>
          <w:szCs w:val="32"/>
          <w:shd w:val="clear" w:color="auto" w:fill="FFFFFF"/>
        </w:rPr>
        <w:t>【载人载物规定】</w:t>
      </w:r>
      <w:r>
        <w:rPr>
          <w:rFonts w:hint="eastAsia" w:ascii="仿宋" w:hAnsi="仿宋" w:eastAsia="仿宋" w:cs="仿宋"/>
          <w:sz w:val="32"/>
          <w:szCs w:val="32"/>
        </w:rPr>
        <w:t>电动车载人载物应当遵守下列规定：</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left="420" w:firstLine="0" w:firstLineChars="0"/>
        <w:rPr>
          <w:rFonts w:hint="eastAsia" w:ascii="仿宋" w:hAnsi="仿宋" w:eastAsia="仿宋" w:cs="仿宋"/>
          <w:sz w:val="32"/>
          <w:szCs w:val="32"/>
        </w:rPr>
      </w:pPr>
      <w:r>
        <w:rPr>
          <w:rFonts w:hint="eastAsia" w:ascii="仿宋" w:hAnsi="仿宋" w:eastAsia="仿宋" w:cs="仿宋"/>
          <w:sz w:val="32"/>
          <w:szCs w:val="32"/>
        </w:rPr>
        <w:t>（一）年满十六周岁的未成年人驾驶电动自行车不得载人；</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（二）成年人驾驶电动自行车可以搭载一名十二周岁以下儿童，搭载学龄前儿童的，应当使用安全座椅；</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（三）电动摩托车后座不得乘坐未满十二周岁的未成年人，轻便摩托车不得载人；</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（四）低速电动汽车载人不得超过核定的搭载人数；</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lang w:eastAsia="zh-CN"/>
        </w:rPr>
      </w:pPr>
      <w:r>
        <w:rPr>
          <w:rFonts w:hint="eastAsia" w:ascii="仿宋" w:hAnsi="仿宋" w:eastAsia="仿宋" w:cs="仿宋"/>
          <w:sz w:val="32"/>
          <w:szCs w:val="32"/>
        </w:rPr>
        <w:t>（五）电动车载物应当符合核定的承载质量，严禁超载，载物的长、宽、高不得违反装载要求，不得遗洒、飘散载运物</w:t>
      </w:r>
      <w:r>
        <w:rPr>
          <w:rFonts w:hint="eastAsia" w:ascii="仿宋" w:hAnsi="仿宋" w:eastAsia="仿宋" w:cs="仿宋"/>
          <w:sz w:val="32"/>
          <w:szCs w:val="32"/>
          <w:lang w:eastAsia="zh-CN"/>
        </w:rPr>
        <w:t>；</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（六）法律</w:t>
      </w:r>
      <w:r>
        <w:rPr>
          <w:rFonts w:hint="eastAsia" w:ascii="仿宋" w:hAnsi="仿宋" w:eastAsia="仿宋" w:cs="仿宋"/>
          <w:sz w:val="32"/>
          <w:szCs w:val="32"/>
          <w:lang w:eastAsia="zh-CN"/>
        </w:rPr>
        <w:t>、</w:t>
      </w:r>
      <w:r>
        <w:rPr>
          <w:rFonts w:hint="eastAsia" w:ascii="仿宋" w:hAnsi="仿宋" w:eastAsia="仿宋" w:cs="仿宋"/>
          <w:sz w:val="32"/>
          <w:szCs w:val="32"/>
        </w:rPr>
        <w:t>法规</w:t>
      </w:r>
      <w:r>
        <w:rPr>
          <w:rFonts w:hint="eastAsia" w:ascii="仿宋" w:hAnsi="仿宋" w:eastAsia="仿宋" w:cs="仿宋"/>
          <w:sz w:val="32"/>
          <w:szCs w:val="32"/>
          <w:lang w:eastAsia="zh-CN"/>
        </w:rPr>
        <w:t>、</w:t>
      </w:r>
      <w:r>
        <w:rPr>
          <w:rFonts w:hint="eastAsia" w:ascii="仿宋" w:hAnsi="仿宋" w:eastAsia="仿宋" w:cs="仿宋"/>
          <w:sz w:val="32"/>
          <w:szCs w:val="32"/>
        </w:rPr>
        <w:t>规章规定应当遵守的其他事项。</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652"/>
        <w:rPr>
          <w:rFonts w:hint="eastAsia" w:ascii="仿宋" w:hAnsi="仿宋" w:eastAsia="仿宋" w:cs="仿宋"/>
          <w:sz w:val="32"/>
          <w:szCs w:val="32"/>
        </w:rPr>
      </w:pPr>
      <w:r>
        <w:rPr>
          <w:rStyle w:val="10"/>
          <w:rFonts w:hint="eastAsia" w:ascii="仿宋" w:hAnsi="仿宋" w:eastAsia="仿宋" w:cs="仿宋"/>
          <w:b w:val="0"/>
          <w:bCs/>
          <w:color w:val="323232"/>
          <w:spacing w:val="23"/>
          <w:sz w:val="32"/>
          <w:szCs w:val="32"/>
          <w:shd w:val="clear" w:color="auto" w:fill="FFFFFF"/>
        </w:rPr>
        <w:t>第十三条</w:t>
      </w:r>
      <w:r>
        <w:rPr>
          <w:rFonts w:hint="eastAsia" w:ascii="仿宋" w:hAnsi="仿宋" w:eastAsia="仿宋" w:cs="仿宋"/>
          <w:b/>
          <w:color w:val="323232"/>
          <w:spacing w:val="23"/>
          <w:sz w:val="32"/>
          <w:szCs w:val="32"/>
          <w:shd w:val="clear" w:color="auto" w:fill="FFFFFF"/>
        </w:rPr>
        <w:t>【上路行驶规定】</w:t>
      </w:r>
      <w:r>
        <w:rPr>
          <w:rFonts w:hint="eastAsia" w:ascii="仿宋" w:hAnsi="仿宋" w:eastAsia="仿宋" w:cs="仿宋"/>
          <w:sz w:val="32"/>
          <w:szCs w:val="32"/>
        </w:rPr>
        <w:t>驾驶纳入机动车管理的</w:t>
      </w:r>
      <w:bookmarkStart w:id="22" w:name="_Hlk163638917"/>
      <w:bookmarkStart w:id="23" w:name="_Hlk170238078"/>
      <w:r>
        <w:rPr>
          <w:rFonts w:hint="eastAsia" w:ascii="仿宋" w:hAnsi="仿宋" w:eastAsia="仿宋" w:cs="仿宋"/>
          <w:sz w:val="32"/>
          <w:szCs w:val="32"/>
        </w:rPr>
        <w:t>电动摩托车和低速电动</w:t>
      </w:r>
      <w:bookmarkEnd w:id="22"/>
      <w:r>
        <w:rPr>
          <w:rFonts w:hint="eastAsia" w:ascii="仿宋" w:hAnsi="仿宋" w:eastAsia="仿宋" w:cs="仿宋"/>
          <w:sz w:val="32"/>
          <w:szCs w:val="32"/>
        </w:rPr>
        <w:t>汽车</w:t>
      </w:r>
      <w:bookmarkEnd w:id="23"/>
      <w:r>
        <w:rPr>
          <w:rFonts w:hint="eastAsia" w:ascii="仿宋" w:hAnsi="仿宋" w:eastAsia="仿宋" w:cs="仿宋"/>
          <w:sz w:val="32"/>
          <w:szCs w:val="32"/>
        </w:rPr>
        <w:t>上道路行驶，应当遵守有关法律、法规关于机动车通行的规定。</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 xml:space="preserve">驾驶纳入非机动车管理的电动自行车上道路行驶，应当遵守下列规定： </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（1）保持制动、喇叭、灯光及夜间反光装置等安全设备性能符合安全要求；</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（2）在规定位置悬挂号牌并保持清晰、完整，不得故意遮挡、污损号牌；</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 xml:space="preserve">（3）驾驶人及乘坐人员规范佩戴符合相关质量标准的安全头盔； </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（4）行经人行横道时，减速行驶，遇行人正在通过人行横道的，停车让行；行经没有交通信号的道路时，遇行人横过道路的，应当避让；</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bookmarkStart w:id="24" w:name="_Hlk163642135"/>
      <w:r>
        <w:rPr>
          <w:rFonts w:hint="eastAsia" w:ascii="仿宋" w:hAnsi="仿宋" w:eastAsia="仿宋" w:cs="仿宋"/>
          <w:sz w:val="32"/>
          <w:szCs w:val="32"/>
        </w:rPr>
        <w:t>（5）进入环形路口时，应当按照交通信号指示方向行驶，并让已在路口内的车辆先行；</w:t>
      </w:r>
    </w:p>
    <w:bookmarkEnd w:id="24"/>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（6）在夜间或者遇有雨、雾、沙尘等低能见度情况行驶时，应当开启照明灯光，减速慢行；</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（7）不得追逐竞驶、曲折竞驶、逆向行驶、在机动车辆之间穿插通行；</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（8）不得有使用电子设备、接听手持电话等分散注意力、妨碍安全驾驶的行为；</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lang w:val="en-US" w:eastAsia="zh-CN"/>
        </w:rPr>
      </w:pPr>
      <w:r>
        <w:rPr>
          <w:rFonts w:hint="eastAsia" w:ascii="仿宋" w:hAnsi="仿宋" w:eastAsia="仿宋" w:cs="仿宋"/>
          <w:sz w:val="32"/>
          <w:szCs w:val="32"/>
        </w:rPr>
        <w:t>（9）不得醉酒驾驶</w:t>
      </w:r>
      <w:r>
        <w:rPr>
          <w:rFonts w:hint="eastAsia" w:ascii="仿宋" w:hAnsi="仿宋" w:eastAsia="仿宋" w:cs="仿宋"/>
          <w:sz w:val="32"/>
          <w:szCs w:val="32"/>
          <w:lang w:eastAsia="zh-CN"/>
        </w:rPr>
        <w:t>；</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lang w:eastAsia="zh-CN"/>
        </w:rPr>
      </w:pPr>
      <w:r>
        <w:rPr>
          <w:rFonts w:hint="eastAsia" w:ascii="仿宋" w:hAnsi="仿宋" w:eastAsia="仿宋" w:cs="仿宋"/>
          <w:sz w:val="32"/>
          <w:szCs w:val="32"/>
        </w:rPr>
        <w:t>（10）法律、法规、规章的其他</w:t>
      </w:r>
      <w:r>
        <w:rPr>
          <w:rFonts w:hint="eastAsia" w:ascii="仿宋" w:hAnsi="仿宋" w:eastAsia="仿宋" w:cs="仿宋"/>
          <w:sz w:val="32"/>
          <w:szCs w:val="32"/>
          <w:lang w:eastAsia="zh-CN"/>
        </w:rPr>
        <w:t>有</w:t>
      </w:r>
      <w:r>
        <w:rPr>
          <w:rFonts w:hint="eastAsia" w:ascii="仿宋" w:hAnsi="仿宋" w:eastAsia="仿宋" w:cs="仿宋"/>
          <w:sz w:val="32"/>
          <w:szCs w:val="32"/>
        </w:rPr>
        <w:t>关规定</w:t>
      </w:r>
      <w:r>
        <w:rPr>
          <w:rFonts w:hint="eastAsia" w:ascii="仿宋" w:hAnsi="仿宋" w:eastAsia="仿宋" w:cs="仿宋"/>
          <w:sz w:val="32"/>
          <w:szCs w:val="32"/>
          <w:lang w:eastAsia="zh-CN"/>
        </w:rPr>
        <w:t>。</w:t>
      </w:r>
    </w:p>
    <w:p>
      <w:pPr>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ind w:firstLine="732" w:firstLineChars="200"/>
        <w:rPr>
          <w:rFonts w:hint="eastAsia" w:ascii="仿宋" w:hAnsi="仿宋" w:eastAsia="仿宋" w:cs="仿宋"/>
          <w:kern w:val="0"/>
          <w:sz w:val="32"/>
          <w:szCs w:val="32"/>
        </w:rPr>
      </w:pPr>
      <w:r>
        <w:rPr>
          <w:rFonts w:hint="eastAsia" w:ascii="仿宋" w:hAnsi="仿宋" w:eastAsia="仿宋" w:cs="仿宋"/>
          <w:color w:val="323232"/>
          <w:spacing w:val="23"/>
          <w:kern w:val="0"/>
          <w:sz w:val="32"/>
          <w:szCs w:val="32"/>
          <w:shd w:val="clear" w:color="auto" w:fill="FFFFFF"/>
        </w:rPr>
        <w:t>第十四条</w:t>
      </w:r>
      <w:r>
        <w:rPr>
          <w:rFonts w:hint="eastAsia" w:ascii="仿宋" w:hAnsi="仿宋" w:eastAsia="仿宋" w:cs="仿宋"/>
          <w:b/>
          <w:color w:val="323232"/>
          <w:spacing w:val="23"/>
          <w:kern w:val="0"/>
          <w:sz w:val="32"/>
          <w:szCs w:val="32"/>
          <w:shd w:val="clear" w:color="auto" w:fill="FFFFFF"/>
        </w:rPr>
        <w:t>【禁止性规定】</w:t>
      </w:r>
      <w:r>
        <w:rPr>
          <w:rFonts w:hint="eastAsia" w:ascii="仿宋" w:hAnsi="仿宋" w:eastAsia="仿宋" w:cs="仿宋"/>
          <w:kern w:val="0"/>
          <w:sz w:val="32"/>
          <w:szCs w:val="32"/>
        </w:rPr>
        <w:t>禁止拼装电动车，不得对出厂后的电动车实施下列加装、改装行为：</w:t>
      </w:r>
    </w:p>
    <w:p>
      <w:pPr>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ind w:firstLine="640" w:firstLineChars="200"/>
        <w:rPr>
          <w:rFonts w:hint="eastAsia" w:ascii="仿宋" w:hAnsi="仿宋" w:eastAsia="仿宋" w:cs="仿宋"/>
          <w:kern w:val="0"/>
          <w:sz w:val="32"/>
          <w:szCs w:val="32"/>
        </w:rPr>
      </w:pPr>
      <w:r>
        <w:rPr>
          <w:rFonts w:hint="eastAsia" w:ascii="仿宋" w:hAnsi="仿宋" w:eastAsia="仿宋" w:cs="仿宋"/>
          <w:kern w:val="0"/>
          <w:sz w:val="32"/>
          <w:szCs w:val="32"/>
        </w:rPr>
        <w:t>（一）加装、改装电动机和蓄电池等动力装置，或者更换不符合国家标准的电动机和蓄电池等动力装置；</w:t>
      </w:r>
    </w:p>
    <w:p>
      <w:pPr>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ind w:firstLine="640" w:firstLineChars="200"/>
        <w:rPr>
          <w:rFonts w:hint="eastAsia" w:ascii="仿宋" w:hAnsi="仿宋" w:eastAsia="仿宋" w:cs="仿宋"/>
          <w:kern w:val="0"/>
          <w:sz w:val="32"/>
          <w:szCs w:val="32"/>
        </w:rPr>
      </w:pPr>
      <w:r>
        <w:rPr>
          <w:rFonts w:hint="eastAsia" w:ascii="仿宋" w:hAnsi="仿宋" w:eastAsia="仿宋" w:cs="仿宋"/>
          <w:kern w:val="0"/>
          <w:sz w:val="32"/>
          <w:szCs w:val="32"/>
        </w:rPr>
        <w:t>（二）加装、改装灯光、车篷、车厢、座位或者挡风、遮阳、遮雨、高分贝音响等妨碍安全驾驶的装置；</w:t>
      </w:r>
    </w:p>
    <w:p>
      <w:pPr>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ind w:firstLine="640" w:firstLineChars="200"/>
        <w:rPr>
          <w:rFonts w:hint="eastAsia" w:ascii="仿宋" w:hAnsi="仿宋" w:eastAsia="仿宋" w:cs="仿宋"/>
          <w:kern w:val="0"/>
          <w:sz w:val="32"/>
          <w:szCs w:val="32"/>
        </w:rPr>
      </w:pPr>
      <w:r>
        <w:rPr>
          <w:rFonts w:hint="eastAsia" w:ascii="仿宋" w:hAnsi="仿宋" w:eastAsia="仿宋" w:cs="仿宋"/>
          <w:kern w:val="0"/>
          <w:sz w:val="32"/>
          <w:szCs w:val="32"/>
        </w:rPr>
        <w:t>（三）拆除或者改动限速装置、脚踏骑行设备、车速提示音装置；</w:t>
      </w:r>
    </w:p>
    <w:p>
      <w:pPr>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ind w:firstLine="640" w:firstLineChars="200"/>
        <w:rPr>
          <w:rFonts w:hint="eastAsia" w:ascii="仿宋" w:hAnsi="仿宋" w:eastAsia="仿宋" w:cs="仿宋"/>
          <w:kern w:val="0"/>
          <w:sz w:val="32"/>
          <w:szCs w:val="32"/>
        </w:rPr>
      </w:pPr>
      <w:r>
        <w:rPr>
          <w:rFonts w:hint="eastAsia" w:ascii="仿宋" w:hAnsi="仿宋" w:eastAsia="仿宋" w:cs="仿宋"/>
          <w:kern w:val="0"/>
          <w:sz w:val="32"/>
          <w:szCs w:val="32"/>
        </w:rPr>
        <w:t>（四）其他妨碍电动车行驶安全的加装、改装行为。</w:t>
      </w:r>
    </w:p>
    <w:p>
      <w:pPr>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ind w:firstLine="640" w:firstLineChars="200"/>
        <w:rPr>
          <w:rFonts w:hint="eastAsia" w:ascii="仿宋" w:hAnsi="仿宋" w:eastAsia="仿宋" w:cs="仿宋"/>
          <w:kern w:val="0"/>
          <w:sz w:val="32"/>
          <w:szCs w:val="32"/>
        </w:rPr>
      </w:pPr>
      <w:r>
        <w:rPr>
          <w:rFonts w:hint="eastAsia" w:ascii="仿宋" w:hAnsi="仿宋" w:eastAsia="仿宋" w:cs="仿宋"/>
          <w:kern w:val="0"/>
          <w:sz w:val="32"/>
          <w:szCs w:val="32"/>
        </w:rPr>
        <w:t>禁止生产、销售拼装和非法加装、非法改装的电动车。禁止驾驶拼装</w:t>
      </w:r>
      <w:bookmarkStart w:id="25" w:name="_Hlk163652907"/>
      <w:r>
        <w:rPr>
          <w:rFonts w:hint="eastAsia" w:ascii="仿宋" w:hAnsi="仿宋" w:eastAsia="仿宋" w:cs="仿宋"/>
          <w:kern w:val="0"/>
          <w:sz w:val="32"/>
          <w:szCs w:val="32"/>
        </w:rPr>
        <w:t>、非法改装、非法加装的电动车上道路行驶</w:t>
      </w:r>
      <w:bookmarkEnd w:id="25"/>
      <w:r>
        <w:rPr>
          <w:rFonts w:hint="eastAsia" w:ascii="仿宋" w:hAnsi="仿宋" w:eastAsia="仿宋" w:cs="仿宋"/>
          <w:kern w:val="0"/>
          <w:sz w:val="32"/>
          <w:szCs w:val="32"/>
        </w:rPr>
        <w:t>。</w:t>
      </w:r>
    </w:p>
    <w:p>
      <w:pPr>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ind w:firstLine="640" w:firstLineChars="200"/>
        <w:rPr>
          <w:rFonts w:hint="eastAsia" w:ascii="仿宋" w:hAnsi="仿宋" w:eastAsia="仿宋" w:cs="仿宋"/>
          <w:kern w:val="0"/>
          <w:sz w:val="32"/>
          <w:szCs w:val="32"/>
        </w:rPr>
      </w:pPr>
      <w:r>
        <w:rPr>
          <w:rFonts w:hint="eastAsia" w:ascii="仿宋" w:hAnsi="仿宋" w:eastAsia="仿宋" w:cs="仿宋"/>
          <w:kern w:val="0"/>
          <w:sz w:val="32"/>
          <w:szCs w:val="32"/>
        </w:rPr>
        <w:t>违反本条第一款规定，从事拼装和非法加装、非法改装电动车经营活动的，由市场监督管理部门责令经营者停止违法经营活动，没收违法所得。没有违法所得或者违法所得不足一千元的，处一千元罚款；违法所得一千元以上的，处违法所得一倍以上三倍以下罚款。</w:t>
      </w:r>
    </w:p>
    <w:p>
      <w:pPr>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560" w:lineRule="exact"/>
        <w:ind w:firstLine="640" w:firstLineChars="200"/>
        <w:rPr>
          <w:rFonts w:hint="eastAsia" w:ascii="仿宋" w:hAnsi="仿宋" w:eastAsia="仿宋" w:cs="仿宋"/>
          <w:kern w:val="0"/>
          <w:sz w:val="32"/>
          <w:szCs w:val="32"/>
        </w:rPr>
      </w:pPr>
      <w:r>
        <w:rPr>
          <w:rFonts w:hint="eastAsia" w:ascii="仿宋" w:hAnsi="仿宋" w:eastAsia="仿宋" w:cs="仿宋"/>
          <w:kern w:val="0"/>
          <w:sz w:val="32"/>
          <w:szCs w:val="32"/>
        </w:rPr>
        <w:t>违反本条第二款规定，</w:t>
      </w:r>
      <w:bookmarkStart w:id="26" w:name="_Hlk163654284"/>
      <w:r>
        <w:rPr>
          <w:rFonts w:hint="eastAsia" w:ascii="仿宋" w:hAnsi="仿宋" w:eastAsia="仿宋" w:cs="仿宋"/>
          <w:kern w:val="0"/>
          <w:sz w:val="32"/>
          <w:szCs w:val="32"/>
        </w:rPr>
        <w:t>驾驶拼装、非法改装、非法加装的电动摩托车和低速电动汽车上道路行驶的，</w:t>
      </w:r>
      <w:bookmarkEnd w:id="26"/>
      <w:bookmarkStart w:id="27" w:name="_Hlk163654307"/>
      <w:r>
        <w:rPr>
          <w:rFonts w:hint="eastAsia" w:ascii="仿宋" w:hAnsi="仿宋" w:eastAsia="仿宋" w:cs="仿宋"/>
          <w:kern w:val="0"/>
          <w:sz w:val="32"/>
          <w:szCs w:val="32"/>
        </w:rPr>
        <w:t>由公安机关交通管理部门</w:t>
      </w:r>
      <w:bookmarkEnd w:id="27"/>
      <w:r>
        <w:rPr>
          <w:rFonts w:hint="eastAsia" w:ascii="仿宋" w:hAnsi="仿宋" w:eastAsia="仿宋" w:cs="仿宋"/>
          <w:kern w:val="0"/>
          <w:sz w:val="32"/>
          <w:szCs w:val="32"/>
        </w:rPr>
        <w:t>予以收缴，处二百元以上二千元以下罚款，并吊销机动车驾驶证。</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违反本条第二款规定，驾驶拼装、非法改装的电动自行车上道路行驶的，由公安机关交通管理部门责令改正，处一百元罚款；驾驶非法加装的电动自行车上道路行驶的，由公安机关交通管理部门责令改正，处三十元以上五十元以下罚款。拒绝接受罚款处罚的，公安机关交通管理部门可以扣留电动自行车。扣留电动自行车应当当场出具凭证，并告知当事人在规定的期限内到公安机关交通管理部门接受处理。逾期不来接受处理，经公安机关交通管理部门通知并且经公告三个月仍不来接受处理的，对扣留的电动自行车依法处理。</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652"/>
        <w:rPr>
          <w:rFonts w:hint="eastAsia" w:ascii="仿宋" w:hAnsi="仿宋" w:eastAsia="仿宋" w:cs="仿宋"/>
          <w:sz w:val="32"/>
          <w:szCs w:val="32"/>
        </w:rPr>
      </w:pPr>
      <w:r>
        <w:rPr>
          <w:rStyle w:val="10"/>
          <w:rFonts w:hint="eastAsia" w:ascii="仿宋" w:hAnsi="仿宋" w:eastAsia="仿宋" w:cs="仿宋"/>
          <w:b w:val="0"/>
          <w:bCs/>
          <w:color w:val="323232"/>
          <w:spacing w:val="23"/>
          <w:sz w:val="32"/>
          <w:szCs w:val="32"/>
          <w:shd w:val="clear" w:color="auto" w:fill="FFFFFF"/>
        </w:rPr>
        <w:t>第十五条</w:t>
      </w:r>
      <w:r>
        <w:rPr>
          <w:rFonts w:hint="eastAsia" w:ascii="仿宋" w:hAnsi="仿宋" w:eastAsia="仿宋" w:cs="仿宋"/>
          <w:b/>
          <w:color w:val="323232"/>
          <w:spacing w:val="23"/>
          <w:sz w:val="32"/>
          <w:szCs w:val="32"/>
          <w:shd w:val="clear" w:color="auto" w:fill="FFFFFF"/>
        </w:rPr>
        <w:t>【电动车</w:t>
      </w:r>
      <w:r>
        <w:rPr>
          <w:rFonts w:hint="eastAsia" w:ascii="仿宋" w:hAnsi="仿宋" w:eastAsia="仿宋" w:cs="仿宋"/>
          <w:b/>
          <w:sz w:val="32"/>
          <w:szCs w:val="32"/>
        </w:rPr>
        <w:t>维修和回收</w:t>
      </w:r>
      <w:r>
        <w:rPr>
          <w:rFonts w:hint="eastAsia" w:ascii="仿宋" w:hAnsi="仿宋" w:eastAsia="仿宋" w:cs="仿宋"/>
          <w:b/>
          <w:color w:val="323232"/>
          <w:spacing w:val="23"/>
          <w:sz w:val="32"/>
          <w:szCs w:val="32"/>
          <w:shd w:val="clear" w:color="auto" w:fill="FFFFFF"/>
        </w:rPr>
        <w:t>】</w:t>
      </w:r>
      <w:r>
        <w:rPr>
          <w:rFonts w:hint="eastAsia" w:ascii="仿宋" w:hAnsi="仿宋" w:eastAsia="仿宋" w:cs="仿宋"/>
          <w:bCs/>
          <w:color w:val="323232"/>
          <w:spacing w:val="23"/>
          <w:sz w:val="32"/>
          <w:szCs w:val="32"/>
          <w:shd w:val="clear" w:color="auto" w:fill="FFFFFF"/>
        </w:rPr>
        <w:t>从事</w:t>
      </w:r>
      <w:r>
        <w:rPr>
          <w:rFonts w:hint="eastAsia" w:ascii="仿宋" w:hAnsi="仿宋" w:eastAsia="仿宋" w:cs="仿宋"/>
          <w:sz w:val="32"/>
          <w:szCs w:val="32"/>
        </w:rPr>
        <w:t>电动车维修的经营者应当建立维修台账，在维修过程中不得擅自改变车辆的外形特征与技术参数。</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鼓励车辆生产者、销售者、维修者采取以旧换新、折价回购等方式回收废旧电动车。</w:t>
      </w:r>
    </w:p>
    <w:bookmarkEnd w:id="18"/>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652"/>
        <w:rPr>
          <w:rFonts w:hint="eastAsia" w:ascii="仿宋" w:hAnsi="仿宋" w:eastAsia="仿宋" w:cs="仿宋"/>
          <w:sz w:val="32"/>
          <w:szCs w:val="32"/>
        </w:rPr>
      </w:pPr>
      <w:bookmarkStart w:id="28" w:name="_Hlk158367623"/>
      <w:r>
        <w:rPr>
          <w:rStyle w:val="10"/>
          <w:rFonts w:hint="eastAsia" w:ascii="仿宋" w:hAnsi="仿宋" w:eastAsia="仿宋" w:cs="仿宋"/>
          <w:b w:val="0"/>
          <w:bCs/>
          <w:color w:val="323232"/>
          <w:spacing w:val="23"/>
          <w:sz w:val="32"/>
          <w:szCs w:val="32"/>
          <w:shd w:val="clear" w:color="auto" w:fill="FFFFFF"/>
        </w:rPr>
        <w:t>第十六条</w:t>
      </w:r>
      <w:bookmarkStart w:id="29" w:name="_Hlk157585708"/>
      <w:r>
        <w:rPr>
          <w:rFonts w:hint="eastAsia" w:ascii="仿宋" w:hAnsi="仿宋" w:eastAsia="仿宋" w:cs="仿宋"/>
          <w:b/>
          <w:color w:val="323232"/>
          <w:spacing w:val="23"/>
          <w:sz w:val="32"/>
          <w:szCs w:val="32"/>
          <w:shd w:val="clear" w:color="auto" w:fill="FFFFFF"/>
        </w:rPr>
        <w:t>【</w:t>
      </w:r>
      <w:r>
        <w:rPr>
          <w:rFonts w:hint="eastAsia" w:ascii="仿宋" w:hAnsi="仿宋" w:eastAsia="仿宋" w:cs="仿宋"/>
          <w:b/>
          <w:sz w:val="32"/>
          <w:szCs w:val="32"/>
        </w:rPr>
        <w:t>废旧蓄电池安全处置</w:t>
      </w:r>
      <w:r>
        <w:rPr>
          <w:rFonts w:hint="eastAsia" w:ascii="仿宋" w:hAnsi="仿宋" w:eastAsia="仿宋" w:cs="仿宋"/>
          <w:b/>
          <w:color w:val="323232"/>
          <w:spacing w:val="23"/>
          <w:sz w:val="32"/>
          <w:szCs w:val="32"/>
          <w:shd w:val="clear" w:color="auto" w:fill="FFFFFF"/>
        </w:rPr>
        <w:t>】</w:t>
      </w:r>
      <w:bookmarkEnd w:id="29"/>
      <w:r>
        <w:rPr>
          <w:rFonts w:hint="eastAsia" w:ascii="仿宋" w:hAnsi="仿宋" w:eastAsia="仿宋" w:cs="仿宋"/>
          <w:sz w:val="32"/>
          <w:szCs w:val="32"/>
        </w:rPr>
        <w:t>电动车的生产者、销售者应当提供</w:t>
      </w:r>
      <w:bookmarkStart w:id="30" w:name="_Hlk157546186"/>
      <w:r>
        <w:rPr>
          <w:rFonts w:hint="eastAsia" w:ascii="仿宋" w:hAnsi="仿宋" w:eastAsia="仿宋" w:cs="仿宋"/>
          <w:sz w:val="32"/>
          <w:szCs w:val="32"/>
        </w:rPr>
        <w:t>废旧蓄电池</w:t>
      </w:r>
      <w:bookmarkEnd w:id="30"/>
      <w:r>
        <w:rPr>
          <w:rFonts w:hint="eastAsia" w:ascii="仿宋" w:hAnsi="仿宋" w:eastAsia="仿宋" w:cs="仿宋"/>
          <w:sz w:val="32"/>
          <w:szCs w:val="32"/>
        </w:rPr>
        <w:t>更换、回收服务，建立回收台账，依法将废旧蓄电池送交具有相应处置资质的单位集中处置。</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电动车所有人或者管理人应当</w:t>
      </w:r>
      <w:bookmarkStart w:id="31" w:name="_Hlk168774783"/>
      <w:r>
        <w:rPr>
          <w:rFonts w:hint="eastAsia" w:ascii="仿宋" w:hAnsi="仿宋" w:eastAsia="仿宋" w:cs="仿宋"/>
          <w:sz w:val="32"/>
          <w:szCs w:val="32"/>
        </w:rPr>
        <w:t>将电动车废旧蓄电池</w:t>
      </w:r>
      <w:bookmarkEnd w:id="31"/>
      <w:r>
        <w:rPr>
          <w:rFonts w:hint="eastAsia" w:ascii="仿宋" w:hAnsi="仿宋" w:eastAsia="仿宋" w:cs="仿宋"/>
          <w:sz w:val="32"/>
          <w:szCs w:val="32"/>
        </w:rPr>
        <w:t>送交电动车及其蓄电池的生产者、销售者处理，或者送交具有相应处置资质的单位集中处置。</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任何单位和个人不得将电动车废旧蓄电池随意丢弃或者以旧充新进行销售。</w:t>
      </w:r>
    </w:p>
    <w:bookmarkEnd w:id="28"/>
    <w:p>
      <w:pPr>
        <w:pStyle w:val="17"/>
        <w:keepNext w:val="0"/>
        <w:keepLines w:val="0"/>
        <w:pageBreakBefore w:val="0"/>
        <w:widowControl w:val="0"/>
        <w:kinsoku/>
        <w:wordWrap/>
        <w:overflowPunct/>
        <w:topLinePunct w:val="0"/>
        <w:autoSpaceDE/>
        <w:autoSpaceDN/>
        <w:bidi w:val="0"/>
        <w:adjustRightInd/>
        <w:snapToGrid/>
        <w:spacing w:beforeAutospacing="0" w:afterAutospacing="0" w:line="560" w:lineRule="exact"/>
        <w:ind w:firstLine="662" w:firstLineChars="181"/>
        <w:rPr>
          <w:rStyle w:val="16"/>
          <w:rFonts w:hint="eastAsia" w:ascii="仿宋" w:hAnsi="仿宋" w:eastAsia="仿宋" w:cs="仿宋"/>
          <w:bCs/>
          <w:kern w:val="16"/>
          <w:sz w:val="32"/>
          <w:szCs w:val="32"/>
        </w:rPr>
      </w:pPr>
      <w:bookmarkStart w:id="32" w:name="_Hlk158621327"/>
      <w:bookmarkStart w:id="33" w:name="_Hlk158904388"/>
      <w:r>
        <w:rPr>
          <w:rStyle w:val="10"/>
          <w:rFonts w:hint="eastAsia" w:ascii="仿宋" w:hAnsi="仿宋" w:eastAsia="仿宋" w:cs="仿宋"/>
          <w:b w:val="0"/>
          <w:bCs/>
          <w:color w:val="323232"/>
          <w:spacing w:val="23"/>
          <w:sz w:val="32"/>
          <w:szCs w:val="32"/>
          <w:shd w:val="clear" w:color="auto" w:fill="FFFFFF"/>
        </w:rPr>
        <w:t>第十七条</w:t>
      </w:r>
      <w:r>
        <w:rPr>
          <w:rFonts w:hint="eastAsia" w:ascii="仿宋" w:hAnsi="仿宋" w:eastAsia="仿宋" w:cs="仿宋"/>
          <w:b/>
          <w:bCs/>
          <w:color w:val="323232"/>
          <w:spacing w:val="23"/>
          <w:sz w:val="32"/>
          <w:szCs w:val="32"/>
          <w:shd w:val="clear" w:color="auto" w:fill="FFFFFF"/>
        </w:rPr>
        <w:t>【经营者安全主体责任】</w:t>
      </w:r>
      <w:r>
        <w:rPr>
          <w:rFonts w:hint="eastAsia" w:ascii="仿宋" w:hAnsi="仿宋" w:eastAsia="仿宋" w:cs="仿宋"/>
          <w:sz w:val="32"/>
          <w:szCs w:val="32"/>
        </w:rPr>
        <w:t>使用电动车从事网约配送的经营者应当建立健全并落实安全管理主体责任，依法对本单位电动车、驾驶人以及用于本单位业务经营的电动车进行管理</w:t>
      </w:r>
      <w:r>
        <w:rPr>
          <w:rStyle w:val="16"/>
          <w:rFonts w:hint="eastAsia" w:ascii="仿宋" w:hAnsi="仿宋" w:eastAsia="仿宋" w:cs="仿宋"/>
          <w:bCs/>
          <w:kern w:val="16"/>
          <w:sz w:val="32"/>
          <w:szCs w:val="32"/>
        </w:rPr>
        <w:t>，并遵守下列规定：</w:t>
      </w:r>
    </w:p>
    <w:p>
      <w:pPr>
        <w:pStyle w:val="17"/>
        <w:keepNext w:val="0"/>
        <w:keepLines w:val="0"/>
        <w:pageBreakBefore w:val="0"/>
        <w:widowControl w:val="0"/>
        <w:kinsoku/>
        <w:wordWrap/>
        <w:overflowPunct/>
        <w:topLinePunct w:val="0"/>
        <w:autoSpaceDE/>
        <w:autoSpaceDN/>
        <w:bidi w:val="0"/>
        <w:adjustRightInd/>
        <w:snapToGrid/>
        <w:spacing w:beforeAutospacing="0" w:afterAutospacing="0" w:line="560" w:lineRule="exact"/>
        <w:ind w:firstLine="560"/>
        <w:rPr>
          <w:rStyle w:val="16"/>
          <w:rFonts w:hint="eastAsia" w:ascii="仿宋" w:hAnsi="仿宋" w:eastAsia="仿宋" w:cs="仿宋"/>
          <w:bCs/>
          <w:kern w:val="16"/>
          <w:sz w:val="32"/>
          <w:szCs w:val="32"/>
        </w:rPr>
      </w:pPr>
      <w:r>
        <w:rPr>
          <w:rStyle w:val="16"/>
          <w:rFonts w:hint="eastAsia" w:ascii="仿宋" w:hAnsi="仿宋" w:eastAsia="仿宋" w:cs="仿宋"/>
          <w:bCs/>
          <w:kern w:val="16"/>
          <w:sz w:val="32"/>
          <w:szCs w:val="32"/>
        </w:rPr>
        <w:t>（一）建立健全内部安全管理与考核制度，明确安全责任人；</w:t>
      </w:r>
    </w:p>
    <w:p>
      <w:pPr>
        <w:pStyle w:val="17"/>
        <w:keepNext w:val="0"/>
        <w:keepLines w:val="0"/>
        <w:pageBreakBefore w:val="0"/>
        <w:widowControl w:val="0"/>
        <w:kinsoku/>
        <w:wordWrap/>
        <w:overflowPunct/>
        <w:topLinePunct w:val="0"/>
        <w:autoSpaceDE/>
        <w:autoSpaceDN/>
        <w:bidi w:val="0"/>
        <w:adjustRightInd/>
        <w:snapToGrid/>
        <w:spacing w:beforeAutospacing="0" w:afterAutospacing="0" w:line="560" w:lineRule="exact"/>
        <w:ind w:firstLine="560"/>
        <w:rPr>
          <w:rStyle w:val="16"/>
          <w:rFonts w:hint="eastAsia" w:ascii="仿宋" w:hAnsi="仿宋" w:eastAsia="仿宋" w:cs="仿宋"/>
          <w:bCs/>
          <w:kern w:val="16"/>
          <w:sz w:val="32"/>
          <w:szCs w:val="32"/>
        </w:rPr>
      </w:pPr>
      <w:r>
        <w:rPr>
          <w:rStyle w:val="16"/>
          <w:rFonts w:hint="eastAsia" w:ascii="仿宋" w:hAnsi="仿宋" w:eastAsia="仿宋" w:cs="仿宋"/>
          <w:bCs/>
          <w:kern w:val="16"/>
          <w:sz w:val="32"/>
          <w:szCs w:val="32"/>
        </w:rPr>
        <w:t>（二）对电动车及驾驶人进行登记，对驾驶人开展交通和消防安全法律、法规的培训、考核；</w:t>
      </w:r>
    </w:p>
    <w:p>
      <w:pPr>
        <w:pStyle w:val="17"/>
        <w:keepNext w:val="0"/>
        <w:keepLines w:val="0"/>
        <w:pageBreakBefore w:val="0"/>
        <w:widowControl w:val="0"/>
        <w:kinsoku/>
        <w:wordWrap/>
        <w:overflowPunct/>
        <w:topLinePunct w:val="0"/>
        <w:autoSpaceDE/>
        <w:autoSpaceDN/>
        <w:bidi w:val="0"/>
        <w:adjustRightInd/>
        <w:snapToGrid/>
        <w:spacing w:beforeAutospacing="0" w:afterAutospacing="0" w:line="560" w:lineRule="exact"/>
        <w:ind w:firstLine="560"/>
        <w:rPr>
          <w:rStyle w:val="16"/>
          <w:rFonts w:hint="eastAsia" w:ascii="仿宋" w:hAnsi="仿宋" w:eastAsia="仿宋" w:cs="仿宋"/>
          <w:bCs/>
          <w:kern w:val="16"/>
          <w:sz w:val="32"/>
          <w:szCs w:val="32"/>
        </w:rPr>
      </w:pPr>
      <w:r>
        <w:rPr>
          <w:rStyle w:val="16"/>
          <w:rFonts w:hint="eastAsia" w:ascii="仿宋" w:hAnsi="仿宋" w:eastAsia="仿宋" w:cs="仿宋"/>
          <w:bCs/>
          <w:kern w:val="16"/>
          <w:sz w:val="32"/>
          <w:szCs w:val="32"/>
        </w:rPr>
        <w:t>（三）不得安排患有妨碍安全驾驶疾病的，服用国家管制的精神药品或者麻醉药品的，以及其他具有安全隐患的驾驶人驾驶电动车；</w:t>
      </w:r>
    </w:p>
    <w:p>
      <w:pPr>
        <w:pStyle w:val="17"/>
        <w:keepNext w:val="0"/>
        <w:keepLines w:val="0"/>
        <w:pageBreakBefore w:val="0"/>
        <w:widowControl w:val="0"/>
        <w:kinsoku/>
        <w:wordWrap/>
        <w:overflowPunct/>
        <w:topLinePunct w:val="0"/>
        <w:autoSpaceDE/>
        <w:autoSpaceDN/>
        <w:bidi w:val="0"/>
        <w:adjustRightInd/>
        <w:snapToGrid/>
        <w:spacing w:beforeAutospacing="0" w:afterAutospacing="0" w:line="560" w:lineRule="exact"/>
        <w:ind w:firstLine="560"/>
        <w:rPr>
          <w:rStyle w:val="16"/>
          <w:rFonts w:hint="eastAsia" w:ascii="仿宋" w:hAnsi="仿宋" w:eastAsia="仿宋" w:cs="仿宋"/>
          <w:bCs/>
          <w:kern w:val="16"/>
          <w:sz w:val="32"/>
          <w:szCs w:val="32"/>
        </w:rPr>
      </w:pPr>
      <w:r>
        <w:rPr>
          <w:rStyle w:val="16"/>
          <w:rFonts w:hint="eastAsia" w:ascii="仿宋" w:hAnsi="仿宋" w:eastAsia="仿宋" w:cs="仿宋"/>
          <w:bCs/>
          <w:kern w:val="16"/>
          <w:sz w:val="32"/>
          <w:szCs w:val="32"/>
        </w:rPr>
        <w:t>（四）做好电动车的维护、保养和定期检测等工作；</w:t>
      </w:r>
    </w:p>
    <w:p>
      <w:pPr>
        <w:pStyle w:val="17"/>
        <w:keepNext w:val="0"/>
        <w:keepLines w:val="0"/>
        <w:pageBreakBefore w:val="0"/>
        <w:widowControl w:val="0"/>
        <w:kinsoku/>
        <w:wordWrap/>
        <w:overflowPunct/>
        <w:topLinePunct w:val="0"/>
        <w:autoSpaceDE/>
        <w:autoSpaceDN/>
        <w:bidi w:val="0"/>
        <w:adjustRightInd/>
        <w:snapToGrid/>
        <w:spacing w:beforeAutospacing="0" w:afterAutospacing="0" w:line="560" w:lineRule="exact"/>
        <w:ind w:firstLine="560"/>
        <w:rPr>
          <w:rStyle w:val="16"/>
          <w:rFonts w:hint="eastAsia" w:ascii="仿宋" w:hAnsi="仿宋" w:eastAsia="仿宋" w:cs="仿宋"/>
          <w:bCs/>
          <w:kern w:val="16"/>
          <w:sz w:val="32"/>
          <w:szCs w:val="32"/>
        </w:rPr>
      </w:pPr>
      <w:r>
        <w:rPr>
          <w:rStyle w:val="16"/>
          <w:rFonts w:hint="eastAsia" w:ascii="仿宋" w:hAnsi="仿宋" w:eastAsia="仿宋" w:cs="仿宋"/>
          <w:bCs/>
          <w:kern w:val="16"/>
          <w:sz w:val="32"/>
          <w:szCs w:val="32"/>
        </w:rPr>
        <w:t>（五）为二轮、三轮电动车驾驶人配备符合国家标准的安全防护用品，并监督、教育从业人员按照使用规则佩戴、使用；</w:t>
      </w:r>
    </w:p>
    <w:p>
      <w:pPr>
        <w:pStyle w:val="17"/>
        <w:keepNext w:val="0"/>
        <w:keepLines w:val="0"/>
        <w:pageBreakBefore w:val="0"/>
        <w:widowControl w:val="0"/>
        <w:kinsoku/>
        <w:wordWrap/>
        <w:overflowPunct/>
        <w:topLinePunct w:val="0"/>
        <w:autoSpaceDE/>
        <w:autoSpaceDN/>
        <w:bidi w:val="0"/>
        <w:adjustRightInd/>
        <w:snapToGrid/>
        <w:spacing w:beforeAutospacing="0" w:afterAutospacing="0" w:line="560" w:lineRule="exact"/>
        <w:ind w:firstLine="560"/>
        <w:rPr>
          <w:rStyle w:val="16"/>
          <w:rFonts w:hint="eastAsia" w:ascii="仿宋" w:hAnsi="仿宋" w:eastAsia="仿宋" w:cs="仿宋"/>
          <w:bCs/>
          <w:kern w:val="16"/>
          <w:sz w:val="32"/>
          <w:szCs w:val="32"/>
        </w:rPr>
      </w:pPr>
      <w:r>
        <w:rPr>
          <w:rStyle w:val="16"/>
          <w:rFonts w:hint="eastAsia" w:ascii="仿宋" w:hAnsi="仿宋" w:eastAsia="仿宋" w:cs="仿宋"/>
          <w:bCs/>
          <w:kern w:val="16"/>
          <w:sz w:val="32"/>
          <w:szCs w:val="32"/>
        </w:rPr>
        <w:t>（六）</w:t>
      </w:r>
      <w:r>
        <w:rPr>
          <w:rFonts w:hint="eastAsia" w:ascii="仿宋" w:hAnsi="仿宋" w:eastAsia="仿宋" w:cs="仿宋"/>
          <w:bCs/>
          <w:kern w:val="16"/>
          <w:sz w:val="32"/>
          <w:szCs w:val="32"/>
        </w:rPr>
        <w:t>完善配送考核制度和订单分派机制，优化配送往返路线，合理设定配送时间，必要时进行防疲劳提示，引导从业人员安全守法文明配送；</w:t>
      </w:r>
    </w:p>
    <w:p>
      <w:pPr>
        <w:pStyle w:val="17"/>
        <w:keepNext w:val="0"/>
        <w:keepLines w:val="0"/>
        <w:pageBreakBefore w:val="0"/>
        <w:widowControl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bCs/>
          <w:kern w:val="16"/>
          <w:sz w:val="32"/>
          <w:szCs w:val="32"/>
        </w:rPr>
      </w:pPr>
      <w:r>
        <w:rPr>
          <w:rStyle w:val="16"/>
          <w:rFonts w:hint="eastAsia" w:ascii="仿宋" w:hAnsi="仿宋" w:eastAsia="仿宋" w:cs="仿宋"/>
          <w:bCs/>
          <w:kern w:val="16"/>
          <w:sz w:val="32"/>
          <w:szCs w:val="32"/>
        </w:rPr>
        <w:t>（七）</w:t>
      </w:r>
      <w:r>
        <w:rPr>
          <w:rFonts w:hint="eastAsia" w:ascii="仿宋" w:hAnsi="仿宋" w:eastAsia="仿宋" w:cs="仿宋"/>
          <w:bCs/>
          <w:kern w:val="16"/>
          <w:sz w:val="32"/>
          <w:szCs w:val="32"/>
        </w:rPr>
        <w:t>法律、法规、规章关于安全生产主体责任的其他规定。</w:t>
      </w:r>
    </w:p>
    <w:p>
      <w:pPr>
        <w:pStyle w:val="17"/>
        <w:keepNext w:val="0"/>
        <w:keepLines w:val="0"/>
        <w:pageBreakBefore w:val="0"/>
        <w:widowControl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bCs/>
          <w:kern w:val="16"/>
          <w:sz w:val="32"/>
          <w:szCs w:val="32"/>
        </w:rPr>
      </w:pPr>
      <w:bookmarkStart w:id="34" w:name="_Hlk158838874"/>
      <w:r>
        <w:rPr>
          <w:rFonts w:hint="eastAsia" w:ascii="仿宋" w:hAnsi="仿宋" w:eastAsia="仿宋" w:cs="仿宋"/>
          <w:bCs/>
          <w:kern w:val="16"/>
          <w:sz w:val="32"/>
          <w:szCs w:val="32"/>
        </w:rPr>
        <w:t>经营者有违反本条规定第（一）、（二）、（四）、（五）项行为之一的，</w:t>
      </w:r>
      <w:bookmarkStart w:id="35" w:name="_Hlk168778070"/>
      <w:r>
        <w:rPr>
          <w:rFonts w:hint="eastAsia" w:ascii="仿宋" w:hAnsi="仿宋" w:eastAsia="仿宋" w:cs="仿宋"/>
          <w:bCs/>
          <w:kern w:val="16"/>
          <w:sz w:val="32"/>
          <w:szCs w:val="32"/>
        </w:rPr>
        <w:t>由</w:t>
      </w:r>
      <w:bookmarkEnd w:id="35"/>
      <w:r>
        <w:rPr>
          <w:rFonts w:hint="eastAsia" w:ascii="仿宋" w:hAnsi="仿宋" w:eastAsia="仿宋" w:cs="仿宋"/>
          <w:bCs/>
          <w:kern w:val="16"/>
          <w:sz w:val="32"/>
          <w:szCs w:val="32"/>
        </w:rPr>
        <w:t>市场监管部门责令限期改正，处一万元以上五万元以下的罚款；逾期未改正的，处五万元以上二十万元以下的罚款，对其直接负责的主管人员和其他直接责任人员处一万元以上二万元以下的罚款；情节严重的，责令停产停业整顿。</w:t>
      </w:r>
    </w:p>
    <w:p>
      <w:pPr>
        <w:pStyle w:val="17"/>
        <w:keepNext w:val="0"/>
        <w:keepLines w:val="0"/>
        <w:pageBreakBefore w:val="0"/>
        <w:widowControl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bCs/>
          <w:kern w:val="16"/>
          <w:sz w:val="32"/>
          <w:szCs w:val="32"/>
        </w:rPr>
        <w:t>经营者有违反本条规定第（三）项行为的，由市场监管部门处二千元罚款。</w:t>
      </w:r>
    </w:p>
    <w:bookmarkEnd w:id="34"/>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652"/>
        <w:rPr>
          <w:rFonts w:hint="eastAsia" w:ascii="仿宋" w:hAnsi="仿宋" w:eastAsia="仿宋" w:cs="仿宋"/>
          <w:sz w:val="32"/>
          <w:szCs w:val="32"/>
        </w:rPr>
      </w:pPr>
      <w:r>
        <w:rPr>
          <w:rStyle w:val="10"/>
          <w:rFonts w:hint="eastAsia" w:ascii="仿宋" w:hAnsi="仿宋" w:eastAsia="仿宋" w:cs="仿宋"/>
          <w:b w:val="0"/>
          <w:bCs/>
          <w:color w:val="323232"/>
          <w:spacing w:val="23"/>
          <w:sz w:val="32"/>
          <w:szCs w:val="32"/>
          <w:shd w:val="clear" w:color="auto" w:fill="FFFFFF"/>
        </w:rPr>
        <w:t>第十八条</w:t>
      </w:r>
      <w:r>
        <w:rPr>
          <w:rFonts w:hint="eastAsia" w:ascii="仿宋" w:hAnsi="仿宋" w:eastAsia="仿宋" w:cs="仿宋"/>
          <w:b/>
          <w:color w:val="323232"/>
          <w:spacing w:val="23"/>
          <w:sz w:val="32"/>
          <w:szCs w:val="32"/>
          <w:shd w:val="clear" w:color="auto" w:fill="FFFFFF"/>
        </w:rPr>
        <w:t>【道路资源分配】</w:t>
      </w:r>
      <w:bookmarkEnd w:id="32"/>
      <w:bookmarkEnd w:id="33"/>
      <w:r>
        <w:rPr>
          <w:rFonts w:hint="eastAsia" w:ascii="仿宋" w:hAnsi="仿宋" w:eastAsia="仿宋" w:cs="仿宋"/>
          <w:sz w:val="32"/>
          <w:szCs w:val="32"/>
        </w:rPr>
        <w:t>市、县（区）人民政府及其有关部门应当适应电动车发展要求，组织有关部门科学规划城乡道路，配套完善交通设施，合理分配道路资源，为电动车有序通行创造条件。</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652"/>
        <w:rPr>
          <w:rFonts w:hint="eastAsia" w:ascii="仿宋" w:hAnsi="仿宋" w:eastAsia="仿宋" w:cs="仿宋"/>
          <w:sz w:val="32"/>
          <w:szCs w:val="32"/>
        </w:rPr>
      </w:pPr>
      <w:r>
        <w:rPr>
          <w:rStyle w:val="10"/>
          <w:rFonts w:hint="eastAsia" w:ascii="仿宋" w:hAnsi="仿宋" w:eastAsia="仿宋" w:cs="仿宋"/>
          <w:b w:val="0"/>
          <w:bCs/>
          <w:color w:val="323232"/>
          <w:spacing w:val="23"/>
          <w:sz w:val="32"/>
          <w:szCs w:val="32"/>
          <w:shd w:val="clear" w:color="auto" w:fill="FFFFFF"/>
        </w:rPr>
        <w:t>第十九条</w:t>
      </w:r>
      <w:bookmarkStart w:id="36" w:name="_Hlk158621386"/>
      <w:r>
        <w:rPr>
          <w:rFonts w:hint="eastAsia" w:ascii="仿宋" w:hAnsi="仿宋" w:eastAsia="仿宋" w:cs="仿宋"/>
          <w:b/>
          <w:bCs/>
          <w:color w:val="323232"/>
          <w:spacing w:val="23"/>
          <w:sz w:val="32"/>
          <w:szCs w:val="32"/>
          <w:shd w:val="clear" w:color="auto" w:fill="FFFFFF"/>
        </w:rPr>
        <w:t>【电动车相关保险】</w:t>
      </w:r>
      <w:bookmarkEnd w:id="36"/>
      <w:r>
        <w:rPr>
          <w:rFonts w:hint="eastAsia" w:ascii="仿宋" w:hAnsi="仿宋" w:eastAsia="仿宋" w:cs="仿宋"/>
          <w:sz w:val="32"/>
          <w:szCs w:val="32"/>
        </w:rPr>
        <w:t>鼓励电动车所有人投保电动车第三者责任保险、人身伤害保险和财产损失保险。鼓励和支持邮政快递、外卖、环卫等行业企业为电动车驾驶人购买人身意外伤害保险、车辆第三者责任保险。</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网约配送员通过网络平台配送但不完全符合确立劳动关系情形的，平台经营者可以为其参加单险种工伤保险，社会保险经办机构应当按照省、市有关规定予以办理。新型职业伤害保险制度对网约配送员劳动权益保障有规定的，从其规定。</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652"/>
        <w:rPr>
          <w:rFonts w:hint="eastAsia" w:ascii="仿宋" w:hAnsi="仿宋" w:eastAsia="仿宋" w:cs="仿宋"/>
          <w:sz w:val="32"/>
          <w:szCs w:val="32"/>
        </w:rPr>
      </w:pPr>
      <w:bookmarkStart w:id="37" w:name="_Hlk158621563"/>
      <w:r>
        <w:rPr>
          <w:rStyle w:val="10"/>
          <w:rFonts w:hint="eastAsia" w:ascii="仿宋" w:hAnsi="仿宋" w:eastAsia="仿宋" w:cs="仿宋"/>
          <w:b w:val="0"/>
          <w:bCs/>
          <w:spacing w:val="23"/>
          <w:sz w:val="32"/>
          <w:szCs w:val="32"/>
          <w:shd w:val="clear" w:color="auto" w:fill="FFFFFF"/>
        </w:rPr>
        <w:t>第二十条</w:t>
      </w:r>
      <w:r>
        <w:rPr>
          <w:rFonts w:hint="eastAsia" w:ascii="仿宋" w:hAnsi="仿宋" w:eastAsia="仿宋" w:cs="仿宋"/>
          <w:b/>
          <w:bCs/>
          <w:spacing w:val="23"/>
          <w:sz w:val="32"/>
          <w:szCs w:val="32"/>
          <w:shd w:val="clear" w:color="auto" w:fill="FFFFFF"/>
        </w:rPr>
        <w:t>【公共场所停车和充电设施】</w:t>
      </w:r>
      <w:bookmarkEnd w:id="37"/>
      <w:r>
        <w:rPr>
          <w:rFonts w:hint="eastAsia" w:ascii="仿宋" w:hAnsi="仿宋" w:eastAsia="仿宋" w:cs="仿宋"/>
          <w:sz w:val="32"/>
          <w:szCs w:val="32"/>
        </w:rPr>
        <w:t>车站、医院、商场、学校、展览馆、影剧院、体育场馆、公园等公共建筑、公共场所、住宅小区应当按照有关规定和标准，配套规划、建设电动车公共停车设施，设置充电设施。</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已经建成的公共建筑、公共场所、住宅小区未规划建设电动车公共停车设施的，其管理者、经营者或者物业服务人应当划设相对集中的电动车公共停放场所，并设置充电设施。</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市住房城乡建设管理部门应当会同市自然资源部门、市消防救援机构组织制定本市住宅小区电动车集中停放场所及充电设施配套建设标准。</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652"/>
        <w:rPr>
          <w:rFonts w:hint="eastAsia" w:ascii="仿宋" w:hAnsi="仿宋" w:eastAsia="仿宋" w:cs="仿宋"/>
          <w:b/>
          <w:bCs/>
          <w:spacing w:val="23"/>
          <w:sz w:val="32"/>
          <w:szCs w:val="32"/>
          <w:shd w:val="clear" w:color="auto" w:fill="FFFFFF"/>
        </w:rPr>
      </w:pPr>
      <w:r>
        <w:rPr>
          <w:rStyle w:val="10"/>
          <w:rFonts w:hint="eastAsia" w:ascii="仿宋" w:hAnsi="仿宋" w:eastAsia="仿宋" w:cs="仿宋"/>
          <w:b w:val="0"/>
          <w:bCs/>
          <w:spacing w:val="23"/>
          <w:sz w:val="32"/>
          <w:szCs w:val="32"/>
          <w:shd w:val="clear" w:color="auto" w:fill="FFFFFF"/>
        </w:rPr>
        <w:t>第二十一条</w:t>
      </w:r>
      <w:r>
        <w:rPr>
          <w:rFonts w:hint="eastAsia" w:ascii="仿宋" w:hAnsi="仿宋" w:eastAsia="仿宋" w:cs="仿宋"/>
          <w:b/>
          <w:bCs/>
          <w:spacing w:val="23"/>
          <w:sz w:val="32"/>
          <w:szCs w:val="32"/>
          <w:shd w:val="clear" w:color="auto" w:fill="FFFFFF"/>
        </w:rPr>
        <w:t>【停放场所、充电规定与停车秩序】</w:t>
      </w:r>
      <w:r>
        <w:rPr>
          <w:rFonts w:hint="eastAsia" w:ascii="仿宋" w:hAnsi="仿宋" w:eastAsia="仿宋" w:cs="仿宋"/>
          <w:sz w:val="32"/>
          <w:szCs w:val="32"/>
        </w:rPr>
        <w:t>电动车集中停放场所及充电设施应当设置在建筑外部的独立区域，与相邻建筑保持一定安全距离，严禁使用易燃可燃材料搭建电动车停放场所，并配备必要的消防设施器材，周围不得有易燃可燃物。充电设施应当具备定时断电、过载保护、短路保护、漏电保护等功能。鼓励设置具备定时充电、故障报警等功能的智能充电控制设施。</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电动车应当在规定的区域有序停放；未划定停放区域的，应当停放在不妨碍其他车辆和行人通行的地点。</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652"/>
        <w:rPr>
          <w:rFonts w:hint="eastAsia" w:ascii="仿宋" w:hAnsi="仿宋" w:eastAsia="仿宋" w:cs="仿宋"/>
          <w:sz w:val="32"/>
          <w:szCs w:val="32"/>
        </w:rPr>
      </w:pPr>
      <w:r>
        <w:rPr>
          <w:rStyle w:val="10"/>
          <w:rFonts w:hint="eastAsia" w:ascii="仿宋" w:hAnsi="仿宋" w:eastAsia="仿宋" w:cs="仿宋"/>
          <w:b w:val="0"/>
          <w:bCs/>
          <w:spacing w:val="23"/>
          <w:sz w:val="32"/>
          <w:szCs w:val="32"/>
          <w:shd w:val="clear" w:color="auto" w:fill="FFFFFF"/>
        </w:rPr>
        <w:t>第二十二条</w:t>
      </w:r>
      <w:r>
        <w:rPr>
          <w:rFonts w:hint="eastAsia" w:ascii="仿宋" w:hAnsi="仿宋" w:eastAsia="仿宋" w:cs="仿宋"/>
          <w:b/>
          <w:bCs/>
          <w:spacing w:val="23"/>
          <w:sz w:val="32"/>
          <w:szCs w:val="32"/>
          <w:shd w:val="clear" w:color="auto" w:fill="FFFFFF"/>
        </w:rPr>
        <w:t>【停车、充电禁止性行为】</w:t>
      </w:r>
      <w:r>
        <w:rPr>
          <w:rFonts w:hint="eastAsia" w:ascii="仿宋" w:hAnsi="仿宋" w:eastAsia="仿宋" w:cs="仿宋"/>
          <w:sz w:val="32"/>
          <w:szCs w:val="32"/>
        </w:rPr>
        <w:t>停放电动车或者为电动车充电，不得有下列行为：</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（一）在建筑的公用通道、首层门厅、楼梯间、楼层楼道、疏散通道、安全出口等公共区域停放或者充电；</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（二）违反用电安全要求私拉乱接电线和插座充电；</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（三）在未落实防火分隔、监护等防范措施的地下车库和地下室、半地下室、架空层内停放或者充电；</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left="559" w:leftChars="266" w:firstLine="0" w:firstLineChars="0"/>
        <w:rPr>
          <w:rFonts w:hint="eastAsia" w:ascii="仿宋" w:hAnsi="仿宋" w:eastAsia="仿宋" w:cs="仿宋"/>
          <w:sz w:val="32"/>
          <w:szCs w:val="32"/>
        </w:rPr>
      </w:pPr>
      <w:r>
        <w:rPr>
          <w:rFonts w:hint="eastAsia" w:ascii="仿宋" w:hAnsi="仿宋" w:eastAsia="仿宋" w:cs="仿宋"/>
          <w:sz w:val="32"/>
          <w:szCs w:val="32"/>
        </w:rPr>
        <w:t xml:space="preserve">（四）在住宅内充电或者将电瓶拆卸后带至住宅充电； </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（五）埋压、圈占、遮挡消火栓或者占用防火间距，或者占用、堵塞、封闭疏散通道、安全出口、消防车通道等专用通道。</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（六）在易燃易爆物品附近充电；</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（七）</w:t>
      </w:r>
      <w:bookmarkStart w:id="38" w:name="_Hlk168779697"/>
      <w:r>
        <w:rPr>
          <w:rFonts w:hint="eastAsia" w:ascii="仿宋" w:hAnsi="仿宋" w:eastAsia="仿宋" w:cs="仿宋"/>
          <w:sz w:val="32"/>
          <w:szCs w:val="32"/>
        </w:rPr>
        <w:t>携带电动车及电池进入载人电梯</w:t>
      </w:r>
      <w:bookmarkEnd w:id="38"/>
      <w:r>
        <w:rPr>
          <w:rFonts w:hint="eastAsia" w:ascii="仿宋" w:hAnsi="仿宋" w:eastAsia="仿宋" w:cs="仿宋"/>
          <w:sz w:val="32"/>
          <w:szCs w:val="32"/>
        </w:rPr>
        <w:t>。</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（八）其他违反法律法规规章规定的行为。</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违反本条第（七）项规定，携带电动车及电池进入载人电梯的，由消防救援机构责令改正</w:t>
      </w:r>
      <w:bookmarkStart w:id="39" w:name="_Hlk158913480"/>
      <w:r>
        <w:rPr>
          <w:rFonts w:hint="eastAsia" w:ascii="仿宋" w:hAnsi="仿宋" w:eastAsia="仿宋" w:cs="仿宋"/>
          <w:sz w:val="32"/>
          <w:szCs w:val="32"/>
        </w:rPr>
        <w:t>；拒不改正的，对单位处一千元以上五千元以下罚款，对个人处五百元以上一千元以下罚款。</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652"/>
        <w:rPr>
          <w:rFonts w:hint="eastAsia" w:ascii="仿宋" w:hAnsi="仿宋" w:eastAsia="仿宋" w:cs="仿宋"/>
          <w:sz w:val="32"/>
          <w:szCs w:val="32"/>
        </w:rPr>
      </w:pPr>
      <w:r>
        <w:rPr>
          <w:rStyle w:val="10"/>
          <w:rFonts w:hint="eastAsia" w:ascii="仿宋" w:hAnsi="仿宋" w:eastAsia="仿宋" w:cs="仿宋"/>
          <w:b w:val="0"/>
          <w:bCs/>
          <w:spacing w:val="23"/>
          <w:sz w:val="32"/>
          <w:szCs w:val="32"/>
          <w:shd w:val="clear" w:color="auto" w:fill="FFFFFF"/>
        </w:rPr>
        <w:t>第二十三条</w:t>
      </w:r>
      <w:r>
        <w:rPr>
          <w:rFonts w:hint="eastAsia" w:ascii="仿宋" w:hAnsi="仿宋" w:eastAsia="仿宋" w:cs="仿宋"/>
          <w:b/>
          <w:bCs/>
          <w:spacing w:val="23"/>
          <w:sz w:val="32"/>
          <w:szCs w:val="32"/>
          <w:shd w:val="clear" w:color="auto" w:fill="FFFFFF"/>
        </w:rPr>
        <w:t>【管理人职责】</w:t>
      </w:r>
      <w:r>
        <w:rPr>
          <w:rFonts w:hint="eastAsia" w:ascii="仿宋" w:hAnsi="仿宋" w:eastAsia="仿宋" w:cs="仿宋"/>
          <w:sz w:val="32"/>
          <w:szCs w:val="32"/>
        </w:rPr>
        <w:t>公共建筑、公共场所的管理者、经营者和居民住宅小区的物业服务人等应当宣传、教育、引导业主（住户）规范停放电动车，对管理区域内电动车停放、充电实施消防安全管理，加强日常巡查巡检，及时劝阻、制止在公共区域违规停放、充电的行为；对不听劝阻、制止的，可以向负有消防监督管理职责的部门报告。聘请物业服务企业的，应当在服务合同中约定电动车消防安全服务的具体内容，物业服务企业应当根据物业服务合同约定落实消防安全责任；未聘请物业服务企业的，由管理单位落实管理责任；没有管理单位的，乡镇人民政府、街道办事处应当确定消防安全管理人，组织制定防火安全公约，进行电动车停放、充电消防安全检查。</w:t>
      </w:r>
    </w:p>
    <w:bookmarkEnd w:id="39"/>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652"/>
        <w:rPr>
          <w:rFonts w:hint="eastAsia" w:ascii="仿宋" w:hAnsi="仿宋" w:eastAsia="仿宋" w:cs="仿宋"/>
          <w:sz w:val="32"/>
          <w:szCs w:val="32"/>
        </w:rPr>
      </w:pPr>
      <w:bookmarkStart w:id="40" w:name="_Hlk163556891"/>
      <w:bookmarkStart w:id="41" w:name="_Hlk158833676"/>
      <w:r>
        <w:rPr>
          <w:rStyle w:val="10"/>
          <w:rFonts w:hint="eastAsia" w:ascii="仿宋" w:hAnsi="仿宋" w:eastAsia="仿宋" w:cs="仿宋"/>
          <w:b w:val="0"/>
          <w:bCs/>
          <w:color w:val="323232"/>
          <w:spacing w:val="23"/>
          <w:sz w:val="32"/>
          <w:szCs w:val="32"/>
          <w:shd w:val="clear" w:color="auto" w:fill="FFFFFF"/>
        </w:rPr>
        <w:t>第二十四条</w:t>
      </w:r>
      <w:bookmarkStart w:id="42" w:name="_Hlk157543047"/>
      <w:r>
        <w:rPr>
          <w:rFonts w:hint="eastAsia" w:ascii="仿宋" w:hAnsi="仿宋" w:eastAsia="仿宋" w:cs="仿宋"/>
          <w:b/>
          <w:bCs/>
          <w:color w:val="323232"/>
          <w:spacing w:val="23"/>
          <w:sz w:val="32"/>
          <w:szCs w:val="32"/>
          <w:shd w:val="clear" w:color="auto" w:fill="FFFFFF"/>
        </w:rPr>
        <w:t>【投诉与举报】</w:t>
      </w:r>
      <w:bookmarkEnd w:id="40"/>
      <w:bookmarkEnd w:id="42"/>
      <w:r>
        <w:rPr>
          <w:rFonts w:hint="eastAsia" w:ascii="仿宋" w:hAnsi="仿宋" w:eastAsia="仿宋" w:cs="仿宋"/>
          <w:sz w:val="32"/>
          <w:szCs w:val="32"/>
        </w:rPr>
        <w:t>鼓励单位和个人投诉、举报与电动车有关的违法行为。</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560"/>
        <w:rPr>
          <w:rFonts w:hint="eastAsia" w:ascii="仿宋" w:hAnsi="仿宋" w:eastAsia="仿宋" w:cs="仿宋"/>
          <w:sz w:val="32"/>
          <w:szCs w:val="32"/>
        </w:rPr>
      </w:pPr>
      <w:r>
        <w:rPr>
          <w:rFonts w:hint="eastAsia" w:ascii="仿宋" w:hAnsi="仿宋" w:eastAsia="仿宋" w:cs="仿宋"/>
          <w:sz w:val="32"/>
          <w:szCs w:val="32"/>
        </w:rPr>
        <w:t>公安机关交通管理、市场监管、应急、住房和城乡建设、消防救援等有关部门和机构应当向社会公布接受投诉、举报的方式，对受理的投诉、举报及时调查处理，并将处理结果及时反馈投诉人、举报人。 </w:t>
      </w:r>
    </w:p>
    <w:p>
      <w:pPr>
        <w:pStyle w:val="7"/>
        <w:keepNext w:val="0"/>
        <w:keepLines w:val="0"/>
        <w:pageBreakBefore w:val="0"/>
        <w:kinsoku/>
        <w:wordWrap/>
        <w:overflowPunct/>
        <w:topLinePunct w:val="0"/>
        <w:autoSpaceDE/>
        <w:autoSpaceDN/>
        <w:bidi w:val="0"/>
        <w:adjustRightInd/>
        <w:snapToGrid/>
        <w:spacing w:beforeAutospacing="0" w:afterAutospacing="0" w:line="560" w:lineRule="exact"/>
        <w:ind w:firstLine="652"/>
        <w:rPr>
          <w:rFonts w:hint="eastAsia" w:ascii="仿宋" w:hAnsi="仿宋" w:eastAsia="仿宋" w:cs="仿宋"/>
          <w:sz w:val="32"/>
          <w:szCs w:val="32"/>
        </w:rPr>
      </w:pPr>
      <w:r>
        <w:rPr>
          <w:rStyle w:val="10"/>
          <w:rFonts w:hint="eastAsia" w:ascii="仿宋" w:hAnsi="仿宋" w:eastAsia="仿宋" w:cs="仿宋"/>
          <w:b w:val="0"/>
          <w:bCs/>
          <w:color w:val="323232"/>
          <w:spacing w:val="23"/>
          <w:sz w:val="32"/>
          <w:szCs w:val="32"/>
          <w:shd w:val="clear" w:color="auto" w:fill="FFFFFF"/>
        </w:rPr>
        <w:t>第二十五条</w:t>
      </w:r>
      <w:r>
        <w:rPr>
          <w:rFonts w:hint="eastAsia" w:ascii="仿宋" w:hAnsi="仿宋" w:eastAsia="仿宋" w:cs="仿宋"/>
          <w:b/>
          <w:color w:val="323232"/>
          <w:spacing w:val="23"/>
          <w:sz w:val="32"/>
          <w:szCs w:val="32"/>
          <w:shd w:val="clear" w:color="auto" w:fill="FFFFFF"/>
        </w:rPr>
        <w:t>【行政公务责任】</w:t>
      </w:r>
      <w:bookmarkEnd w:id="41"/>
      <w:r>
        <w:rPr>
          <w:rFonts w:hint="eastAsia" w:ascii="仿宋" w:hAnsi="仿宋" w:eastAsia="仿宋" w:cs="仿宋"/>
          <w:sz w:val="32"/>
          <w:szCs w:val="32"/>
          <w:lang w:bidi="ar"/>
        </w:rPr>
        <w:t>负有电动车监督管理职责的有关部门及其工作人员违反本条例规定，玩忽职守、滥用职权、徇私舞弊的，依法给予处分；构成犯罪的，依法追究刑事责任。</w:t>
      </w:r>
    </w:p>
    <w:p>
      <w:pPr>
        <w:keepNext w:val="0"/>
        <w:keepLines w:val="0"/>
        <w:pageBreakBefore w:val="0"/>
        <w:kinsoku/>
        <w:wordWrap/>
        <w:overflowPunct/>
        <w:topLinePunct w:val="0"/>
        <w:autoSpaceDE/>
        <w:autoSpaceDN/>
        <w:bidi w:val="0"/>
        <w:adjustRightInd/>
        <w:snapToGrid/>
        <w:spacing w:beforeAutospacing="0" w:afterAutospacing="0" w:line="560" w:lineRule="exact"/>
        <w:ind w:firstLine="732" w:firstLineChars="200"/>
        <w:rPr>
          <w:rFonts w:hint="eastAsia" w:ascii="仿宋" w:hAnsi="仿宋" w:eastAsia="仿宋" w:cs="仿宋"/>
          <w:kern w:val="0"/>
          <w:sz w:val="32"/>
          <w:szCs w:val="32"/>
          <w:lang w:bidi="ar"/>
        </w:rPr>
      </w:pPr>
      <w:bookmarkStart w:id="43" w:name="_Hlk158833723"/>
      <w:r>
        <w:rPr>
          <w:rStyle w:val="10"/>
          <w:rFonts w:hint="eastAsia" w:ascii="仿宋" w:hAnsi="仿宋" w:eastAsia="仿宋" w:cs="仿宋"/>
          <w:b w:val="0"/>
          <w:bCs/>
          <w:color w:val="323232"/>
          <w:spacing w:val="23"/>
          <w:sz w:val="32"/>
          <w:szCs w:val="32"/>
          <w:shd w:val="clear" w:color="auto" w:fill="FFFFFF"/>
        </w:rPr>
        <w:t>第二十六条</w:t>
      </w:r>
      <w:r>
        <w:rPr>
          <w:rFonts w:hint="eastAsia" w:ascii="仿宋" w:hAnsi="仿宋" w:eastAsia="仿宋" w:cs="仿宋"/>
          <w:b/>
          <w:bCs/>
          <w:color w:val="323232"/>
          <w:spacing w:val="23"/>
          <w:sz w:val="32"/>
          <w:szCs w:val="32"/>
          <w:shd w:val="clear" w:color="auto" w:fill="FFFFFF"/>
        </w:rPr>
        <w:t>【兜底责任】</w:t>
      </w:r>
      <w:bookmarkEnd w:id="43"/>
      <w:r>
        <w:rPr>
          <w:rFonts w:hint="eastAsia" w:ascii="仿宋" w:hAnsi="仿宋" w:eastAsia="仿宋" w:cs="仿宋"/>
          <w:kern w:val="0"/>
          <w:sz w:val="32"/>
          <w:szCs w:val="32"/>
          <w:lang w:bidi="ar"/>
        </w:rPr>
        <w:t>违反本条例规定的行为，法律、法规已有法律责任规定的，依照其规定执行。</w:t>
      </w:r>
    </w:p>
    <w:p>
      <w:pPr>
        <w:keepNext w:val="0"/>
        <w:keepLines w:val="0"/>
        <w:pageBreakBefore w:val="0"/>
        <w:kinsoku/>
        <w:wordWrap/>
        <w:overflowPunct/>
        <w:topLinePunct w:val="0"/>
        <w:autoSpaceDE/>
        <w:autoSpaceDN/>
        <w:bidi w:val="0"/>
        <w:adjustRightInd/>
        <w:snapToGrid/>
        <w:spacing w:beforeAutospacing="0" w:afterAutospacing="0" w:line="560" w:lineRule="exact"/>
        <w:ind w:firstLine="732" w:firstLineChars="200"/>
        <w:rPr>
          <w:rFonts w:hint="eastAsia" w:ascii="仿宋" w:hAnsi="仿宋" w:eastAsia="仿宋" w:cs="仿宋"/>
          <w:spacing w:val="23"/>
          <w:sz w:val="32"/>
          <w:szCs w:val="32"/>
        </w:rPr>
      </w:pPr>
      <w:r>
        <w:rPr>
          <w:rStyle w:val="10"/>
          <w:rFonts w:hint="eastAsia" w:ascii="仿宋" w:hAnsi="仿宋" w:eastAsia="仿宋" w:cs="仿宋"/>
          <w:b w:val="0"/>
          <w:bCs/>
          <w:color w:val="323232"/>
          <w:spacing w:val="23"/>
          <w:sz w:val="32"/>
          <w:szCs w:val="32"/>
          <w:shd w:val="clear" w:color="auto" w:fill="FFFFFF"/>
        </w:rPr>
        <w:t>第二十七条</w:t>
      </w:r>
      <w:r>
        <w:rPr>
          <w:rFonts w:hint="eastAsia" w:ascii="仿宋" w:hAnsi="仿宋" w:eastAsia="仿宋" w:cs="仿宋"/>
          <w:b/>
          <w:bCs/>
          <w:color w:val="323232"/>
          <w:spacing w:val="23"/>
          <w:sz w:val="32"/>
          <w:szCs w:val="32"/>
          <w:shd w:val="clear" w:color="auto" w:fill="FFFFFF"/>
        </w:rPr>
        <w:t>【施行日期】</w:t>
      </w:r>
      <w:r>
        <w:rPr>
          <w:rFonts w:hint="eastAsia" w:ascii="仿宋" w:hAnsi="仿宋" w:eastAsia="仿宋" w:cs="仿宋"/>
          <w:kern w:val="0"/>
          <w:sz w:val="32"/>
          <w:szCs w:val="32"/>
          <w:lang w:bidi="ar"/>
        </w:rPr>
        <w:t>本条例自    年    月    日起施行。</w:t>
      </w:r>
    </w:p>
    <w:p>
      <w:pPr>
        <w:spacing w:line="560" w:lineRule="exact"/>
        <w:rPr>
          <w:rFonts w:hint="eastAsia" w:ascii="仿宋" w:hAnsi="仿宋" w:eastAsia="仿宋" w:cs="仿宋"/>
          <w:spacing w:val="23"/>
          <w:sz w:val="28"/>
          <w:szCs w:val="28"/>
        </w:rPr>
      </w:pPr>
    </w:p>
    <w:p>
      <w:pPr>
        <w:rPr>
          <w:rFonts w:hint="eastAsia" w:ascii="仿宋" w:hAnsi="仿宋" w:eastAsia="仿宋" w:cs="仿宋"/>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2010600030101010101"/>
    <w:charset w:val="86"/>
    <w:family w:val="auto"/>
    <w:pitch w:val="default"/>
    <w:sig w:usb0="00000000" w:usb1="00000000" w:usb2="00000016" w:usb3="00000000" w:csb0="0004000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80F3C52" w:usb2="00000016" w:usb3="00000000" w:csb0="0004001F" w:csb1="00000000"/>
  </w:font>
  <w:font w:name="Batang">
    <w:panose1 w:val="02030600000101010101"/>
    <w:charset w:val="81"/>
    <w:family w:val="auto"/>
    <w:pitch w:val="default"/>
    <w:sig w:usb0="B00002AF" w:usb1="69D77CFB" w:usb2="00000030" w:usb3="00000000" w:csb0="4008009F" w:csb1="DFD70000"/>
  </w:font>
  <w:font w:name="DFKai-SB">
    <w:panose1 w:val="03000509000000000000"/>
    <w:charset w:val="88"/>
    <w:family w:val="auto"/>
    <w:pitch w:val="default"/>
    <w:sig w:usb0="00000003" w:usb1="082E0000" w:usb2="00000016" w:usb3="00000000" w:csb0="00100001" w:csb1="00000000"/>
  </w:font>
  <w:font w:name="新宋体">
    <w:panose1 w:val="02010609030101010101"/>
    <w:charset w:val="86"/>
    <w:family w:val="auto"/>
    <w:pitch w:val="default"/>
    <w:sig w:usb0="0000000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 w:name="Dotum">
    <w:panose1 w:val="020B0600000101010101"/>
    <w:charset w:val="81"/>
    <w:family w:val="auto"/>
    <w:pitch w:val="default"/>
    <w:sig w:usb0="B00002AF" w:usb1="69D77CFB" w:usb2="00000030" w:usb3="00000000" w:csb0="4008009F" w:csb1="DFD70000"/>
  </w:font>
  <w:font w:name="Microsoft JhengHei">
    <w:panose1 w:val="020B0604030504040204"/>
    <w:charset w:val="88"/>
    <w:family w:val="auto"/>
    <w:pitch w:val="default"/>
    <w:sig w:usb0="00000087" w:usb1="28AF4000" w:usb2="00000016" w:usb3="00000000" w:csb0="00100009" w:csb1="00000000"/>
  </w:font>
  <w:font w:name="Meiryo UI">
    <w:panose1 w:val="020B0604030504040204"/>
    <w:charset w:val="80"/>
    <w:family w:val="auto"/>
    <w:pitch w:val="default"/>
    <w:sig w:usb0="E10102FF" w:usb1="EAC7FFFF" w:usb2="00010012" w:usb3="00000000" w:csb0="6002009F" w:csb1="DFD70000"/>
  </w:font>
  <w:font w:name="汉仪中黑 197">
    <w:panose1 w:val="00020600040101010101"/>
    <w:charset w:val="86"/>
    <w:family w:val="auto"/>
    <w:pitch w:val="default"/>
    <w:sig w:usb0="A00002BF" w:usb1="18EF7CFA" w:usb2="00000016" w:usb3="00000000" w:csb0="0004009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g2YjRlNzI0YjY0YjgyMmYzZTAyNzNlYWU2NGRmMWMifQ=="/>
  </w:docVars>
  <w:rsids>
    <w:rsidRoot w:val="00755935"/>
    <w:rsid w:val="00003E60"/>
    <w:rsid w:val="00034380"/>
    <w:rsid w:val="00034549"/>
    <w:rsid w:val="00042651"/>
    <w:rsid w:val="00061FE2"/>
    <w:rsid w:val="000751BC"/>
    <w:rsid w:val="00083DC3"/>
    <w:rsid w:val="000841C8"/>
    <w:rsid w:val="00090B7E"/>
    <w:rsid w:val="00093BDE"/>
    <w:rsid w:val="000B33F2"/>
    <w:rsid w:val="000C5ADE"/>
    <w:rsid w:val="000E10A5"/>
    <w:rsid w:val="000E4D47"/>
    <w:rsid w:val="00104667"/>
    <w:rsid w:val="00114078"/>
    <w:rsid w:val="00117A80"/>
    <w:rsid w:val="001348CB"/>
    <w:rsid w:val="001569BC"/>
    <w:rsid w:val="001652D7"/>
    <w:rsid w:val="00166A30"/>
    <w:rsid w:val="001743A1"/>
    <w:rsid w:val="00177FEF"/>
    <w:rsid w:val="00181D6D"/>
    <w:rsid w:val="00191E5A"/>
    <w:rsid w:val="00194BB3"/>
    <w:rsid w:val="001C5E53"/>
    <w:rsid w:val="001D3A8C"/>
    <w:rsid w:val="001E0C5A"/>
    <w:rsid w:val="0020230C"/>
    <w:rsid w:val="002147C5"/>
    <w:rsid w:val="002337A7"/>
    <w:rsid w:val="00246402"/>
    <w:rsid w:val="00246998"/>
    <w:rsid w:val="00246B06"/>
    <w:rsid w:val="002675AC"/>
    <w:rsid w:val="00267EA7"/>
    <w:rsid w:val="00277C6F"/>
    <w:rsid w:val="00281D17"/>
    <w:rsid w:val="00283E51"/>
    <w:rsid w:val="00284B86"/>
    <w:rsid w:val="002A7047"/>
    <w:rsid w:val="002B3806"/>
    <w:rsid w:val="002C0831"/>
    <w:rsid w:val="002C3F97"/>
    <w:rsid w:val="002C65E3"/>
    <w:rsid w:val="002E15C7"/>
    <w:rsid w:val="002F7007"/>
    <w:rsid w:val="00324EC2"/>
    <w:rsid w:val="0034262E"/>
    <w:rsid w:val="003A2767"/>
    <w:rsid w:val="003E4F5D"/>
    <w:rsid w:val="004030B9"/>
    <w:rsid w:val="0041110E"/>
    <w:rsid w:val="00423B47"/>
    <w:rsid w:val="004422F8"/>
    <w:rsid w:val="004436C2"/>
    <w:rsid w:val="004740FC"/>
    <w:rsid w:val="0048747F"/>
    <w:rsid w:val="004B1E5A"/>
    <w:rsid w:val="004C0415"/>
    <w:rsid w:val="004E271B"/>
    <w:rsid w:val="004E7A59"/>
    <w:rsid w:val="004F086F"/>
    <w:rsid w:val="004F4BDB"/>
    <w:rsid w:val="00530D00"/>
    <w:rsid w:val="00540927"/>
    <w:rsid w:val="00540D26"/>
    <w:rsid w:val="005B4FBE"/>
    <w:rsid w:val="005C177A"/>
    <w:rsid w:val="005D356B"/>
    <w:rsid w:val="005D56AE"/>
    <w:rsid w:val="005F59AF"/>
    <w:rsid w:val="00605F27"/>
    <w:rsid w:val="006371B1"/>
    <w:rsid w:val="006625AE"/>
    <w:rsid w:val="00682DDA"/>
    <w:rsid w:val="006A62E2"/>
    <w:rsid w:val="006B7A2F"/>
    <w:rsid w:val="006C6F6B"/>
    <w:rsid w:val="00707F6B"/>
    <w:rsid w:val="0073578D"/>
    <w:rsid w:val="00736888"/>
    <w:rsid w:val="00755935"/>
    <w:rsid w:val="00770D04"/>
    <w:rsid w:val="00777900"/>
    <w:rsid w:val="00791699"/>
    <w:rsid w:val="0079190B"/>
    <w:rsid w:val="007B19E0"/>
    <w:rsid w:val="007C0F8B"/>
    <w:rsid w:val="007D5CE4"/>
    <w:rsid w:val="007F2F79"/>
    <w:rsid w:val="0080078A"/>
    <w:rsid w:val="008332CD"/>
    <w:rsid w:val="00834B95"/>
    <w:rsid w:val="00842529"/>
    <w:rsid w:val="008579E2"/>
    <w:rsid w:val="008617EB"/>
    <w:rsid w:val="00874B52"/>
    <w:rsid w:val="00884D07"/>
    <w:rsid w:val="00896F11"/>
    <w:rsid w:val="008A4B7A"/>
    <w:rsid w:val="008D3B18"/>
    <w:rsid w:val="008D793A"/>
    <w:rsid w:val="00910E1A"/>
    <w:rsid w:val="00912B28"/>
    <w:rsid w:val="0091370B"/>
    <w:rsid w:val="00916EC7"/>
    <w:rsid w:val="0092566D"/>
    <w:rsid w:val="009337E9"/>
    <w:rsid w:val="00977945"/>
    <w:rsid w:val="009B3BA0"/>
    <w:rsid w:val="009D2F57"/>
    <w:rsid w:val="009E18F9"/>
    <w:rsid w:val="009E6D66"/>
    <w:rsid w:val="009F6E74"/>
    <w:rsid w:val="009F7D74"/>
    <w:rsid w:val="00A304B9"/>
    <w:rsid w:val="00A35E38"/>
    <w:rsid w:val="00A367E4"/>
    <w:rsid w:val="00A665F5"/>
    <w:rsid w:val="00A72F54"/>
    <w:rsid w:val="00A763AD"/>
    <w:rsid w:val="00A84E87"/>
    <w:rsid w:val="00AA1671"/>
    <w:rsid w:val="00AC7FD9"/>
    <w:rsid w:val="00AE4E74"/>
    <w:rsid w:val="00AE7A48"/>
    <w:rsid w:val="00AF517A"/>
    <w:rsid w:val="00B063CA"/>
    <w:rsid w:val="00B3353B"/>
    <w:rsid w:val="00B632E2"/>
    <w:rsid w:val="00B64BE8"/>
    <w:rsid w:val="00B762FB"/>
    <w:rsid w:val="00B84C17"/>
    <w:rsid w:val="00BA01B3"/>
    <w:rsid w:val="00BA5385"/>
    <w:rsid w:val="00BA6E19"/>
    <w:rsid w:val="00BB297D"/>
    <w:rsid w:val="00BD248B"/>
    <w:rsid w:val="00BF63C7"/>
    <w:rsid w:val="00BF6863"/>
    <w:rsid w:val="00BF786F"/>
    <w:rsid w:val="00C65A94"/>
    <w:rsid w:val="00C769D0"/>
    <w:rsid w:val="00C8712B"/>
    <w:rsid w:val="00C9347C"/>
    <w:rsid w:val="00CF6053"/>
    <w:rsid w:val="00D02E0A"/>
    <w:rsid w:val="00D03188"/>
    <w:rsid w:val="00D1131E"/>
    <w:rsid w:val="00D1235B"/>
    <w:rsid w:val="00D2189D"/>
    <w:rsid w:val="00D30BE3"/>
    <w:rsid w:val="00D7593B"/>
    <w:rsid w:val="00DC597C"/>
    <w:rsid w:val="00DC61F8"/>
    <w:rsid w:val="00DD163C"/>
    <w:rsid w:val="00E36CFE"/>
    <w:rsid w:val="00E46D67"/>
    <w:rsid w:val="00E507D6"/>
    <w:rsid w:val="00E5203A"/>
    <w:rsid w:val="00E64780"/>
    <w:rsid w:val="00E6655C"/>
    <w:rsid w:val="00E672B5"/>
    <w:rsid w:val="00E75567"/>
    <w:rsid w:val="00E7682A"/>
    <w:rsid w:val="00EA25C4"/>
    <w:rsid w:val="00EA3B3F"/>
    <w:rsid w:val="00EB6032"/>
    <w:rsid w:val="00ED0D9D"/>
    <w:rsid w:val="00ED250C"/>
    <w:rsid w:val="00ED4508"/>
    <w:rsid w:val="00EE1573"/>
    <w:rsid w:val="00EE36F5"/>
    <w:rsid w:val="00F00DD7"/>
    <w:rsid w:val="00F00F6C"/>
    <w:rsid w:val="00F14820"/>
    <w:rsid w:val="00F15AD6"/>
    <w:rsid w:val="00F23F1B"/>
    <w:rsid w:val="00F2435B"/>
    <w:rsid w:val="00F501A4"/>
    <w:rsid w:val="00F77607"/>
    <w:rsid w:val="00F91942"/>
    <w:rsid w:val="00FA6E4D"/>
    <w:rsid w:val="00FA7FC8"/>
    <w:rsid w:val="00FB0984"/>
    <w:rsid w:val="00FB6160"/>
    <w:rsid w:val="00FC4074"/>
    <w:rsid w:val="00FE02EA"/>
    <w:rsid w:val="00FE4691"/>
    <w:rsid w:val="00FF2E55"/>
    <w:rsid w:val="17BA1A9E"/>
    <w:rsid w:val="18896002"/>
    <w:rsid w:val="1B0342CC"/>
    <w:rsid w:val="1FB90BC4"/>
    <w:rsid w:val="25470A23"/>
    <w:rsid w:val="29B460DC"/>
    <w:rsid w:val="5AFF3530"/>
    <w:rsid w:val="66DD6A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qFormat="1"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none"/>
    </w:rPr>
  </w:style>
  <w:style w:type="paragraph" w:styleId="2">
    <w:name w:val="heading 1"/>
    <w:basedOn w:val="1"/>
    <w:next w:val="1"/>
    <w:link w:val="14"/>
    <w:qFormat/>
    <w:uiPriority w:val="0"/>
    <w:pPr>
      <w:widowControl/>
      <w:shd w:val="clear" w:color="auto" w:fill="FFFFFF"/>
      <w:spacing w:after="210" w:line="21" w:lineRule="atLeast"/>
      <w:jc w:val="center"/>
      <w:outlineLvl w:val="0"/>
    </w:pPr>
    <w:rPr>
      <w:rFonts w:hint="eastAsia" w:ascii="宋体" w:hAnsi="宋体" w:eastAsia="宋体" w:cs="Times New Roman"/>
      <w:b/>
      <w:bCs/>
      <w:kern w:val="44"/>
      <w:sz w:val="48"/>
      <w:szCs w:val="4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qFormat/>
    <w:uiPriority w:val="0"/>
    <w:pPr>
      <w:jc w:val="left"/>
    </w:pPr>
  </w:style>
  <w:style w:type="paragraph" w:styleId="4">
    <w:name w:val="footer"/>
    <w:basedOn w:val="1"/>
    <w:link w:val="13"/>
    <w:unhideWhenUsed/>
    <w:qFormat/>
    <w:uiPriority w:val="99"/>
    <w:pPr>
      <w:tabs>
        <w:tab w:val="center" w:pos="4153"/>
        <w:tab w:val="right" w:pos="8306"/>
      </w:tabs>
      <w:snapToGrid w:val="0"/>
      <w:jc w:val="left"/>
    </w:pPr>
    <w:rPr>
      <w:sz w:val="18"/>
      <w:szCs w:val="18"/>
      <w14:ligatures w14:val="standardContextual"/>
    </w:rPr>
  </w:style>
  <w:style w:type="paragraph" w:styleId="5">
    <w:name w:val="header"/>
    <w:basedOn w:val="1"/>
    <w:link w:val="12"/>
    <w:unhideWhenUsed/>
    <w:qFormat/>
    <w:uiPriority w:val="99"/>
    <w:pPr>
      <w:tabs>
        <w:tab w:val="center" w:pos="4153"/>
        <w:tab w:val="right" w:pos="8306"/>
      </w:tabs>
      <w:snapToGrid w:val="0"/>
      <w:jc w:val="center"/>
    </w:pPr>
    <w:rPr>
      <w:sz w:val="18"/>
      <w:szCs w:val="18"/>
      <w14:ligatures w14:val="standardContextual"/>
    </w:rPr>
  </w:style>
  <w:style w:type="paragraph" w:styleId="6">
    <w:name w:val="index 7"/>
    <w:basedOn w:val="1"/>
    <w:next w:val="1"/>
    <w:semiHidden/>
    <w:unhideWhenUsed/>
    <w:qFormat/>
    <w:uiPriority w:val="99"/>
    <w:pPr>
      <w:ind w:left="1200" w:leftChars="1200"/>
    </w:pPr>
  </w:style>
  <w:style w:type="paragraph" w:styleId="7">
    <w:name w:val="Normal (Web)"/>
    <w:basedOn w:val="1"/>
    <w:qFormat/>
    <w:uiPriority w:val="0"/>
    <w:pPr>
      <w:widowControl/>
      <w:shd w:val="clear" w:color="auto" w:fill="FFFFFF"/>
      <w:spacing w:beforeAutospacing="1" w:afterAutospacing="1" w:line="560" w:lineRule="exact"/>
      <w:ind w:firstLine="606" w:firstLineChars="200"/>
    </w:pPr>
    <w:rPr>
      <w:rFonts w:cs="宋体" w:asciiTheme="minorEastAsia" w:hAnsiTheme="minorEastAsia"/>
      <w:kern w:val="0"/>
      <w:szCs w:val="21"/>
    </w:rPr>
  </w:style>
  <w:style w:type="character" w:styleId="10">
    <w:name w:val="Strong"/>
    <w:basedOn w:val="9"/>
    <w:qFormat/>
    <w:uiPriority w:val="0"/>
    <w:rPr>
      <w:b/>
    </w:rPr>
  </w:style>
  <w:style w:type="character" w:styleId="11">
    <w:name w:val="annotation reference"/>
    <w:basedOn w:val="9"/>
    <w:semiHidden/>
    <w:unhideWhenUsed/>
    <w:uiPriority w:val="99"/>
    <w:rPr>
      <w:sz w:val="21"/>
      <w:szCs w:val="21"/>
    </w:rPr>
  </w:style>
  <w:style w:type="character" w:customStyle="1" w:styleId="12">
    <w:name w:val="页眉 字符"/>
    <w:basedOn w:val="9"/>
    <w:link w:val="5"/>
    <w:qFormat/>
    <w:uiPriority w:val="99"/>
    <w:rPr>
      <w:sz w:val="18"/>
      <w:szCs w:val="18"/>
    </w:rPr>
  </w:style>
  <w:style w:type="character" w:customStyle="1" w:styleId="13">
    <w:name w:val="页脚 字符"/>
    <w:basedOn w:val="9"/>
    <w:link w:val="4"/>
    <w:qFormat/>
    <w:uiPriority w:val="99"/>
    <w:rPr>
      <w:sz w:val="18"/>
      <w:szCs w:val="18"/>
    </w:rPr>
  </w:style>
  <w:style w:type="character" w:customStyle="1" w:styleId="14">
    <w:name w:val="标题 1 字符"/>
    <w:basedOn w:val="9"/>
    <w:link w:val="2"/>
    <w:qFormat/>
    <w:uiPriority w:val="0"/>
    <w:rPr>
      <w:rFonts w:ascii="宋体" w:hAnsi="宋体" w:eastAsia="宋体" w:cs="Times New Roman"/>
      <w:b/>
      <w:bCs/>
      <w:kern w:val="44"/>
      <w:sz w:val="48"/>
      <w:szCs w:val="48"/>
      <w:shd w:val="clear" w:color="auto" w:fill="FFFFFF"/>
      <w14:ligatures w14:val="none"/>
    </w:rPr>
  </w:style>
  <w:style w:type="character" w:customStyle="1" w:styleId="15">
    <w:name w:val="批注文字 字符"/>
    <w:basedOn w:val="9"/>
    <w:link w:val="3"/>
    <w:qFormat/>
    <w:uiPriority w:val="0"/>
    <w:rPr>
      <w:szCs w:val="24"/>
      <w14:ligatures w14:val="none"/>
    </w:rPr>
  </w:style>
  <w:style w:type="character" w:customStyle="1" w:styleId="16">
    <w:name w:val="NormalCharacter"/>
    <w:qFormat/>
    <w:uiPriority w:val="0"/>
  </w:style>
  <w:style w:type="paragraph" w:customStyle="1" w:styleId="17">
    <w:name w:val="179"/>
    <w:next w:val="6"/>
    <w:qFormat/>
    <w:uiPriority w:val="0"/>
    <w:pPr>
      <w:ind w:firstLine="200" w:firstLineChars="200"/>
      <w:jc w:val="both"/>
      <w:textAlignment w:val="baseline"/>
    </w:pPr>
    <w:rPr>
      <w:rFonts w:ascii="Times New Roman" w:hAnsi="Times New Roman" w:eastAsia="宋体" w:cs="Times New Roman"/>
      <w:kern w:val="2"/>
      <w:sz w:val="21"/>
      <w:szCs w:val="22"/>
      <w:lang w:val="en-US" w:eastAsia="zh-CN" w:bidi="ar-SA"/>
      <w14:ligatures w14: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6617</Words>
  <Characters>6635</Characters>
  <Lines>48</Lines>
  <Paragraphs>13</Paragraphs>
  <TotalTime>10</TotalTime>
  <ScaleCrop>false</ScaleCrop>
  <LinksUpToDate>false</LinksUpToDate>
  <CharactersWithSpaces>6660</CharactersWithSpaces>
  <Application>WPS Office_11.8.2.8808_F1E327BC-269C-435d-A152-05C5408002CA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2024-06-25T12:31:00Z</dcterms:created>
  <dc:creator>z zzx</dc:creator>
  <cp:lastModifiedBy>Administrator</cp:lastModifiedBy>
  <dcterms:modified xsi:type="dcterms:W3CDTF">2024-06-27T09:24:54Z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2052-11.8.2.8808</vt:lpwstr>
  </property>
  <property fmtid="{D5CDD505-2E9C-101B-9397-08002B2CF9AE}" pid="3" name="ICV">
    <vt:lpwstr>44D1445B00DE4851BA01DBA01AE81783_12</vt:lpwstr>
  </property>
</Properties>
</file>