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  <w:rPr>
          <w:rFonts w:hint="eastAsia"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杭州市余杭区司法局（区行政复议局）</w:t>
      </w:r>
    </w:p>
    <w:p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202</w:t>
      </w:r>
      <w:r>
        <w:rPr>
          <w:rFonts w:hint="eastAsia" w:ascii="方正小标宋_GBK" w:eastAsia="方正小标宋_GBK"/>
          <w:sz w:val="44"/>
          <w:szCs w:val="44"/>
          <w:lang w:val="en-US" w:eastAsia="zh-CN"/>
        </w:rPr>
        <w:t>1</w:t>
      </w:r>
      <w:r>
        <w:rPr>
          <w:rFonts w:hint="eastAsia" w:ascii="方正小标宋_GBK" w:eastAsia="方正小标宋_GBK"/>
          <w:sz w:val="44"/>
          <w:szCs w:val="44"/>
        </w:rPr>
        <w:t>年政府信息公开工作年度报告</w:t>
      </w:r>
    </w:p>
    <w:p>
      <w:pPr>
        <w:pStyle w:val="4"/>
        <w:widowControl/>
        <w:spacing w:before="0" w:beforeAutospacing="0" w:after="0" w:afterAutospacing="0" w:line="560" w:lineRule="exact"/>
        <w:ind w:firstLine="420"/>
        <w:jc w:val="both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Cs/>
          <w:color w:val="000000"/>
          <w:sz w:val="32"/>
          <w:szCs w:val="32"/>
        </w:rPr>
        <w:t xml:space="preserve"> </w:t>
      </w:r>
    </w:p>
    <w:p>
      <w:pPr>
        <w:spacing w:line="560" w:lineRule="exact"/>
        <w:ind w:firstLine="640" w:firstLineChars="200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杭州市余杭区司法局（区行政复议局）根据《中华人民共和国政府信息公开条例》《浙江省政府信息公开暂行办法》</w:t>
      </w:r>
      <w:r>
        <w:rPr>
          <w:rFonts w:hint="eastAsia" w:ascii="仿宋_GB2312" w:eastAsia="仿宋_GB2312" w:cs="宋体"/>
          <w:kern w:val="0"/>
          <w:sz w:val="32"/>
          <w:szCs w:val="32"/>
        </w:rPr>
        <w:t>等规定编制本报告。</w:t>
      </w:r>
      <w:r>
        <w:rPr>
          <w:rFonts w:hint="eastAsia" w:ascii="仿宋_GB2312" w:eastAsia="仿宋_GB2312"/>
          <w:sz w:val="32"/>
          <w:szCs w:val="32"/>
        </w:rPr>
        <w:t>报告包括总体情况、主动公开政府信息情况、收到和处理政府信息公开申请情况、政府信息公开行政复议、行政诉讼情况、存在的主要问题及改进情况、其他需要报告的事项等六项内容。本报告所列数据的统计期限自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年1月1日起至202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年12月</w:t>
      </w:r>
      <w:r>
        <w:rPr>
          <w:rFonts w:hint="eastAsia" w:ascii="仿宋_GB2312" w:eastAsia="仿宋_GB2312"/>
          <w:kern w:val="0"/>
          <w:sz w:val="32"/>
          <w:szCs w:val="32"/>
        </w:rPr>
        <w:t>31日止。</w:t>
      </w:r>
    </w:p>
    <w:p>
      <w:pPr>
        <w:numPr>
          <w:ilvl w:val="0"/>
          <w:numId w:val="1"/>
        </w:numPr>
        <w:spacing w:line="560" w:lineRule="exact"/>
        <w:ind w:firstLine="640" w:firstLineChars="200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总体情况</w:t>
      </w:r>
    </w:p>
    <w:p>
      <w:pPr>
        <w:spacing w:line="560" w:lineRule="exact"/>
        <w:ind w:firstLine="640" w:firstLineChars="200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202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color w:val="auto"/>
          <w:sz w:val="32"/>
          <w:szCs w:val="32"/>
        </w:rPr>
        <w:t>年，杭州市余杭区司法局（区行政复议局）依据《中华人民共和国政府信息公开条例》《浙江省政府信息公开暂行办法》等规定，充实完善信息公开组织保障体系，扎实做好政府信息公开工作，较好地完成了年度政府信息公开工作。</w:t>
      </w:r>
    </w:p>
    <w:p>
      <w:pPr>
        <w:adjustRightInd w:val="0"/>
        <w:snapToGrid w:val="0"/>
        <w:spacing w:line="560" w:lineRule="exact"/>
        <w:ind w:firstLine="640" w:firstLineChars="200"/>
        <w:rPr>
          <w:rFonts w:ascii="楷体_GB2312" w:hAnsi="宋体" w:eastAsia="楷体_GB2312"/>
          <w:color w:val="auto"/>
          <w:sz w:val="32"/>
          <w:szCs w:val="32"/>
        </w:rPr>
      </w:pPr>
      <w:r>
        <w:rPr>
          <w:rFonts w:hint="eastAsia" w:ascii="楷体_GB2312" w:hAnsi="宋体" w:eastAsia="楷体_GB2312"/>
          <w:color w:val="auto"/>
          <w:sz w:val="32"/>
          <w:szCs w:val="32"/>
        </w:rPr>
        <w:t>（一）</w:t>
      </w:r>
      <w:r>
        <w:rPr>
          <w:rFonts w:hint="eastAsia" w:ascii="楷体_GB2312" w:hAnsi="宋体" w:eastAsia="楷体_GB2312"/>
          <w:color w:val="auto"/>
          <w:sz w:val="32"/>
          <w:szCs w:val="32"/>
          <w:lang w:eastAsia="zh-CN"/>
        </w:rPr>
        <w:t>及时更新，准确发布主动公开信息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b/>
          <w:bCs/>
          <w:color w:val="0000FF"/>
          <w:sz w:val="32"/>
          <w:szCs w:val="32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</w:rPr>
        <w:t>一是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主动更新，提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升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信息准确性</w:t>
      </w:r>
      <w:r>
        <w:rPr>
          <w:rFonts w:hint="eastAsia" w:ascii="仿宋_GB2312" w:eastAsia="仿宋_GB2312"/>
          <w:color w:val="auto"/>
          <w:sz w:val="32"/>
          <w:szCs w:val="32"/>
        </w:rPr>
        <w:t>。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2021年根据行政区划调整情况，我局主动做好部门信息维护，修改完善信息公开指南和信息申请渠道，确保信息准确，渠道畅通。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lang w:val="en-US" w:eastAsia="zh-CN"/>
        </w:rPr>
        <w:t>二是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主动发布，提升信息发布率。通过余杭区门户网站，及时更新部门政务信息，规范发布政策文件，2021年共发布政策文件及解读13件，其他政府信息12条。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lang w:val="en-US" w:eastAsia="zh-CN"/>
        </w:rPr>
        <w:t>三是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主动应用，提升信息传播力。加强新媒体管理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color w:val="auto"/>
          <w:sz w:val="32"/>
          <w:szCs w:val="32"/>
        </w:rPr>
        <w:t>应用“余杭司法”政务微信公众号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和</w:t>
      </w:r>
      <w:r>
        <w:rPr>
          <w:rFonts w:hint="eastAsia" w:ascii="仿宋_GB2312" w:eastAsia="仿宋_GB2312"/>
          <w:color w:val="auto"/>
          <w:sz w:val="32"/>
          <w:szCs w:val="32"/>
        </w:rPr>
        <w:t>余杭普法官方新浪微博新媒体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推送热点政务信息。应用浙江省行政执法监管 ( 互联网+监管 ) 平台，运用</w:t>
      </w:r>
      <w:r>
        <w:rPr>
          <w:rFonts w:hint="eastAsia" w:ascii="仿宋_GB2312" w:eastAsia="仿宋_GB2312"/>
          <w:color w:val="auto"/>
          <w:sz w:val="32"/>
          <w:szCs w:val="32"/>
        </w:rPr>
        <w:t>“双随机”监管、重点监管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通过掌上执法形式，公开行政执法检查结果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9件。</w:t>
      </w:r>
    </w:p>
    <w:p>
      <w:pPr>
        <w:pStyle w:val="4"/>
        <w:widowControl/>
        <w:spacing w:before="0" w:beforeAutospacing="0" w:after="0" w:afterAutospacing="0" w:line="560" w:lineRule="exact"/>
        <w:rPr>
          <w:rFonts w:ascii="楷体_GB2312" w:hAnsi="宋体" w:eastAsia="楷体_GB2312"/>
          <w:color w:val="auto"/>
          <w:sz w:val="32"/>
          <w:szCs w:val="32"/>
        </w:rPr>
      </w:pPr>
      <w:r>
        <w:rPr>
          <w:rFonts w:hint="eastAsia" w:ascii="楷体_GB2312" w:hAnsi="宋体" w:eastAsia="楷体_GB2312"/>
          <w:color w:val="0000FF"/>
          <w:sz w:val="32"/>
          <w:szCs w:val="32"/>
        </w:rPr>
        <w:t xml:space="preserve">   </w:t>
      </w:r>
      <w:r>
        <w:rPr>
          <w:rFonts w:hint="eastAsia" w:ascii="楷体_GB2312" w:hAnsi="宋体" w:eastAsia="楷体_GB2312"/>
          <w:color w:val="auto"/>
          <w:sz w:val="32"/>
          <w:szCs w:val="32"/>
        </w:rPr>
        <w:t xml:space="preserve"> （二）</w:t>
      </w:r>
      <w:r>
        <w:rPr>
          <w:rFonts w:hint="eastAsia" w:ascii="楷体_GB2312" w:hAnsi="宋体" w:eastAsia="楷体_GB2312"/>
          <w:color w:val="auto"/>
          <w:sz w:val="32"/>
          <w:szCs w:val="32"/>
          <w:lang w:eastAsia="zh-CN"/>
        </w:rPr>
        <w:t>仔细梳理，规范回应依申请公开信息</w:t>
      </w:r>
    </w:p>
    <w:p>
      <w:pPr>
        <w:spacing w:line="560" w:lineRule="exact"/>
        <w:ind w:firstLine="640" w:firstLineChars="200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本年度收到要求公开政府信息的申请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color w:val="auto"/>
          <w:sz w:val="32"/>
          <w:szCs w:val="32"/>
        </w:rPr>
        <w:t>件，其中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2</w:t>
      </w:r>
      <w:r>
        <w:rPr>
          <w:rFonts w:hint="default" w:ascii="仿宋_GB2312" w:eastAsia="仿宋_GB2312"/>
          <w:color w:val="auto"/>
          <w:sz w:val="32"/>
          <w:szCs w:val="32"/>
          <w:lang w:eastAsia="zh-CN"/>
        </w:rPr>
        <w:t>件部分予以公开</w:t>
      </w:r>
      <w:r>
        <w:rPr>
          <w:rFonts w:hint="eastAsia" w:ascii="仿宋_GB2312" w:eastAsia="仿宋_GB2312"/>
          <w:color w:val="auto"/>
          <w:sz w:val="32"/>
          <w:szCs w:val="32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color w:val="auto"/>
          <w:sz w:val="32"/>
          <w:szCs w:val="32"/>
        </w:rPr>
        <w:t>件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不予处理，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color w:val="auto"/>
          <w:sz w:val="32"/>
          <w:szCs w:val="32"/>
        </w:rPr>
        <w:t>件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申请人主动撤件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。</w:t>
      </w:r>
    </w:p>
    <w:p>
      <w:pPr>
        <w:numPr>
          <w:ilvl w:val="0"/>
          <w:numId w:val="2"/>
        </w:numPr>
        <w:adjustRightInd w:val="0"/>
        <w:snapToGrid w:val="0"/>
        <w:spacing w:line="560" w:lineRule="exact"/>
        <w:ind w:firstLine="640" w:firstLineChars="200"/>
        <w:rPr>
          <w:rFonts w:ascii="楷体_GB2312" w:hAnsi="宋体" w:eastAsia="楷体_GB2312"/>
          <w:color w:val="auto"/>
          <w:sz w:val="32"/>
          <w:szCs w:val="32"/>
        </w:rPr>
      </w:pPr>
      <w:r>
        <w:rPr>
          <w:rFonts w:hint="eastAsia" w:ascii="楷体_GB2312" w:hAnsi="宋体" w:eastAsia="楷体_GB2312"/>
          <w:color w:val="auto"/>
          <w:sz w:val="32"/>
          <w:szCs w:val="32"/>
          <w:lang w:eastAsia="zh-CN"/>
        </w:rPr>
        <w:t>认真审查，严格</w:t>
      </w:r>
      <w:r>
        <w:rPr>
          <w:rFonts w:hint="eastAsia" w:ascii="楷体_GB2312" w:hAnsi="宋体" w:eastAsia="楷体_GB2312"/>
          <w:color w:val="auto"/>
          <w:sz w:val="32"/>
          <w:szCs w:val="32"/>
        </w:rPr>
        <w:t>管理</w:t>
      </w:r>
      <w:r>
        <w:rPr>
          <w:rFonts w:hint="eastAsia" w:ascii="楷体_GB2312" w:hAnsi="宋体" w:eastAsia="楷体_GB2312"/>
          <w:color w:val="auto"/>
          <w:sz w:val="32"/>
          <w:szCs w:val="32"/>
          <w:lang w:eastAsia="zh-CN"/>
        </w:rPr>
        <w:t>政务信息</w:t>
      </w:r>
    </w:p>
    <w:p>
      <w:pPr>
        <w:pStyle w:val="4"/>
        <w:widowControl/>
        <w:spacing w:before="0" w:beforeAutospacing="0" w:after="0" w:afterAutospacing="0" w:line="560" w:lineRule="exact"/>
        <w:rPr>
          <w:rFonts w:hint="eastAsia" w:ascii="仿宋_GB2312" w:eastAsia="仿宋_GB2312"/>
          <w:color w:val="0000FF"/>
          <w:kern w:val="2"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1"/>
        </w:rPr>
        <w:t xml:space="preserve">     </w:t>
      </w:r>
      <w:r>
        <w:rPr>
          <w:rFonts w:hint="eastAsia" w:ascii="仿宋_GB2312" w:eastAsia="仿宋_GB2312"/>
          <w:color w:val="0000FF"/>
          <w:kern w:val="2"/>
          <w:sz w:val="32"/>
          <w:szCs w:val="32"/>
        </w:rPr>
        <w:t xml:space="preserve"> </w:t>
      </w:r>
      <w:r>
        <w:rPr>
          <w:rFonts w:hint="eastAsia" w:ascii="仿宋_GB2312" w:eastAsia="仿宋_GB2312"/>
          <w:b/>
          <w:bCs/>
          <w:color w:val="auto"/>
          <w:kern w:val="2"/>
          <w:sz w:val="32"/>
          <w:szCs w:val="32"/>
        </w:rPr>
        <w:t>一是</w:t>
      </w:r>
      <w:r>
        <w:rPr>
          <w:rFonts w:hint="eastAsia" w:ascii="仿宋_GB2312" w:eastAsia="仿宋_GB2312"/>
          <w:color w:val="auto"/>
          <w:kern w:val="2"/>
          <w:sz w:val="32"/>
          <w:szCs w:val="32"/>
          <w:lang w:eastAsia="zh-CN"/>
        </w:rPr>
        <w:t>严格把关</w:t>
      </w:r>
      <w:r>
        <w:rPr>
          <w:rFonts w:hint="eastAsia" w:ascii="仿宋_GB2312" w:eastAsia="仿宋_GB2312"/>
          <w:color w:val="auto"/>
          <w:kern w:val="2"/>
          <w:sz w:val="32"/>
          <w:szCs w:val="32"/>
        </w:rPr>
        <w:t>，</w:t>
      </w:r>
      <w:r>
        <w:rPr>
          <w:rFonts w:hint="eastAsia" w:ascii="仿宋_GB2312" w:eastAsia="仿宋_GB2312"/>
          <w:color w:val="auto"/>
          <w:kern w:val="2"/>
          <w:sz w:val="32"/>
          <w:szCs w:val="32"/>
          <w:lang w:eastAsia="zh-CN"/>
        </w:rPr>
        <w:t>规范文件制发。按照公文制发流程，明确文件公开属性并及时公开相关文件，</w:t>
      </w:r>
      <w:r>
        <w:rPr>
          <w:rFonts w:hint="eastAsia" w:ascii="仿宋_GB2312" w:eastAsia="仿宋_GB2312"/>
          <w:color w:val="auto"/>
          <w:kern w:val="2"/>
          <w:sz w:val="32"/>
          <w:szCs w:val="32"/>
          <w:lang w:val="en-US" w:eastAsia="zh-CN"/>
        </w:rPr>
        <w:t>2021年共发布主动公开部门文件9件。</w:t>
      </w:r>
      <w:r>
        <w:rPr>
          <w:rFonts w:hint="eastAsia" w:ascii="仿宋_GB2312" w:eastAsia="仿宋_GB2312"/>
          <w:b/>
          <w:bCs/>
          <w:color w:val="auto"/>
          <w:kern w:val="2"/>
          <w:sz w:val="32"/>
          <w:szCs w:val="32"/>
          <w:lang w:val="en-US" w:eastAsia="zh-CN"/>
        </w:rPr>
        <w:t>二是</w:t>
      </w:r>
      <w:r>
        <w:rPr>
          <w:rFonts w:hint="eastAsia" w:ascii="仿宋_GB2312" w:eastAsia="仿宋_GB2312"/>
          <w:color w:val="auto"/>
          <w:kern w:val="2"/>
          <w:sz w:val="32"/>
          <w:szCs w:val="32"/>
          <w:lang w:val="en-US" w:eastAsia="zh-CN"/>
        </w:rPr>
        <w:t>仔细梳理，厘清文件时效。对现行有效规范性文件进行评估，及时清理无效文件，现存有效的规范性文件2件。</w:t>
      </w:r>
      <w:r>
        <w:rPr>
          <w:rFonts w:hint="eastAsia" w:ascii="仿宋_GB2312" w:eastAsia="仿宋_GB2312"/>
          <w:b/>
          <w:bCs/>
          <w:color w:val="auto"/>
          <w:kern w:val="2"/>
          <w:sz w:val="32"/>
          <w:szCs w:val="32"/>
          <w:lang w:val="en-US" w:eastAsia="zh-CN"/>
        </w:rPr>
        <w:t>三是</w:t>
      </w:r>
      <w:r>
        <w:rPr>
          <w:rFonts w:hint="eastAsia" w:ascii="仿宋_GB2312" w:eastAsia="仿宋_GB2312"/>
          <w:color w:val="auto"/>
          <w:kern w:val="2"/>
          <w:sz w:val="32"/>
          <w:szCs w:val="32"/>
          <w:lang w:val="en-US" w:eastAsia="zh-CN"/>
        </w:rPr>
        <w:t>认真审查，公开行政执法。按照要求公开上年度行政执法统计年报，全年共发布其他行政执法决定7件。</w:t>
      </w:r>
    </w:p>
    <w:p>
      <w:pPr>
        <w:spacing w:line="560" w:lineRule="exact"/>
        <w:rPr>
          <w:rFonts w:hint="eastAsia" w:ascii="黑体" w:hAnsi="黑体" w:eastAsia="黑体" w:cs="黑体"/>
          <w:b w:val="0"/>
          <w:bCs/>
          <w:color w:val="000000"/>
          <w:sz w:val="32"/>
          <w:szCs w:val="32"/>
          <w:lang w:val="en-US"/>
        </w:rPr>
      </w:pPr>
      <w:r>
        <w:rPr>
          <w:rFonts w:hint="eastAsia" w:ascii="黑体" w:hAnsi="黑体" w:eastAsia="黑体" w:cs="黑体"/>
          <w:b w:val="0"/>
          <w:bCs/>
          <w:color w:val="000000"/>
          <w:sz w:val="32"/>
          <w:szCs w:val="32"/>
          <w:lang w:eastAsia="zh-CN"/>
        </w:rPr>
        <w:t>二、主动公开政府信息情况</w:t>
      </w:r>
    </w:p>
    <w:p>
      <w:pPr>
        <w:pStyle w:val="4"/>
        <w:widowControl/>
        <w:shd w:val="clear" w:color="auto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color w:val="333333"/>
          <w:shd w:val="clear" w:color="auto" w:fill="FFFFFF"/>
          <w:lang w:val="en-US"/>
        </w:rPr>
      </w:pPr>
    </w:p>
    <w:tbl>
      <w:tblPr>
        <w:tblStyle w:val="6"/>
        <w:tblW w:w="9740" w:type="dxa"/>
        <w:jc w:val="center"/>
        <w:tblInd w:w="-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第二十条第（一）项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本年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现行有效件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cs="Calibri"/>
                <w:kern w:val="0"/>
                <w:sz w:val="21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第二十条第（五）项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本年处理决定数量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第二十条第（六）项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本年处理决定数量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第二十条第（八）项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本年收费金额（单位：万元）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Calibri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pStyle w:val="4"/>
        <w:widowControl/>
        <w:shd w:val="clear" w:color="auto" w:fill="FFFFFF"/>
        <w:spacing w:before="0" w:beforeAutospacing="0" w:after="0" w:afterAutospacing="0"/>
        <w:ind w:right="0"/>
        <w:jc w:val="both"/>
        <w:rPr>
          <w:rFonts w:hint="eastAsia" w:ascii="黑体" w:hAnsi="黑体" w:eastAsia="黑体" w:cs="黑体"/>
          <w:b w:val="0"/>
          <w:bCs/>
          <w:color w:val="333333"/>
          <w:sz w:val="32"/>
          <w:szCs w:val="32"/>
          <w:shd w:val="clear" w:color="auto" w:fill="FFFFFF"/>
          <w:lang w:val="en-US"/>
        </w:rPr>
      </w:pPr>
      <w:r>
        <w:rPr>
          <w:rFonts w:hint="eastAsia" w:ascii="黑体" w:hAnsi="黑体" w:eastAsia="黑体" w:cs="黑体"/>
          <w:b w:val="0"/>
          <w:bCs/>
          <w:color w:val="333333"/>
          <w:sz w:val="32"/>
          <w:szCs w:val="32"/>
          <w:shd w:val="clear" w:color="auto" w:fill="FFFFFF"/>
          <w:lang w:eastAsia="zh-CN"/>
        </w:rPr>
        <w:t>三、收到和处理政府信息公开申请情况</w:t>
      </w:r>
    </w:p>
    <w:p>
      <w:pPr>
        <w:pStyle w:val="4"/>
        <w:widowControl/>
        <w:shd w:val="clear" w:color="auto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color w:val="333333"/>
          <w:shd w:val="clear" w:color="auto" w:fill="FFFFFF"/>
          <w:lang w:val="en-US"/>
        </w:rPr>
      </w:pPr>
    </w:p>
    <w:tbl>
      <w:tblPr>
        <w:tblStyle w:val="6"/>
        <w:tblW w:w="9745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943"/>
        <w:gridCol w:w="3219"/>
        <w:gridCol w:w="688"/>
        <w:gridCol w:w="688"/>
        <w:gridCol w:w="688"/>
        <w:gridCol w:w="688"/>
        <w:gridCol w:w="688"/>
        <w:gridCol w:w="688"/>
        <w:gridCol w:w="6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</w:tblPrEx>
        <w:trPr>
          <w:jc w:val="center"/>
        </w:trPr>
        <w:tc>
          <w:tcPr>
            <w:tcW w:w="4929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0"/>
                <w:szCs w:val="20"/>
                <w:lang w:val="en-US" w:eastAsia="zh-CN" w:bidi="ar-SA"/>
              </w:rPr>
              <w:t>（本列数据的勾稽关系为：第一项加第二项之和，等于第三项加第四项之和）</w:t>
            </w:r>
          </w:p>
        </w:tc>
        <w:tc>
          <w:tcPr>
            <w:tcW w:w="481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申请人情况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29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法人或其他组织</w:t>
            </w:r>
          </w:p>
        </w:tc>
        <w:tc>
          <w:tcPr>
            <w:tcW w:w="688" w:type="dxa"/>
            <w:vMerge w:val="restart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总计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29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商业</w:t>
            </w:r>
          </w:p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科研</w:t>
            </w:r>
          </w:p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其他</w:t>
            </w:r>
          </w:p>
        </w:tc>
        <w:tc>
          <w:tcPr>
            <w:tcW w:w="688" w:type="dxa"/>
            <w:vMerge w:val="continue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29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cs="Calibri"/>
                <w:kern w:val="0"/>
                <w:sz w:val="20"/>
                <w:szCs w:val="20"/>
                <w:lang w:val="en-US" w:eastAsia="zh-CN" w:bidi="ar-SA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cs="Calibri"/>
                <w:kern w:val="0"/>
                <w:sz w:val="20"/>
                <w:szCs w:val="20"/>
                <w:lang w:val="en-US" w:eastAsia="zh-CN" w:bidi="ar-SA"/>
              </w:rPr>
              <w:t>6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29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restart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三、本年度办理结果</w:t>
            </w:r>
          </w:p>
        </w:tc>
        <w:tc>
          <w:tcPr>
            <w:tcW w:w="416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（二）部分公开</w:t>
            </w:r>
            <w:r>
              <w:rPr>
                <w:rFonts w:hint="eastAsia" w:ascii="楷体" w:hAnsi="楷体" w:eastAsia="楷体" w:cs="楷体"/>
                <w:kern w:val="0"/>
                <w:sz w:val="20"/>
                <w:szCs w:val="20"/>
                <w:lang w:val="en-US" w:eastAsia="zh-CN" w:bidi="ar-SA"/>
              </w:rPr>
              <w:t>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  <w:r>
              <w:rPr>
                <w:rFonts w:hint="eastAsia" w:ascii="Times New Roman" w:hAnsi="Times New Roman" w:cs="Calibri"/>
                <w:kern w:val="0"/>
                <w:sz w:val="20"/>
                <w:szCs w:val="20"/>
                <w:lang w:val="en-US" w:eastAsia="zh-CN" w:bidi="ar-SA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（三）不予公开</w:t>
            </w: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（四）无法提供</w:t>
            </w: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（五）不予处理</w:t>
            </w: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cs="Calibri"/>
                <w:kern w:val="0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  <w:r>
              <w:rPr>
                <w:rFonts w:hint="eastAsia" w:ascii="Times New Roman" w:hAnsi="Times New Roman" w:cs="Calibri"/>
                <w:kern w:val="0"/>
                <w:sz w:val="20"/>
                <w:szCs w:val="20"/>
                <w:lang w:val="en-US" w:eastAsia="zh-CN" w:bidi="ar-SA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restart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（六）其他处理</w:t>
            </w: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7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cs="Calibri"/>
                <w:kern w:val="0"/>
                <w:sz w:val="20"/>
                <w:szCs w:val="20"/>
                <w:lang w:val="en-US" w:eastAsia="zh-CN" w:bidi="ar-SA"/>
              </w:rPr>
              <w:t>6</w:t>
            </w:r>
            <w:r>
              <w:rPr>
                <w:rFonts w:hint="default" w:ascii="Calibri" w:hAnsi="Calibri" w:eastAsia="宋体" w:cs="Calibri"/>
                <w:kern w:val="0"/>
                <w:sz w:val="20"/>
                <w:szCs w:val="20"/>
                <w:lang w:val="en-US" w:eastAsia="zh-CN" w:bidi="ar-SA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29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57" w:type="dxa"/>
              <w:right w:w="57" w:type="dxa"/>
            </w:tcMar>
            <w:vAlign w:val="top"/>
          </w:tcPr>
          <w:p>
            <w:pPr>
              <w:widowControl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Calibri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</w:tr>
    </w:tbl>
    <w:p>
      <w:pPr>
        <w:widowControl/>
        <w:shd w:val="clear" w:color="auto" w:fill="FFFFFF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/>
        </w:rPr>
      </w:pPr>
    </w:p>
    <w:p>
      <w:pPr>
        <w:pStyle w:val="4"/>
        <w:widowControl/>
        <w:shd w:val="clear" w:color="auto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color w:val="333333"/>
          <w:shd w:val="clear" w:color="auto" w:fill="FFFFFF"/>
          <w:lang w:val="en-US"/>
        </w:rPr>
      </w:pPr>
      <w:r>
        <w:rPr>
          <w:rFonts w:hint="eastAsia" w:ascii="黑体" w:hAnsi="黑体" w:eastAsia="黑体" w:cs="黑体"/>
          <w:b w:val="0"/>
          <w:bCs/>
          <w:color w:val="333333"/>
          <w:sz w:val="32"/>
          <w:szCs w:val="32"/>
          <w:shd w:val="clear" w:color="auto" w:fill="FFFFFF"/>
          <w:lang w:eastAsia="zh-CN"/>
        </w:rPr>
        <w:t>四、政府信息公开行政复议、行政诉讼情况</w:t>
      </w:r>
    </w:p>
    <w:p>
      <w:pPr>
        <w:widowControl/>
        <w:shd w:val="clear" w:color="auto" w:fill="FFFFFF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/>
        </w:rPr>
      </w:pPr>
    </w:p>
    <w:tbl>
      <w:tblPr>
        <w:tblStyle w:val="6"/>
        <w:tblW w:w="9743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9"/>
        <w:gridCol w:w="649"/>
        <w:gridCol w:w="649"/>
        <w:gridCol w:w="649"/>
        <w:gridCol w:w="649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45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行政复议</w:t>
            </w:r>
          </w:p>
        </w:tc>
        <w:tc>
          <w:tcPr>
            <w:tcW w:w="6498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行政诉讼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结果维持</w:t>
            </w:r>
          </w:p>
        </w:tc>
        <w:tc>
          <w:tcPr>
            <w:tcW w:w="649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纠正</w:t>
            </w:r>
          </w:p>
        </w:tc>
        <w:tc>
          <w:tcPr>
            <w:tcW w:w="64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  <w:tc>
          <w:tcPr>
            <w:tcW w:w="64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审结</w:t>
            </w:r>
          </w:p>
        </w:tc>
        <w:tc>
          <w:tcPr>
            <w:tcW w:w="64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未经复议直接起诉</w:t>
            </w:r>
          </w:p>
        </w:tc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复议后起诉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总计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维持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其他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br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总计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pacing w:before="0" w:beforeAutospacing="0" w:after="0" w:afterAutospacing="0"/>
              <w:ind w:left="0" w:leftChars="0" w:right="0"/>
              <w:jc w:val="center"/>
              <w:rPr>
                <w:rFonts w:hint="eastAsia" w:ascii="宋体" w:hAnsi="Calibri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0</w:t>
            </w:r>
          </w:p>
        </w:tc>
      </w:tr>
    </w:tbl>
    <w:p>
      <w:pPr>
        <w:widowControl/>
        <w:spacing w:before="0" w:beforeAutospacing="0" w:after="0" w:afterAutospacing="0"/>
        <w:ind w:left="0" w:right="0"/>
        <w:jc w:val="left"/>
        <w:rPr>
          <w:lang w:val="en-US"/>
        </w:rPr>
      </w:pPr>
    </w:p>
    <w:p>
      <w:pPr>
        <w:pStyle w:val="4"/>
        <w:widowControl/>
        <w:shd w:val="clear" w:color="auto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bCs/>
          <w:color w:val="333333"/>
          <w:sz w:val="32"/>
          <w:szCs w:val="32"/>
          <w:shd w:val="clear" w:color="auto" w:fill="FFFFFF"/>
          <w:lang w:val="en-US"/>
        </w:rPr>
      </w:pPr>
      <w:r>
        <w:rPr>
          <w:rFonts w:hint="eastAsia" w:ascii="黑体" w:hAnsi="黑体" w:eastAsia="黑体" w:cs="黑体"/>
          <w:b w:val="0"/>
          <w:bCs/>
          <w:color w:val="333333"/>
          <w:sz w:val="32"/>
          <w:szCs w:val="32"/>
          <w:shd w:val="clear" w:color="auto" w:fill="FFFFFF"/>
          <w:lang w:eastAsia="zh-CN"/>
        </w:rPr>
        <w:t>五、存在的主要问题及改进情况</w:t>
      </w:r>
    </w:p>
    <w:p>
      <w:pPr>
        <w:adjustRightInd w:val="0"/>
        <w:snapToGrid w:val="0"/>
        <w:spacing w:line="560" w:lineRule="exact"/>
        <w:ind w:firstLine="640" w:firstLineChars="200"/>
        <w:rPr>
          <w:rFonts w:ascii="楷体_GB2312" w:hAnsi="宋体" w:eastAsia="楷体_GB2312"/>
          <w:color w:val="auto"/>
          <w:sz w:val="32"/>
          <w:szCs w:val="32"/>
        </w:rPr>
      </w:pPr>
      <w:r>
        <w:rPr>
          <w:rFonts w:hint="eastAsia" w:ascii="楷体_GB2312" w:hAnsi="宋体" w:eastAsia="楷体_GB2312"/>
          <w:color w:val="auto"/>
          <w:sz w:val="32"/>
          <w:szCs w:val="32"/>
        </w:rPr>
        <w:t>（一）存在的主要问题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</w:rPr>
        <w:t>一是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政务信息更新需进一步加强，尤其区划调整后，部门基础信息经常变化，偶尔因无法及时掌握变更内容导致基础信息更新滞后。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</w:rPr>
        <w:t>二是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政务公开意识需进一步提高，对政务信息敏感度低，或因不熟悉政务信息发布的渠道导致信息发布有遗漏。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lang w:eastAsia="zh-CN"/>
        </w:rPr>
        <w:t>三是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政务信息反馈需进一步完善，政策信息解读不亲民，依申请公开咨询办理回复能力有待提升。</w:t>
      </w:r>
    </w:p>
    <w:p>
      <w:pPr>
        <w:adjustRightInd w:val="0"/>
        <w:snapToGrid w:val="0"/>
        <w:spacing w:line="560" w:lineRule="exact"/>
        <w:ind w:firstLine="640" w:firstLineChars="200"/>
        <w:rPr>
          <w:rFonts w:ascii="楷体_GB2312" w:hAnsi="宋体" w:eastAsia="楷体_GB2312"/>
          <w:color w:val="auto"/>
          <w:sz w:val="32"/>
          <w:szCs w:val="32"/>
        </w:rPr>
      </w:pPr>
      <w:r>
        <w:rPr>
          <w:rFonts w:hint="eastAsia" w:ascii="楷体_GB2312" w:hAnsi="宋体" w:eastAsia="楷体_GB2312"/>
          <w:color w:val="auto"/>
          <w:sz w:val="32"/>
          <w:szCs w:val="32"/>
        </w:rPr>
        <w:t>（二）改进措施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</w:rPr>
        <w:t>一是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加强学习引导，制定政务信息公开规范流程。组织全体工作人员培训学习，增强政务信息辨识度，对政务信息类别、公开渠道、办理流程进行规范，完善政务信息管理，认真做好政务信息主动公开。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</w:rPr>
        <w:t>二是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加强平台应用，巩固政务信息公开发布矩阵。规范</w:t>
      </w:r>
      <w:r>
        <w:rPr>
          <w:rFonts w:hint="eastAsia" w:ascii="仿宋_GB2312" w:eastAsia="仿宋_GB2312"/>
          <w:color w:val="auto"/>
          <w:sz w:val="32"/>
          <w:szCs w:val="32"/>
        </w:rPr>
        <w:t>应用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余杭区门户网站</w:t>
      </w:r>
      <w:r>
        <w:rPr>
          <w:rFonts w:hint="eastAsia" w:ascii="仿宋_GB2312" w:eastAsia="仿宋_GB2312"/>
          <w:color w:val="auto"/>
          <w:sz w:val="32"/>
          <w:szCs w:val="32"/>
        </w:rPr>
        <w:t>政务信息公开专栏和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浙江省行政执法监管 ( 互联网+监管 ) 平台</w:t>
      </w:r>
      <w:r>
        <w:rPr>
          <w:rFonts w:hint="eastAsia" w:ascii="仿宋_GB2312" w:eastAsia="仿宋_GB2312"/>
          <w:color w:val="auto"/>
          <w:sz w:val="32"/>
          <w:szCs w:val="32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推动</w:t>
      </w:r>
      <w:r>
        <w:rPr>
          <w:rFonts w:hint="eastAsia" w:ascii="仿宋_GB2312" w:eastAsia="仿宋_GB2312"/>
          <w:color w:val="auto"/>
          <w:sz w:val="32"/>
          <w:szCs w:val="32"/>
        </w:rPr>
        <w:t>“余杭司法”政务微信公众号、余杭普法官方新浪微博新媒体</w:t>
      </w:r>
      <w:r>
        <w:rPr>
          <w:rFonts w:hint="default" w:ascii="仿宋_GB2312" w:eastAsia="仿宋_GB2312"/>
          <w:color w:val="auto"/>
          <w:sz w:val="32"/>
          <w:szCs w:val="32"/>
        </w:rPr>
        <w:t>建设管理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。</w:t>
      </w:r>
    </w:p>
    <w:p>
      <w:pPr>
        <w:spacing w:line="560" w:lineRule="exact"/>
        <w:ind w:firstLine="641" w:firstLineChars="200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</w:rPr>
        <w:t>三是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加强服务水平，回应政务信息公开群众关切。</w:t>
      </w:r>
      <w:r>
        <w:rPr>
          <w:rFonts w:hint="eastAsia" w:ascii="仿宋_GB2312" w:eastAsia="仿宋_GB2312"/>
          <w:color w:val="auto"/>
          <w:sz w:val="32"/>
          <w:szCs w:val="32"/>
        </w:rPr>
        <w:t>依法做好依申请公开答复工作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，落实政务信息管理职责，切实做好问题沟通与解答。做好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政策文件解读，积极回应群众咨询，认真做好信息公开渠道的告知。</w:t>
      </w:r>
    </w:p>
    <w:p>
      <w:pPr>
        <w:pStyle w:val="4"/>
        <w:widowControl/>
        <w:shd w:val="clear" w:color="auto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color w:val="333333"/>
          <w:shd w:val="clear" w:color="auto" w:fill="FFFFFF"/>
          <w:lang w:val="en-US"/>
        </w:rPr>
      </w:pPr>
      <w:r>
        <w:rPr>
          <w:rFonts w:hint="eastAsia" w:ascii="黑体" w:hAnsi="黑体" w:eastAsia="黑体" w:cs="黑体"/>
          <w:b w:val="0"/>
          <w:bCs/>
          <w:color w:val="333333"/>
          <w:sz w:val="32"/>
          <w:szCs w:val="32"/>
          <w:shd w:val="clear" w:color="auto" w:fill="FFFFFF"/>
          <w:lang w:eastAsia="zh-CN"/>
        </w:rPr>
        <w:t>六、其他需要报告的事项</w:t>
      </w:r>
    </w:p>
    <w:p>
      <w:pPr>
        <w:pStyle w:val="4"/>
        <w:widowControl/>
        <w:shd w:val="clear" w:color="auto" w:fill="FFFFFF"/>
        <w:spacing w:before="0" w:beforeAutospacing="0" w:after="0" w:afterAutospacing="0"/>
        <w:ind w:left="0" w:right="0" w:firstLine="420"/>
        <w:rPr>
          <w:rFonts w:hint="eastAsia" w:ascii="仿宋_GB2312" w:hAnsi="Calibri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Calibri" w:eastAsia="仿宋_GB2312" w:cs="Times New Roman"/>
          <w:color w:val="auto"/>
          <w:kern w:val="2"/>
          <w:sz w:val="32"/>
          <w:szCs w:val="32"/>
          <w:lang w:val="en-US" w:eastAsia="zh-CN" w:bidi="ar-SA"/>
        </w:rPr>
        <w:t>本单位2021年未收取信息处理费。</w:t>
      </w:r>
      <w:bookmarkStart w:id="0" w:name="_GoBack"/>
      <w:bookmarkEnd w:id="0"/>
    </w:p>
    <w:sectPr>
      <w:pgSz w:w="11906" w:h="16838"/>
      <w:pgMar w:top="2154" w:right="1474" w:bottom="2154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131936261">
    <w:nsid w:val="7F12C405"/>
    <w:multiLevelType w:val="singleLevel"/>
    <w:tmpl w:val="7F12C405"/>
    <w:lvl w:ilvl="0" w:tentative="1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790813190">
    <w:nsid w:val="A6586E06"/>
    <w:multiLevelType w:val="singleLevel"/>
    <w:tmpl w:val="A6586E06"/>
    <w:lvl w:ilvl="0" w:tentative="1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790813190"/>
  </w:num>
  <w:num w:numId="2">
    <w:abstractNumId w:val="21319362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F961B0"/>
    <w:rsid w:val="00142D34"/>
    <w:rsid w:val="001F07BE"/>
    <w:rsid w:val="001F6B9A"/>
    <w:rsid w:val="00210E87"/>
    <w:rsid w:val="00236B10"/>
    <w:rsid w:val="004130ED"/>
    <w:rsid w:val="004173AB"/>
    <w:rsid w:val="00463FA2"/>
    <w:rsid w:val="00505B52"/>
    <w:rsid w:val="00636841"/>
    <w:rsid w:val="007D5A2D"/>
    <w:rsid w:val="007D77FA"/>
    <w:rsid w:val="007F47A3"/>
    <w:rsid w:val="008A653D"/>
    <w:rsid w:val="008F05A9"/>
    <w:rsid w:val="00B0192F"/>
    <w:rsid w:val="00B11936"/>
    <w:rsid w:val="00B640C6"/>
    <w:rsid w:val="00B74B34"/>
    <w:rsid w:val="00B9233E"/>
    <w:rsid w:val="00D32C31"/>
    <w:rsid w:val="00DD74AF"/>
    <w:rsid w:val="00E37AB1"/>
    <w:rsid w:val="00EF6EF1"/>
    <w:rsid w:val="00F06763"/>
    <w:rsid w:val="00F31763"/>
    <w:rsid w:val="00F961B0"/>
    <w:rsid w:val="00FD4CCE"/>
    <w:rsid w:val="03860D0C"/>
    <w:rsid w:val="0C832815"/>
    <w:rsid w:val="1E2D26E2"/>
    <w:rsid w:val="3A3A5696"/>
    <w:rsid w:val="63BB43CA"/>
    <w:rsid w:val="64210C77"/>
    <w:rsid w:val="65EB5CE4"/>
    <w:rsid w:val="71910B04"/>
    <w:rsid w:val="78AF16E0"/>
    <w:rsid w:val="78E34762"/>
    <w:rsid w:val="7D1C60D1"/>
    <w:rsid w:val="7DFFB6D0"/>
    <w:rsid w:val="7FF7CEB6"/>
  </w:rsids>
  <w:doNotAutoCompressPictures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pPr>
      <w:widowControl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customStyle="1" w:styleId="7">
    <w:name w:val="页眉 Char"/>
    <w:basedOn w:val="5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Char"/>
    <w:basedOn w:val="5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481</Words>
  <Characters>2744</Characters>
  <Lines>22</Lines>
  <Paragraphs>6</Paragraphs>
  <ScaleCrop>false</ScaleCrop>
  <LinksUpToDate>false</LinksUpToDate>
  <CharactersWithSpaces>0</CharactersWithSpaces>
  <Application>WPS Office 专业版_9.1.0.5343_F1E327BC-269C-435d-A152-05C5408002CA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2020-01-31T15:30:00Z</dcterms:created>
  <dc:creator>马建萍</dc:creator>
  <cp:lastModifiedBy>朱骏</cp:lastModifiedBy>
  <cp:lastPrinted>2022-01-24T02:38:00Z</cp:lastPrinted>
  <dcterms:modified xsi:type="dcterms:W3CDTF">2022-01-29T01:22:01Z</dcterms:modified>
  <dc:title>杭州市余杭区司法局（区行政复议局）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2052-9.1.0.5343</vt:lpwstr>
  </property>
  <property fmtid="{D5CDD505-2E9C-101B-9397-08002B2CF9AE}" pid="3" name="woTemplateTypoMode">
    <vt:lpwstr>web</vt:lpwstr>
  </property>
  <property fmtid="{D5CDD505-2E9C-101B-9397-08002B2CF9AE}" pid="4" name="woTemplate">
    <vt:r8>1</vt:r8>
  </property>
</Properties>
</file>