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bCs/>
          <w:i w:val="0"/>
          <w:caps w:val="0"/>
          <w:color w:val="333333"/>
          <w:spacing w:val="-6"/>
          <w:sz w:val="44"/>
          <w:szCs w:val="44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333333"/>
          <w:spacing w:val="-6"/>
          <w:kern w:val="0"/>
          <w:sz w:val="36"/>
          <w:szCs w:val="36"/>
          <w:shd w:val="clear" w:color="auto" w:fill="FFFFFF"/>
        </w:rPr>
        <w:t>太湖源镇2021年政府信息公开工作年度报告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</w:rPr>
        <w:t>本报告是根据《中华人民共和国政府信息公开条例》（以下简称《条例》）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  <w:lang w:eastAsia="zh-CN"/>
        </w:rPr>
        <w:t>、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</w:rPr>
        <w:t>《国务院办公厅关于印发2021年政务公开要点的通知》、《杭州市人民政府办公厅关于印发2021年杭州市政务公开工作要点的通知》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  <w:lang w:eastAsia="zh-CN"/>
        </w:rPr>
        <w:t>等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</w:rPr>
        <w:t>要求，由杭州市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  <w:lang w:eastAsia="zh-CN"/>
        </w:rPr>
        <w:t>临安区太湖源镇人民政府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</w:rPr>
        <w:t>编制。全文由政府信息公开总体情况、主动公开政府信息情况、收到和处理政府信息公开申请情况、政府信息公开行政复议和行政诉讼情况、存在主要问题和改进情况、其它需要报告等六部分组成。本报告所列数据的统计期限自2021年1月1日至2021年12月31日。如对本报告有任何疑问，请与杭州市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  <w:lang w:eastAsia="zh-CN"/>
        </w:rPr>
        <w:t>临安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</w:rPr>
        <w:t>区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  <w:lang w:eastAsia="zh-CN"/>
        </w:rPr>
        <w:t>太湖源镇人民政府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</w:rPr>
        <w:t>党政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  <w:lang w:eastAsia="zh-CN"/>
        </w:rPr>
        <w:t>综合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</w:rPr>
        <w:t>办公室联系（电话：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0571-63791073</w:t>
      </w:r>
      <w:r>
        <w:rPr>
          <w:rFonts w:hint="eastAsia" w:ascii="仿宋_GB2312" w:hAnsi="仿宋_GB2312" w:eastAsia="仿宋_GB2312" w:cs="仿宋_GB2312"/>
          <w:i w:val="0"/>
          <w:caps w:val="0"/>
          <w:color w:val="333333"/>
          <w:spacing w:val="0"/>
          <w:sz w:val="32"/>
          <w:szCs w:val="32"/>
          <w:shd w:val="clear" w:fill="FFFFFF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一、总体情况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2021年，我镇深入贯彻落实《条例》等文件的相关精神，进一步加强组织领导，根据实际情况对公开领导小组成员进行信息调整，建立健全工作机制，确保政府信息公开工作平稳有序运转，信息公开工作取得了较好的成效，保障了人民群众的知情权、参与权和监督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（一）主动公开情况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2021年，我镇通过“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杭州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·临安</w:t>
      </w:r>
      <w:r>
        <w:rPr>
          <w:rFonts w:hint="eastAsia" w:ascii="仿宋_GB2312" w:hAnsi="仿宋_GB2312" w:eastAsia="仿宋_GB2312" w:cs="仿宋_GB2312"/>
          <w:sz w:val="32"/>
          <w:szCs w:val="32"/>
        </w:rPr>
        <w:t>”政府网站主动调整公开机构及职能信息，包括我镇领导分工的调整、内设及下属机构职责等，同时发布各类政府信息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67</w:t>
      </w:r>
      <w:r>
        <w:rPr>
          <w:rFonts w:hint="eastAsia" w:ascii="仿宋_GB2312" w:hAnsi="仿宋_GB2312" w:eastAsia="仿宋_GB2312" w:cs="仿宋_GB2312"/>
          <w:sz w:val="32"/>
          <w:szCs w:val="32"/>
        </w:rPr>
        <w:t>条，其中发布行政规范性文件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件，征求意见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件，政策解读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件，公告公示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27</w:t>
      </w:r>
      <w:r>
        <w:rPr>
          <w:rFonts w:hint="eastAsia" w:ascii="仿宋_GB2312" w:hAnsi="仿宋_GB2312" w:eastAsia="仿宋_GB2312" w:cs="仿宋_GB2312"/>
          <w:sz w:val="32"/>
          <w:szCs w:val="32"/>
        </w:rPr>
        <w:t>件，财政信息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镇街重点领域信息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</w:rPr>
        <w:t>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，行政执法公开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2件等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（二）依申请公开情况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2021年我镇累计收到依申请信息公开系统申请件0件。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（三）政府信息管理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一是建立健全主动公开制度。对应当让公众知晓的事项，如民生实事等相关政策及时在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门户网站</w:t>
      </w:r>
      <w:r>
        <w:rPr>
          <w:rFonts w:hint="eastAsia" w:ascii="仿宋_GB2312" w:hAnsi="仿宋_GB2312" w:eastAsia="仿宋_GB2312" w:cs="仿宋_GB2312"/>
          <w:sz w:val="32"/>
          <w:szCs w:val="32"/>
        </w:rPr>
        <w:t>、微信公众号上进行公示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二是建立政府信息发布保密审查制度，对涉及保密文件，严格按照保密制度进行传阅、复印等，保证政府信息公开不危及国家安全和利益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三是建立群众监督长效机制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及时公布监督电话号码，以便公众进行监督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（四）平台建设情况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我镇主要通过门户网站、微信公众号“太湖源发布”，发布各类公开信息，并结合社区宣传横幅、村社区宣传栏等线下宣传途径，使政府信息公开提高的有效性大大提升。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（五）监督保障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我镇将政务公开纳入政府工作重要议程，成立工作领导小组，领导小组办公室设在党政综合办公室，日常工作由办公室牵头，各部门予以配合，形成了职责分明、分工合理、各负其责、齐抓共管的工作局面，并安排一名在编人员作为联络员，具体负责政府信息公开内容维护等日常工作。明确信息公开的目标、任务和工作机制，确保政务公开工作依法、有序地进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二、主动公开政府信息情况</w:t>
      </w:r>
    </w:p>
    <w:tbl>
      <w:tblPr>
        <w:tblStyle w:val="5"/>
        <w:tblW w:w="8756" w:type="dxa"/>
        <w:jc w:val="center"/>
        <w:tblInd w:w="-2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6"/>
        <w:gridCol w:w="1989"/>
        <w:gridCol w:w="2126"/>
        <w:gridCol w:w="1855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875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第二十条第（一）项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78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19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本年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制发件数</w:t>
            </w:r>
          </w:p>
        </w:tc>
        <w:tc>
          <w:tcPr>
            <w:tcW w:w="212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本年废止件数</w:t>
            </w:r>
          </w:p>
        </w:tc>
        <w:tc>
          <w:tcPr>
            <w:tcW w:w="185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现行有效件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数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78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规章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1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kern w:val="0"/>
                <w:szCs w:val="21"/>
                <w:highlight w:val="none"/>
                <w:lang w:val="en-US" w:eastAsia="zh-CN"/>
              </w:rPr>
              <w:t>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78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行政规范性文件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highlight w:val="yellow"/>
                <w:lang w:eastAsia="zh-CN"/>
              </w:rPr>
            </w:pPr>
            <w:r>
              <w:rPr>
                <w:rFonts w:hint="default" w:ascii="Times New Roman" w:hAnsi="Times New Roman" w:cs="Times New Roman"/>
                <w:kern w:val="0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8756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第二十条第（五）项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78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597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本年处理决定数量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78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行政许可</w:t>
            </w:r>
          </w:p>
        </w:tc>
        <w:tc>
          <w:tcPr>
            <w:tcW w:w="597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8756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第二十条第（六）项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78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597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本年处理决定数量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78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行政处罚</w:t>
            </w:r>
          </w:p>
        </w:tc>
        <w:tc>
          <w:tcPr>
            <w:tcW w:w="597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78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行政强制</w:t>
            </w:r>
          </w:p>
        </w:tc>
        <w:tc>
          <w:tcPr>
            <w:tcW w:w="597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8756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第二十条第（八）项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78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5970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本年收费金额（单位：万元）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78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行政事业性收费</w:t>
            </w:r>
          </w:p>
        </w:tc>
        <w:tc>
          <w:tcPr>
            <w:tcW w:w="5970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jc w:val="center"/>
              <w:rPr>
                <w:rFonts w:hint="eastAsia" w:ascii="宋体" w:eastAsiaTheme="minorEastAsia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三</w:t>
      </w:r>
      <w:r>
        <w:rPr>
          <w:rFonts w:hint="eastAsia" w:ascii="黑体" w:hAnsi="黑体" w:eastAsia="黑体" w:cs="黑体"/>
          <w:sz w:val="32"/>
          <w:szCs w:val="32"/>
        </w:rPr>
        <w:t>、收到和处理政府信息公开申请情况</w:t>
      </w:r>
    </w:p>
    <w:tbl>
      <w:tblPr>
        <w:tblStyle w:val="5"/>
        <w:tblW w:w="8746" w:type="dxa"/>
        <w:jc w:val="center"/>
        <w:tblInd w:w="-129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2"/>
        <w:gridCol w:w="948"/>
        <w:gridCol w:w="2730"/>
        <w:gridCol w:w="697"/>
        <w:gridCol w:w="618"/>
        <w:gridCol w:w="567"/>
        <w:gridCol w:w="571"/>
        <w:gridCol w:w="583"/>
        <w:gridCol w:w="585"/>
        <w:gridCol w:w="675"/>
      </w:tblGrid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50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楷体" w:hAnsi="楷体" w:eastAsia="楷体" w:cs="楷体"/>
                <w:kern w:val="0"/>
                <w:sz w:val="20"/>
                <w:szCs w:val="20"/>
              </w:rPr>
              <w:t>（本列数据的勾稽关系为：第一项加第二项之和，等于第三项加第四项之和）</w:t>
            </w:r>
          </w:p>
        </w:tc>
        <w:tc>
          <w:tcPr>
            <w:tcW w:w="4296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申请人情况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50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697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自然人</w:t>
            </w:r>
          </w:p>
        </w:tc>
        <w:tc>
          <w:tcPr>
            <w:tcW w:w="2924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法人或其他组织</w:t>
            </w:r>
          </w:p>
        </w:tc>
        <w:tc>
          <w:tcPr>
            <w:tcW w:w="675" w:type="dxa"/>
            <w:vMerge w:val="restart"/>
            <w:tcBorders>
              <w:top w:val="single" w:color="auto" w:sz="8" w:space="0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总计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50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697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商业</w:t>
            </w:r>
          </w:p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企业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科研</w:t>
            </w:r>
          </w:p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机构</w:t>
            </w:r>
          </w:p>
        </w:tc>
        <w:tc>
          <w:tcPr>
            <w:tcW w:w="5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社会公益组织</w:t>
            </w:r>
          </w:p>
        </w:tc>
        <w:tc>
          <w:tcPr>
            <w:tcW w:w="58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法律服务机构</w:t>
            </w:r>
          </w:p>
        </w:tc>
        <w:tc>
          <w:tcPr>
            <w:tcW w:w="5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其他</w:t>
            </w:r>
          </w:p>
        </w:tc>
        <w:tc>
          <w:tcPr>
            <w:tcW w:w="675" w:type="dxa"/>
            <w:vMerge w:val="continue"/>
            <w:tcBorders>
              <w:top w:val="single" w:color="auto" w:sz="8" w:space="0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50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一、本年新收政府信息公开申请数量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50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二、上年结转政府信息公开申请数量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restart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三、本年度办理结果</w:t>
            </w:r>
          </w:p>
        </w:tc>
        <w:tc>
          <w:tcPr>
            <w:tcW w:w="3678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（一）予以公开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678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（二）部分公开</w:t>
            </w:r>
            <w:r>
              <w:rPr>
                <w:rFonts w:hint="eastAsia" w:ascii="楷体" w:hAnsi="楷体" w:eastAsia="楷体" w:cs="楷体"/>
                <w:kern w:val="0"/>
                <w:sz w:val="20"/>
                <w:szCs w:val="20"/>
              </w:rPr>
              <w:t>（区分处理的，只计这一情形，不计其他情形）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restart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（三）不予公开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1.属于国家秘密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2.其他法律行政法规禁止公开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3.危及“三安全一稳定”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4.保护第三方合法权益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5.属于三类内部事务信息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6.属于四类过程性信息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7.属于行政执法案卷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8.属于行政查询事项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restart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（四）无法提供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1.本机关不掌握相关政府信息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2.没有现成信息需要另行制作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3.补正后申请内容仍不明确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restart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（五）不予处理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1.信访举报投诉类申请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2.重复申请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3.要求提供公开出版物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4.无正当理由大量反复申请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5.要求行政机关确认或重新出具已获取信息</w:t>
            </w:r>
          </w:p>
        </w:tc>
        <w:tc>
          <w:tcPr>
            <w:tcW w:w="697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restart"/>
            <w:tcBorders>
              <w:top w:val="outset" w:color="auto" w:sz="8" w:space="0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（六）其他处理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1.申请人无正当理由逾期不补正、行政机关不再处理其政府信息公开申请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outset" w:color="auto" w:sz="8" w:space="0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2.申请人逾期未按收费通知要求缴纳费用、行政机关不再处理其政府信息公开申请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8" w:type="dxa"/>
            <w:vMerge w:val="continue"/>
            <w:tcBorders>
              <w:top w:val="outset" w:color="auto" w:sz="8" w:space="0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3.其他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2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678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（七）总计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450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四、结转下年度继续办理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黑体"/>
          <w:sz w:val="32"/>
          <w:szCs w:val="32"/>
        </w:rPr>
        <w:t>政府信息公开行政复议、行政诉讼情况</w:t>
      </w:r>
    </w:p>
    <w:tbl>
      <w:tblPr>
        <w:tblStyle w:val="5"/>
        <w:tblW w:w="8858" w:type="dxa"/>
        <w:jc w:val="center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4"/>
        <w:gridCol w:w="567"/>
        <w:gridCol w:w="617"/>
        <w:gridCol w:w="567"/>
        <w:gridCol w:w="503"/>
        <w:gridCol w:w="642"/>
        <w:gridCol w:w="642"/>
        <w:gridCol w:w="643"/>
        <w:gridCol w:w="643"/>
        <w:gridCol w:w="469"/>
        <w:gridCol w:w="643"/>
        <w:gridCol w:w="643"/>
        <w:gridCol w:w="643"/>
        <w:gridCol w:w="643"/>
        <w:gridCol w:w="419"/>
      </w:tblGrid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82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行政复议</w:t>
            </w:r>
          </w:p>
        </w:tc>
        <w:tc>
          <w:tcPr>
            <w:tcW w:w="6030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行政诉讼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4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567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纠正</w:t>
            </w:r>
          </w:p>
        </w:tc>
        <w:tc>
          <w:tcPr>
            <w:tcW w:w="617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其他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</w:t>
            </w:r>
          </w:p>
        </w:tc>
        <w:tc>
          <w:tcPr>
            <w:tcW w:w="567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审结</w:t>
            </w:r>
          </w:p>
        </w:tc>
        <w:tc>
          <w:tcPr>
            <w:tcW w:w="503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总计</w:t>
            </w:r>
          </w:p>
        </w:tc>
        <w:tc>
          <w:tcPr>
            <w:tcW w:w="3039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未经复议直接起诉</w:t>
            </w:r>
          </w:p>
        </w:tc>
        <w:tc>
          <w:tcPr>
            <w:tcW w:w="299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复议后起诉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4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617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567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503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64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维持</w:t>
            </w:r>
          </w:p>
        </w:tc>
        <w:tc>
          <w:tcPr>
            <w:tcW w:w="64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纠正</w:t>
            </w:r>
          </w:p>
        </w:tc>
        <w:tc>
          <w:tcPr>
            <w:tcW w:w="6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其他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</w:t>
            </w:r>
          </w:p>
        </w:tc>
        <w:tc>
          <w:tcPr>
            <w:tcW w:w="6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审结</w:t>
            </w:r>
          </w:p>
        </w:tc>
        <w:tc>
          <w:tcPr>
            <w:tcW w:w="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总计</w:t>
            </w:r>
          </w:p>
        </w:tc>
        <w:tc>
          <w:tcPr>
            <w:tcW w:w="6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维持</w:t>
            </w:r>
          </w:p>
        </w:tc>
        <w:tc>
          <w:tcPr>
            <w:tcW w:w="6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纠正</w:t>
            </w:r>
          </w:p>
        </w:tc>
        <w:tc>
          <w:tcPr>
            <w:tcW w:w="6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其他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结果</w:t>
            </w:r>
          </w:p>
        </w:tc>
        <w:tc>
          <w:tcPr>
            <w:tcW w:w="6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审结</w:t>
            </w:r>
          </w:p>
        </w:tc>
        <w:tc>
          <w:tcPr>
            <w:tcW w:w="4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总计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  <w:jc w:val="center"/>
        </w:trPr>
        <w:tc>
          <w:tcPr>
            <w:tcW w:w="5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0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textDirection w:val="lrTb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1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黑体"/>
          <w:sz w:val="32"/>
          <w:szCs w:val="32"/>
        </w:rPr>
        <w:t>存在的主要问题及改进情况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（一）存在的主要问题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2021年，我镇政府信息公开工作虽然取得了一定成效，但也存在一些不足和问题，具体有以下几个方面：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1.对《条例》和省、市、区政府信息公开工作规定的学习、掌握还不够好，对政府信息公开的内容、格式及相关要求模糊不清。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2.对信息公开的广度和深度认识还不够。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（二）改进情况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为进一步做好我镇政府信息公开工作，将采取以下措施：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加强政务公开工作业务交流和培训，进一步提高政务公开工作人员业务能力，不断提升政务公开工作质量和业务水平。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加强政务公开目录、内容规范化建设。认真梳理，逐步扩大公开范围，保证公开信息的完整性、准确性和规范性。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六、其他需要报告的事项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本年度无收取政府信息处理费情况。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 w:right="0" w:rightChars="0"/>
        <w:jc w:val="both"/>
        <w:textAlignment w:val="auto"/>
        <w:outlineLvl w:val="9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swiss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altName w:val="Arial Unicode MS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小标宋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decorative"/>
    <w:pitch w:val="default"/>
    <w:sig w:usb0="00000001" w:usb1="080E0000" w:usb2="00000000" w:usb3="00000000" w:csb0="00040000" w:csb1="00000000"/>
  </w:font>
  <w:font w:name="黑体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decorative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cript"/>
    <w:pitch w:val="default"/>
    <w:sig w:usb0="80000287" w:usb1="280F3C52" w:usb2="00000016" w:usb3="00000000" w:csb0="0004001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Unicode MS">
    <w:panose1 w:val="020B0604020202020204"/>
    <w:charset w:val="86"/>
    <w:family w:val="script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黑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黑体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14B80"/>
    <w:rsid w:val="02CC2439"/>
    <w:rsid w:val="14DC7147"/>
    <w:rsid w:val="1F581683"/>
    <w:rsid w:val="248944A1"/>
    <w:rsid w:val="2A2C2E46"/>
    <w:rsid w:val="2A7A1B63"/>
    <w:rsid w:val="2FE11722"/>
    <w:rsid w:val="5F414B8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2022-01-17T06:12:00Z</dcterms:created>
  <dc:creator>匿名用户</dc:creator>
  <cp:lastModifiedBy>匿名用户</cp:lastModifiedBy>
  <dcterms:modified xsi:type="dcterms:W3CDTF">2022-01-21T00:45:54Z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2052-10.1.0.5842</vt:lpwstr>
  </property>
</Properties>
</file>