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hAnsi="仿宋_GB2312" w:eastAsia="仿宋_GB2312" w:cs="Times New Roman"/>
          <w:kern w:val="2"/>
          <w:sz w:val="32"/>
          <w:szCs w:val="32"/>
        </w:rPr>
      </w:pPr>
      <w:r>
        <w:rPr>
          <w:rFonts w:ascii="Calibri" w:hAnsi="Calibri" w:eastAsia="宋体" w:cs="Times New Roman"/>
          <w:kern w:val="2"/>
          <w:sz w:val="21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174625</wp:posOffset>
            </wp:positionV>
            <wp:extent cx="5534025" cy="1888490"/>
            <wp:effectExtent l="0" t="0" r="9525" b="16510"/>
            <wp:wrapNone/>
            <wp:docPr id="1" name="图片 2" descr="政府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政府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ascii="仿宋_GB2312" w:hAnsi="仿宋_GB2312" w:eastAsia="仿宋_GB2312" w:cs="Times New Roman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</w:rPr>
        <w:t>　</w:t>
      </w:r>
    </w:p>
    <w:p>
      <w:pPr>
        <w:widowControl w:val="0"/>
        <w:adjustRightInd/>
        <w:snapToGrid/>
        <w:spacing w:after="0" w:line="540" w:lineRule="exact"/>
        <w:jc w:val="center"/>
        <w:rPr>
          <w:rFonts w:hint="eastAsia" w:ascii="仿宋_GB2312" w:hAnsi="宋体" w:eastAsia="仿宋_GB2312" w:cs="Times New Roman"/>
          <w:kern w:val="2"/>
          <w:sz w:val="32"/>
          <w:szCs w:val="32"/>
        </w:rPr>
      </w:pPr>
      <w:r>
        <w:rPr>
          <w:rFonts w:hint="eastAsia" w:ascii="仿宋_GB2312" w:hAnsi="仿宋_GB2312" w:eastAsia="仿宋_GB2312" w:cs="Times New Roman"/>
          <w:kern w:val="2"/>
          <w:sz w:val="32"/>
          <w:szCs w:val="32"/>
        </w:rPr>
        <w:t>大政</w:t>
      </w:r>
      <w:r>
        <w:rPr>
          <w:rFonts w:hint="eastAsia" w:ascii="仿宋_GB2312" w:hAnsi="仿宋_GB2312" w:eastAsia="仿宋_GB2312" w:cs="Times New Roman"/>
          <w:kern w:val="2"/>
          <w:sz w:val="32"/>
          <w:szCs w:val="32"/>
          <w:lang w:eastAsia="zh-CN"/>
        </w:rPr>
        <w:t>发</w:t>
      </w:r>
      <w:r>
        <w:rPr>
          <w:rFonts w:hint="eastAsia" w:ascii="仿宋_GB2312" w:hAnsi="宋体" w:eastAsia="仿宋_GB2312" w:cs="Times New Roman"/>
          <w:kern w:val="2"/>
          <w:sz w:val="32"/>
          <w:szCs w:val="32"/>
        </w:rPr>
        <w:t>〔202</w:t>
      </w:r>
      <w:r>
        <w:rPr>
          <w:rFonts w:hint="eastAsia" w:ascii="仿宋_GB2312" w:hAnsi="宋体" w:eastAsia="仿宋_GB2312" w:cs="Times New Roman"/>
          <w:kern w:val="2"/>
          <w:sz w:val="32"/>
          <w:szCs w:val="32"/>
          <w:lang w:val="en-US" w:eastAsia="zh-CN"/>
        </w:rPr>
        <w:t>4</w:t>
      </w:r>
      <w:r>
        <w:rPr>
          <w:rFonts w:hint="eastAsia" w:ascii="仿宋_GB2312" w:hAnsi="宋体" w:eastAsia="仿宋_GB2312" w:cs="Times New Roman"/>
          <w:kern w:val="2"/>
          <w:sz w:val="32"/>
          <w:szCs w:val="32"/>
        </w:rPr>
        <w:t>〕</w:t>
      </w:r>
      <w:r>
        <w:rPr>
          <w:rFonts w:hint="eastAsia" w:ascii="仿宋_GB2312" w:hAnsi="宋体" w:eastAsia="仿宋_GB2312" w:cs="Times New Roman"/>
          <w:kern w:val="2"/>
          <w:sz w:val="32"/>
          <w:szCs w:val="32"/>
          <w:lang w:val="en-US" w:eastAsia="zh-CN"/>
        </w:rPr>
        <w:t>10</w:t>
      </w:r>
      <w:r>
        <w:rPr>
          <w:rFonts w:hint="eastAsia" w:ascii="仿宋_GB2312" w:hAnsi="宋体" w:eastAsia="仿宋_GB2312" w:cs="Times New Roman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宋体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仿宋_GB2312" w:hAnsi="仿宋_GB2312" w:eastAsia="仿宋_GB2312" w:cs="Times New Roman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温州市洞头区大门镇人民政府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关于印发《大门镇“一支队伍管执法”工作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实施方案》的通知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  <w:t>各</w:t>
      </w:r>
      <w:r>
        <w:rPr>
          <w:rFonts w:hint="eastAsia" w:ascii="仿宋_GB2312" w:eastAsia="仿宋_GB2312" w:cs="Times New Roman"/>
          <w:color w:val="000000"/>
          <w:sz w:val="32"/>
          <w:szCs w:val="32"/>
          <w:lang w:val="en-US" w:eastAsia="zh-CN"/>
        </w:rPr>
        <w:t>村居（</w:t>
      </w:r>
      <w:r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  <w:t>社区），机关各科室、镇属各部门站所：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  <w:t>《大门镇“一支队伍管执法”工作实施方案》</w:t>
      </w: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>已经镇政府同意，现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印发给你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们，</w:t>
      </w:r>
      <w:r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  <w:t>请认真贯彻落实。</w:t>
      </w:r>
    </w:p>
    <w:p>
      <w:pPr>
        <w:pStyle w:val="9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firstLine="960" w:firstLineChars="300"/>
        <w:jc w:val="right"/>
        <w:textAlignment w:val="auto"/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color w:val="000000"/>
          <w:sz w:val="32"/>
          <w:szCs w:val="32"/>
          <w:lang w:val="en-US" w:eastAsia="zh-CN"/>
        </w:rPr>
        <w:t>温州市洞头区大门镇人民政府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left"/>
        <w:textAlignment w:val="auto"/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 xml:space="preserve">         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 xml:space="preserve">           </w:t>
      </w:r>
      <w:r>
        <w:rPr>
          <w:rFonts w:hint="eastAsia" w:ascii="仿宋_GB2312" w:hAnsi="Calibri" w:eastAsia="仿宋_GB2312" w:cs="Times New Roman"/>
          <w:color w:val="000000"/>
          <w:sz w:val="32"/>
          <w:szCs w:val="32"/>
          <w:lang w:val="en-US" w:eastAsia="zh-CN"/>
        </w:rPr>
        <w:t xml:space="preserve">                2024年4月3日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大门镇“一支队伍管执法”工作实施方案</w:t>
      </w:r>
    </w:p>
    <w:p>
      <w:pPr>
        <w:pStyle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为进一步深化“大综合一体化”行政执法改革，优化配置执法资源，健全执法协同机制，推动部门间、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区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域间、层级间一体联动，积极探索实现乡镇层级“一支队伍管执法”，制定本工作实施方案。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黑体" w:hAnsi="黑体" w:eastAsia="黑体" w:cs="仿宋"/>
          <w:sz w:val="32"/>
          <w:szCs w:val="32"/>
          <w:shd w:val="clear" w:color="auto" w:fill="auto"/>
        </w:rPr>
      </w:pPr>
      <w:r>
        <w:rPr>
          <w:rFonts w:hint="eastAsia" w:ascii="黑体" w:hAnsi="黑体" w:eastAsia="黑体" w:cs="仿宋"/>
          <w:sz w:val="32"/>
          <w:szCs w:val="32"/>
          <w:shd w:val="clear" w:color="auto" w:fill="auto"/>
        </w:rPr>
        <w:t>一、指导思想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为进一步深化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“大综合一体化”行政执法改革，以简政放权放管结合转变职能为核心，按照“赋权、下沉、提效”原则，高效承接部门赋权下放行政执法工作；为优化资源配置，打破站所壁垒，整合“1＋X”执法力量，按照“统筹安排、业务归口、法制审核、统一执行”运行模式，进一步提升执法效率和监管水平，加快建立权责统一、权威高效的基层行政执法机制，打造一支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人民政府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为主体专业化执法队伍。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黑体" w:hAnsi="黑体" w:eastAsia="黑体" w:cs="仿宋"/>
          <w:sz w:val="32"/>
          <w:szCs w:val="32"/>
          <w:shd w:val="clear" w:color="auto" w:fill="auto"/>
        </w:rPr>
      </w:pPr>
      <w:r>
        <w:rPr>
          <w:rFonts w:hint="eastAsia" w:ascii="黑体" w:hAnsi="黑体" w:eastAsia="黑体" w:cs="仿宋"/>
          <w:sz w:val="32"/>
          <w:szCs w:val="32"/>
          <w:shd w:val="clear" w:color="auto" w:fill="auto"/>
        </w:rPr>
        <w:t>二、组织领导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成立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大门镇指挥中心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，以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人民政府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为主体具体负责各项工作推进。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3" w:firstLineChars="200"/>
        <w:textAlignment w:val="auto"/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</w:pP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（一）领导小组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队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长：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陈义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党委副书记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常务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副队长：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王伟丰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分管领导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副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队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长：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周伟俊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司法所所长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2560" w:firstLineChars="8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倪献松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自然资源和规划所所长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2560" w:firstLineChars="8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周婷婷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市场监督管理所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指导员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2560" w:firstLineChars="8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梁征辉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 xml:space="preserve">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 xml:space="preserve">     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综合行政执法中队中队长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default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法制审核员：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李金微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成  员：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执法人员、各基层站所干部及辅助人员、联络制执法部门联络员。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firstLine="640" w:firstLineChars="200"/>
        <w:textAlignment w:val="auto"/>
        <w:rPr>
          <w:rFonts w:hint="eastAsia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执法队成员如遇岗位调整，则由新任人员承接原工作，不再另行发文。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3" w:firstLineChars="200"/>
        <w:textAlignment w:val="auto"/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</w:pP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（二）</w:t>
      </w: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人民政府及综合执法队工作职责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镇人民政府工作职责：组织领导、统筹协调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综合行政执法体制改革，推进综合行政执法工作；审议综合行政执法体制改革实施方案；研究解决综合行政执法工作遇到的重大问题。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综合行政执法队工作职责：负责辖区综合行政执法工作，具体负责行使环境卫生、城乡规划、自然资源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、农业农村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等上级部门赋权下放的行政处罚权及与之相适应行政强制权，负责牵头开展相关联合执法工作，具体行政执法职权的行使以政府公告为准。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3" w:firstLineChars="200"/>
        <w:textAlignment w:val="auto"/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</w:pP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（三）</w:t>
      </w: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综合行政执法队岗位职责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综合行政执法队队长：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陈义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。负责统筹协调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综合行政执法队相关工作。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常务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副队长：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王伟丰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。负责综合行政执法队日常工作、联合执法牵头工作。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560" w:lineRule="exact"/>
        <w:ind w:firstLine="640" w:firstLineChars="200"/>
        <w:jc w:val="left"/>
        <w:textAlignment w:val="auto"/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综合行政执法队副队长（执法）：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梁征辉。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负责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牵头111项赋权事项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以及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大门镇交办的其他工作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，其中教育1项、城乡规划7项、房地产业2项、市政公用11项（第51、52、53、55、56、57、58、59、60、65、66项）、建设3项（第71、72、73项）、水行政1项、消防救援6项、应急管理7项；另需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牵头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生态环境部门业务指导事项：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zh-TW" w:eastAsia="zh-CN"/>
          <w14:textFill>
            <w14:solidFill>
              <w14:schemeClr w14:val="tx1"/>
            </w14:solidFill>
          </w14:textFill>
        </w:rPr>
        <w:t>损毁、涂改或者擅自移动饮用水水源保护区地理界标等设施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560" w:lineRule="exact"/>
        <w:ind w:firstLine="640" w:firstLineChars="200"/>
        <w:jc w:val="left"/>
        <w:textAlignment w:val="auto"/>
        <w:rPr>
          <w:rFonts w:hint="default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综合行政执法队副队长（资规）：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倪献松。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负责自然资源、林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业、城乡规划等主管事项日常巡查，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牵头办理8项赋权事项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以及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en-US" w:eastAsia="zh-CN" w:bidi="ar"/>
        </w:rPr>
        <w:t>大门镇交办的其他工作。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负责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牵头事项：（1）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对破坏或者擅自改变基本农田保护标志、侵占或者破坏基本农田设施</w:t>
      </w:r>
      <w:r>
        <w:rPr>
          <w:rFonts w:hint="eastAsia" w:ascii="仿宋_GB2312" w:hAnsi="仿宋" w:eastAsia="仿宋_GB2312" w:cs="仿宋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（2）对违法占用耕地建窑、建坟或者擅自在耕地上建房、挖砂、采石、采矿、取土等破坏种植条件行为中涉及自然资源主管部门职责。（3）对违法占用永久基本农田建窑、建房、建坟、挖砂、采石、采矿、取土、堆放固体废弃物或者从事其他活动破坏基本农田，毁坏种植条件。（4）对非法占用永久基本农田发展林果业或者挖塘养鱼。（5）对森林禁火期、禁火区非法用火。（6）对森林、林木、林地的经营单位或者个人未履行森林防火责任。（7）对擅自烧荒的。（8）对农村村民未经批准或者采取欺骗手段骗取批准，非法占用土地建住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3.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综合行政执法队副队长（市监）：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周婷婷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。负责市场监督管理类巡查，办理市场监督行政处罚案件，以及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交办的其他工作。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4.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综合行政执法队副队长（司法）：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周伟俊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。负责法律知识培训、执法案卷评查、案件合法性审查；负责监督执法人员执法行为；负责指导监督律所和法制员法制审核工作；负责主持听证程序，牵头复议、诉讼等工作；以及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交办的其他工作。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联络制执法部门联络员：联络员负责承接本部分领域日常巡查工作，办理本业务系统案件，每周定期参与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一支队伍联合执法行动，办理本业务系统案件（事项直接赋权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，但未补人员、未设基层站所类案件）。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法制审核：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李金微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。建立专业律师+法制审核员机制，负责法制审核工作。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执法人员职责：落实日常巡查任务；归口办理流转案件；听令处置应急任务；完成执法队交办的其他工作。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辅助人员职责（含镇条线干部、临聘人员）：协助执法人员工作；归口报送问题线索；完成执法人员交办的其他工作。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指挥中心：负责上传下达、派件流转、法制审核、系统维护、台账整理等日常工作。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3" w:firstLineChars="200"/>
        <w:textAlignment w:val="auto"/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</w:pPr>
      <w:r>
        <w:rPr>
          <w:rFonts w:hint="eastAsia" w:ascii="仿宋_GB2312" w:hAnsi="楷体" w:eastAsia="仿宋_GB2312" w:cs="仿宋"/>
          <w:b/>
          <w:sz w:val="32"/>
          <w:szCs w:val="32"/>
          <w:shd w:val="clear" w:color="auto" w:fill="auto"/>
        </w:rPr>
        <w:t>（四）其他事项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1.未赋权事项由各业务站所按照上级部门明确事项处置；赋权下放事项监管、投诉、举报由主管部门认领，行政处罚以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为执法主体集中实施。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2.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2022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年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8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月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2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日（赋权日期）之前已立案由原单位继续办理；未立案以镇为执法主体，统一按照主管业务条线分工归口办理。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/>
        <w:textAlignment w:val="auto"/>
        <w:rPr>
          <w:rFonts w:hint="eastAsia" w:ascii="黑体" w:hAnsi="黑体" w:eastAsia="黑体" w:cs="楷体"/>
          <w:sz w:val="32"/>
          <w:szCs w:val="32"/>
          <w:shd w:val="clear" w:color="auto" w:fill="auto"/>
        </w:rPr>
      </w:pPr>
      <w:r>
        <w:rPr>
          <w:rFonts w:hint="eastAsia" w:ascii="黑体" w:hAnsi="黑体" w:eastAsia="黑体" w:cs="楷体"/>
          <w:sz w:val="32"/>
          <w:szCs w:val="32"/>
          <w:shd w:val="clear" w:color="auto" w:fill="auto"/>
        </w:rPr>
        <w:t>三、建立日常基础运行机制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（一）建立法制联审机制。按照“专业律师+法制员”模式建立法制联审机制，由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聘请专业律师团队和安排1名干部（执法证）负责行政执法全过程法制审核。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（二）建立例会会商机制。建立“例会会商研判”机制，根据工作实际定期召开会商研判例会，总结部署工作、分析研判难点、集中解决问题。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（三）建立统一派遣机制。建立执法事项统一派遣机制，执法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指挥中心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按照业务归口分发办理；立案查处由各业务部门按照规定流程查处；强制执行的由业务部门拟制方案、提出申请，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人民政府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牵头，部门协助，联合执行。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（四）建立合署办公机制。依托大空间场所实施合署办公，全面推进“街镇一支队伍管执法”，综合执法、市场监管、自然资源、司法基层站所执法人员实行合署办公，以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为主体开展相关工作。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五）建立执法巡查机制。建立“日常工作巡查、专项执法巡查和联合执法巡查”机制。日常监管巡查，派驻基层站所根据各自业务自行安排日常巡查；专项执法巡查，派驻基层站所根据需要，制定方案，报队长同意后统一集中实施专项巡查；联合执法巡查，根据重大活动、节日假期间以及阶段工作需要，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eastAsia="zh-CN"/>
        </w:rPr>
        <w:t>大门镇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为单位集中组织开展联合巡查。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六）建立执法协作机制。按照“分类处理、联合执法”方式建立联合协作机制。按照各站所职能依法履行法定职责的原则，派驻基层站所应根据职责和程序分别进行立案、调查，并依法进行处理；全辖区重大联合执法，由各站所拟定联合执法方案、提出申请，经队长同意后组织实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（七）半小时现场处置机制。周一至周五，按照正常上班要求，由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指挥中心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负责安排，按照业务归口的原则，第一时间进行处置。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八）建立新型执法模式。全面落实行政执法公示制度、执法全过程记录制度、重大执法决定法制审核制度并严格管理执法人员和执法案卷；推广运用“轻微违法告知承诺制”和“说理式”“教科书式”等柔性执法方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（九）提供执法硬件保障。设立一支队伍临时办公室，设置办案室、询问室、罚没品库等库室，配备设备；需检测、测绘等数据，由各站所联系并报队长批准后，以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大门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镇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人民政府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为主体委托第三方执行。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default" w:eastAsia="仿宋_GB231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</w:rPr>
        <w:t>（十）建立监督机制。制定行政执法监督制度，包含队伍建设、日常执法规范等监督内容，通过执法监督专项执法检查、行政执法考核评议等方式，</w:t>
      </w:r>
      <w:r>
        <w:rPr>
          <w:rFonts w:hint="eastAsia" w:ascii="仿宋_GB2312" w:hAnsi="仿宋" w:eastAsia="仿宋_GB2312" w:cs="仿宋"/>
          <w:sz w:val="32"/>
          <w:szCs w:val="32"/>
          <w:shd w:val="clear" w:color="auto" w:fill="auto"/>
          <w:lang w:val="en-US" w:eastAsia="zh-CN"/>
        </w:rPr>
        <w:t>工作中发现违法违纪等行为移交纪检部门进行处置。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</w:pP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textAlignment w:val="auto"/>
      </w:pPr>
    </w:p>
    <w:p>
      <w:pPr>
        <w:pStyle w:val="3"/>
      </w:pPr>
    </w:p>
    <w:p/>
    <w:p>
      <w:pPr>
        <w:pStyle w:val="3"/>
      </w:pPr>
    </w:p>
    <w:p/>
    <w:p>
      <w:pPr>
        <w:pStyle w:val="2"/>
      </w:pPr>
    </w:p>
    <w:p>
      <w:pPr>
        <w:pStyle w:val="3"/>
      </w:pPr>
    </w:p>
    <w:p>
      <w:pPr>
        <w:spacing w:line="540" w:lineRule="exact"/>
        <w:ind w:firstLine="280"/>
        <w:jc w:val="left"/>
      </w:pPr>
      <w:r>
        <w:rPr>
          <w:rFonts w:hint="eastAsia" w:ascii="宋体" w:hAnsi="宋体" w:eastAsia="宋体"/>
          <w:color w:val="000000"/>
          <w:sz w:val="36"/>
        </w:rPr>
        <w:t>附件</w:t>
      </w:r>
    </w:p>
    <w:p>
      <w:pPr>
        <w:spacing w:after="220" w:line="740" w:lineRule="exact"/>
        <w:ind w:left="0"/>
        <w:jc w:val="center"/>
        <w:rPr>
          <w:rFonts w:hint="eastAsia" w:ascii="宋体" w:hAnsi="宋体" w:eastAsia="宋体"/>
          <w:b/>
          <w:color w:val="000000"/>
          <w:sz w:val="50"/>
        </w:rPr>
      </w:pPr>
      <w:r>
        <w:rPr>
          <w:rFonts w:hint="eastAsia" w:ascii="宋体" w:hAnsi="宋体"/>
          <w:b/>
          <w:color w:val="000000"/>
          <w:sz w:val="50"/>
          <w:lang w:val="en-US" w:eastAsia="zh-CN"/>
        </w:rPr>
        <w:t>大门镇</w:t>
      </w:r>
      <w:r>
        <w:rPr>
          <w:rFonts w:hint="eastAsia" w:ascii="宋体" w:hAnsi="宋体" w:eastAsia="宋体"/>
          <w:b/>
          <w:color w:val="000000"/>
          <w:sz w:val="50"/>
        </w:rPr>
        <w:t>一支队伍管执法人员花名册</w:t>
      </w:r>
    </w:p>
    <w:p>
      <w:pPr>
        <w:pStyle w:val="2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注：联系制人员以区级名单为准</w:t>
      </w:r>
    </w:p>
    <w:tbl>
      <w:tblPr>
        <w:tblStyle w:val="6"/>
        <w:tblW w:w="68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996"/>
        <w:gridCol w:w="2625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71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序号</w:t>
            </w:r>
          </w:p>
        </w:tc>
        <w:tc>
          <w:tcPr>
            <w:tcW w:w="996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71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姓名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职务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1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梁征辉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综合行政执法中队中队长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2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9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戴瑞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综合行政执法中队</w:t>
            </w:r>
            <w:r>
              <w:rPr>
                <w:rFonts w:hint="default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3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王勤炎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综合行政执法中队</w:t>
            </w:r>
            <w:r>
              <w:rPr>
                <w:rFonts w:hint="default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4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林鹏鹏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综合行政执法中队</w:t>
            </w:r>
            <w:r>
              <w:rPr>
                <w:rFonts w:hint="default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5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杨琴琴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综合行政执法中队</w:t>
            </w:r>
            <w:r>
              <w:rPr>
                <w:rFonts w:hint="default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6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倪献松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所长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7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郑  杰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8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郑元旭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9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陈海静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10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林海胜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11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郭 栋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资规所办事员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/>
                <w:color w:val="000000"/>
                <w:sz w:val="26"/>
              </w:rPr>
              <w:t>12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周伟俊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司法所所长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 w:eastAsia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13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</w:rPr>
              <w:t>周婷婷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市监所</w:t>
            </w:r>
            <w:r>
              <w:rPr>
                <w:rFonts w:hint="default"/>
              </w:rPr>
              <w:t>指导员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14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9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</w:rPr>
              <w:t>邹三荣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市监所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8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15</w:t>
            </w:r>
          </w:p>
        </w:tc>
        <w:tc>
          <w:tcPr>
            <w:tcW w:w="9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</w:rPr>
              <w:t>朱一杭</w:t>
            </w:r>
          </w:p>
        </w:tc>
        <w:tc>
          <w:tcPr>
            <w:tcW w:w="26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市监所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办事员</w:t>
            </w:r>
          </w:p>
        </w:tc>
        <w:tc>
          <w:tcPr>
            <w:tcW w:w="23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0" w:type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</w:rPr>
              <w:t>许溶潭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市监所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办事员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Times New Roman" w:hAnsi="Times New Roman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基层站所执法人员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0" w:type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陈荣华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平安建设办公室主任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本级执法人员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0" w:type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color w:val="000000"/>
                <w:sz w:val="26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6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李金微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社会事务管理办公室主任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90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本级执法人员</w:t>
            </w:r>
          </w:p>
        </w:tc>
      </w:tr>
    </w:tbl>
    <w:p/>
    <w:p>
      <w:pPr>
        <w:pStyle w:val="9"/>
      </w:pPr>
    </w:p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3"/>
      </w:pPr>
    </w:p>
    <w:p/>
    <w:p>
      <w:pPr>
        <w:pStyle w:val="2"/>
      </w:pPr>
    </w:p>
    <w:p>
      <w:pPr>
        <w:ind w:firstLine="280" w:firstLineChars="100"/>
        <w:jc w:val="left"/>
        <w:rPr>
          <w:rFonts w:hint="eastAsia" w:ascii="仿宋_GB2312" w:hAnsi="宋体" w:eastAsia="仿宋_GB2312"/>
          <w:sz w:val="32"/>
          <w:szCs w:val="32"/>
        </w:rPr>
      </w:pPr>
      <w:r>
        <w:rPr>
          <w:rFonts w:ascii="仿宋_GB2312" w:hAnsi="仿宋" w:eastAsia="仿宋_GB2312" w:cs="仿宋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13970</wp:posOffset>
                </wp:positionV>
                <wp:extent cx="5544185" cy="0"/>
                <wp:effectExtent l="0" t="4445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41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pt;margin-top:1.1pt;height:0pt;width:436.55pt;z-index:251660288;mso-width-relative:page;mso-height-relative:page;" filled="f" stroked="t" coordsize="21600,21600" o:gfxdata="UEsDBAoAAAAAAIdO4kAAAAAAAAAAAAAAAAAEAAAAZHJzL1BLAwQUAAAACACHTuJAYt5QX9MAAAAG&#10;AQAADwAAAGRycy9kb3ducmV2LnhtbE2OwU7DMBBE70j8g7VI3Fq7BtES4lQIARckJErg7MRLEmGv&#10;o9hNy9+zcIHjaEZvXrk9Bi9mnNIQycBqqUAgtdEN1BmoXx8WGxApW3LWR0IDX5hgW52elLZw8UAv&#10;OO9yJxhCqbAG+pzHQsrU9hhsWsYRibuPOAWbOU6ddJM9MDx4qZW6ksEOxA+9HfGux/Zztw8Gbt+f&#10;7i+e5yZE7667+s2FWj1qY87PVuoGRMZj/hvDjz6rQ8VOTdyTS8IbWOhLXhrQGgTXm7Vag2h+s6xK&#10;+V+/+gZQSwMEFAAAAAgAh07iQCtIggUAAgAA/AMAAA4AAABkcnMvZTJvRG9jLnhtbK1TvY4TMRDu&#10;kXgHyz3ZJLqgY5XNFReOBsFJ/PQTr71ryX/yONnkJXgBJDqoKOl5G47HYOzNRcfRpGALa+wZfzPf&#10;t5+XV3tr2E5G1N41fDaZciad8K12XcM/vL95dskZJnAtGO9kww8S+dXq6ZPlEGo59703rYyMQBzW&#10;Q2h4n1KoqwpFLy3gxAfpKKl8tJBoG7uqjTAQujXVfDp9Xg0+tiF6IRHpdD0m+RExngPoldJCrr3Y&#10;WunSiBqlgUSUsNcB+apMq5QU6a1SKBMzDSemqazUhOJNXqvVEuouQui1OI4A54zwiJMF7ajpCWoN&#10;Cdg26n+grBbRo1dpIrytRiJFEWIxmz7S5l0PQRYuJDWGk+j4/2DFm91tZLpt+JwzB5Z++N3nH78+&#10;ff398wutd9+/sXkWaQhYU+21u43HHYbbmBnvVbRMGR0+kpuKBsSK7YvEh5PEcp+YoMPF4uJidrng&#10;TNznqhEiQ4WI6ZX0luWg4Ua7zB5q2L3GRG2p9L4kHxvHhoa/WMwzHJAVFVmAQhuIDrqu3EVvdHuj&#10;jck3MHabaxPZDrIdypfJEe5fZbnJGrAf60pqNEovoX3pWpYOgYRy9D54HsHKljMj6TnliAChTqDN&#10;OZXU2rh8QRazHnlmtUd9c7Tx7YF+0jZE3fWky6zMnDNkijL90cDZdQ/3FD98tK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Yt5QX9MAAAAGAQAADwAAAAAAAAABACAAAAAiAAAAZHJzL2Rvd25yZXYu&#10;eG1sUEsBAhQAFAAAAAgAh07iQCtIggUAAgAA/AMAAA4AAAAAAAAAAQAgAAAAI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 w:cs="仿宋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387350</wp:posOffset>
                </wp:positionV>
                <wp:extent cx="5544185" cy="0"/>
                <wp:effectExtent l="0" t="4445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41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6pt;margin-top:30.5pt;height:0pt;width:436.55pt;z-index:251661312;mso-width-relative:page;mso-height-relative:page;" filled="f" stroked="t" coordsize="21600,21600" o:gfxdata="UEsDBAoAAAAAAIdO4kAAAAAAAAAAAAAAAAAEAAAAZHJzL1BLAwQUAAAACACHTuJA0bp4zNQAAAAH&#10;AQAADwAAAGRycy9kb3ducmV2LnhtbE2PwU7DMBBE70j8g7VI3KidFJU2jVMhBFyQkCiBsxMvSYS9&#10;jmI3LX/PIg5wnJ3R7Jtyd/JOzDjFIZCGbKFAILXBDtRpqF8frtYgYjJkjQuEGr4wwq46PytNYcOR&#10;XnDep05wCcXCaOhTGgspY9ujN3ERRiT2PsLkTWI5ddJO5sjl3slcqZX0ZiD+0JsR73psP/cHr+H2&#10;/el++Tw3Pji76eo362v1mGt9eZGpLYiEp/QXhh98RoeKmZpwIBuFY51zUMMq40Vsr2+ulyCa34Os&#10;Svmfv/oGUEsDBBQAAAAIAIdO4kCY6k4BAAIAAPwDAAAOAAAAZHJzL2Uyb0RvYy54bWytU0uOEzEQ&#10;3SNxB8t70kmUoKGVziwmDBsEkfjsK/50W/JPtpNOLsEFkNjBiiV7bsNwDMrunmgYNlnQC6vsKr+q&#10;9/p5dX00mhxEiMrZhs4mU0qEZY4r2zb0w/vbZ1eUxASWg3ZWNPQkIr1eP32y6n0t5q5zmotAEMTG&#10;uvcN7VLydVVF1gkDceK8sJiULhhIuA1txQP0iG50NZ9On1e9C9wHx0SMeLoZknREDJcAOikVExvH&#10;9kbYNKAGoSEhpdgpH+m6TCulYOmtlFEkohuKTFNZsQnGu7xW6xXUbQDfKTaOAJeM8IiTAWWx6Rlq&#10;AwnIPqh/oIxiwUUn04Q5Uw1EiiLIYjZ9pM27DrwoXFDq6M+ix/8Hy94ctoEo3tAFJRYM/vC7zz9+&#10;ffr6++cXXO++fyOLLFLvY421N3Ybxl3025AZH2UwRGrlP6KbigbIihyLxKezxOKYCMPD5XKxmF0t&#10;KWH3uWqAyFA+xPRKOENy0FCtbGYPNRxex4RtsfS+JB9rS/qGvljOMxygFSVaAEPjkU60bbkbnVb8&#10;Vmmdb8TQ7m50IAfIdihfJoe4f5XlJhuI3VBXUoNROgH8peUknTwKZfF90DyCEZwSLfA55QgBoU6g&#10;9CWV2FrbfEEUs448s9qDvjnaOX7Cn7T3QbUd6jIrM+cMmqJMPxo4u+7hHuOHj3b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G6eMzUAAAABwEAAA8AAAAAAAAAAQAgAAAAIgAAAGRycy9kb3ducmV2&#10;LnhtbFBLAQIUABQAAAAIAIdO4kCY6k4BAAIAAPwDAAAOAAAAAAAAAAEAIAAAACM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" w:eastAsia="仿宋_GB2312" w:cs="仿宋"/>
          <w:sz w:val="28"/>
          <w:szCs w:val="28"/>
        </w:rPr>
        <w:t>大门镇党政综合办公室　　　</w:t>
      </w:r>
      <w:r>
        <w:rPr>
          <w:rFonts w:hint="eastAsia" w:ascii="仿宋_GB2312" w:hAnsi="仿宋" w:eastAsia="仿宋_GB2312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hAnsi="仿宋" w:eastAsia="仿宋_GB2312" w:cs="仿宋"/>
          <w:sz w:val="28"/>
          <w:szCs w:val="28"/>
        </w:rPr>
        <w:t>　</w:t>
      </w:r>
      <w:r>
        <w:rPr>
          <w:rFonts w:hint="eastAsia" w:ascii="仿宋_GB2312" w:hAnsi="仿宋" w:eastAsia="仿宋_GB2312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" w:eastAsia="仿宋_GB2312" w:cs="仿宋"/>
          <w:sz w:val="28"/>
          <w:szCs w:val="28"/>
        </w:rPr>
        <w:t>　　　</w:t>
      </w:r>
      <w:r>
        <w:rPr>
          <w:rFonts w:ascii="仿宋_GB2312" w:hAnsi="仿宋" w:eastAsia="仿宋_GB2312" w:cs="仿宋"/>
          <w:sz w:val="28"/>
          <w:szCs w:val="28"/>
        </w:rPr>
        <w:t>20</w:t>
      </w:r>
      <w:r>
        <w:rPr>
          <w:rFonts w:hint="eastAsia" w:ascii="仿宋_GB2312" w:hAnsi="仿宋" w:eastAsia="仿宋_GB2312" w:cs="仿宋"/>
          <w:sz w:val="28"/>
          <w:szCs w:val="28"/>
          <w:lang w:val="en-US" w:eastAsia="zh-CN"/>
        </w:rPr>
        <w:t>23</w:t>
      </w:r>
      <w:r>
        <w:rPr>
          <w:rFonts w:hint="eastAsia" w:ascii="仿宋_GB2312" w:hAnsi="仿宋" w:eastAsia="仿宋_GB2312" w:cs="仿宋"/>
          <w:sz w:val="28"/>
          <w:szCs w:val="28"/>
        </w:rPr>
        <w:t>年</w:t>
      </w:r>
      <w:r>
        <w:rPr>
          <w:rFonts w:hint="eastAsia" w:ascii="仿宋_GB2312" w:hAnsi="仿宋" w:eastAsia="仿宋_GB2312" w:cs="仿宋"/>
          <w:sz w:val="28"/>
          <w:szCs w:val="28"/>
          <w:lang w:val="en-US" w:eastAsia="zh-CN"/>
        </w:rPr>
        <w:t>4</w:t>
      </w:r>
      <w:r>
        <w:rPr>
          <w:rFonts w:hint="eastAsia" w:ascii="仿宋_GB2312" w:hAnsi="仿宋" w:eastAsia="仿宋_GB2312" w:cs="仿宋"/>
          <w:sz w:val="28"/>
          <w:szCs w:val="28"/>
        </w:rPr>
        <w:t>月</w:t>
      </w:r>
      <w:r>
        <w:rPr>
          <w:rFonts w:hint="eastAsia" w:ascii="仿宋_GB2312" w:hAnsi="仿宋" w:cs="仿宋"/>
          <w:sz w:val="28"/>
          <w:szCs w:val="28"/>
          <w:lang w:val="en-US" w:eastAsia="zh-CN"/>
        </w:rPr>
        <w:t>3</w:t>
      </w:r>
      <w:r>
        <w:rPr>
          <w:rFonts w:hint="eastAsia" w:ascii="仿宋_GB2312" w:hAnsi="仿宋" w:eastAsia="仿宋_GB2312" w:cs="仿宋"/>
          <w:sz w:val="28"/>
          <w:szCs w:val="28"/>
        </w:rPr>
        <w:t>日印发</w:t>
      </w:r>
    </w:p>
    <w:sectPr>
      <w:pgSz w:w="11906" w:h="16838"/>
      <w:pgMar w:top="1984" w:right="1531" w:bottom="1984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MzFjZWE5Y2ZhNThlYTFkODNjMGVlZDA0YzU4MGYifQ=="/>
  </w:docVars>
  <w:rsids>
    <w:rsidRoot w:val="033B639C"/>
    <w:rsid w:val="02DB0EAE"/>
    <w:rsid w:val="032177D7"/>
    <w:rsid w:val="033B639C"/>
    <w:rsid w:val="0CF50D3A"/>
    <w:rsid w:val="1D522C24"/>
    <w:rsid w:val="235972D7"/>
    <w:rsid w:val="271D45C3"/>
    <w:rsid w:val="285674C7"/>
    <w:rsid w:val="2ED52C6D"/>
    <w:rsid w:val="31735BDB"/>
    <w:rsid w:val="393F6C66"/>
    <w:rsid w:val="3E972B6C"/>
    <w:rsid w:val="47BF6067"/>
    <w:rsid w:val="488820F5"/>
    <w:rsid w:val="4AC63215"/>
    <w:rsid w:val="503E63A3"/>
    <w:rsid w:val="552870FF"/>
    <w:rsid w:val="5ED87098"/>
    <w:rsid w:val="66BA3D0B"/>
    <w:rsid w:val="67170861"/>
    <w:rsid w:val="684F59A3"/>
    <w:rsid w:val="7B6A67D2"/>
    <w:rsid w:val="DBF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autoRedefine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Body Text First Indent"/>
    <w:basedOn w:val="2"/>
    <w:next w:val="1"/>
    <w:autoRedefine/>
    <w:qFormat/>
    <w:uiPriority w:val="0"/>
    <w:pPr>
      <w:widowControl w:val="0"/>
      <w:spacing w:after="120" w:line="500" w:lineRule="exact"/>
      <w:ind w:firstLine="42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ascii="Calibri" w:hAnsi="Calibri" w:eastAsia="宋体" w:cs="Times New Roman"/>
      <w:kern w:val="0"/>
      <w:sz w:val="24"/>
    </w:rPr>
  </w:style>
  <w:style w:type="character" w:styleId="8">
    <w:name w:val="page number"/>
    <w:basedOn w:val="7"/>
    <w:autoRedefine/>
    <w:qFormat/>
    <w:uiPriority w:val="0"/>
  </w:style>
  <w:style w:type="paragraph" w:customStyle="1" w:styleId="9">
    <w:name w:val="表格文字"/>
    <w:next w:val="2"/>
    <w:autoRedefine/>
    <w:qFormat/>
    <w:uiPriority w:val="0"/>
    <w:pPr>
      <w:widowControl w:val="0"/>
      <w:adjustRightInd w:val="0"/>
      <w:snapToGrid w:val="0"/>
      <w:spacing w:line="360" w:lineRule="auto"/>
      <w:jc w:val="center"/>
    </w:pPr>
    <w:rPr>
      <w:rFonts w:ascii="Times New Roman" w:hAnsi="Times New Roman" w:eastAsia="楷体_GB2312" w:cs="Times New Roman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3404</Words>
  <Characters>3628</Characters>
  <Lines>0</Lines>
  <Paragraphs>0</Paragraphs>
  <TotalTime>3</TotalTime>
  <ScaleCrop>false</ScaleCrop>
  <LinksUpToDate>false</LinksUpToDate>
  <CharactersWithSpaces>3734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2024-03-27T09:28:00Z</dcterms:created>
  <dc:creator>溜溜球、</dc:creator>
  <cp:lastModifiedBy>WPS_1699323038</cp:lastModifiedBy>
  <dcterms:modified xsi:type="dcterms:W3CDTF">2024-06-13T02:47:48Z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22D5345C8DBC424B9472E1FC0C4A4AD9_13</vt:lpwstr>
  </property>
</Properties>
</file>