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76530">
      <w:pPr>
        <w:spacing w:line="700" w:lineRule="exact"/>
        <w:jc w:val="center"/>
        <w:rPr>
          <w:rFonts w:eastAsia="方正小标宋简体"/>
          <w:color w:val="000000" w:themeColor="text1"/>
          <w:w w:val="95"/>
          <w:sz w:val="42"/>
          <w14:textFill>
            <w14:solidFill>
              <w14:schemeClr w14:val="tx1"/>
            </w14:solidFill>
          </w14:textFill>
        </w:rPr>
      </w:pPr>
      <w:r>
        <w:rPr>
          <w:rFonts w:hint="eastAsia" w:eastAsia="方正小标宋简体"/>
          <w:color w:val="000000" w:themeColor="text1"/>
          <w:sz w:val="42"/>
          <w14:textFill>
            <w14:solidFill>
              <w14:schemeClr w14:val="tx1"/>
            </w14:solidFill>
          </w14:textFill>
        </w:rPr>
        <w:t>丹棱县城乡</w:t>
      </w:r>
      <w:r>
        <w:rPr>
          <w:rFonts w:eastAsia="方正小标宋简体"/>
          <w:color w:val="000000" w:themeColor="text1"/>
          <w:sz w:val="42"/>
          <w14:textFill>
            <w14:solidFill>
              <w14:schemeClr w14:val="tx1"/>
            </w14:solidFill>
          </w14:textFill>
        </w:rPr>
        <w:t>规划管理技术规定</w:t>
      </w:r>
    </w:p>
    <w:p w14:paraId="21B1994A">
      <w:pPr>
        <w:spacing w:line="700" w:lineRule="exact"/>
        <w:jc w:val="center"/>
        <w:rPr>
          <w:rFonts w:eastAsia="方正小标宋简体"/>
          <w:color w:val="000000" w:themeColor="text1"/>
          <w:sz w:val="44"/>
          <w:szCs w:val="44"/>
          <w14:textFill>
            <w14:solidFill>
              <w14:schemeClr w14:val="tx1"/>
            </w14:solidFill>
          </w14:textFill>
        </w:rPr>
      </w:pPr>
      <w:r>
        <w:rPr>
          <w:rFonts w:eastAsia="方正小标宋简体"/>
          <w:color w:val="000000" w:themeColor="text1"/>
          <w:sz w:val="44"/>
          <w:szCs w:val="44"/>
          <w14:textFill>
            <w14:solidFill>
              <w14:schemeClr w14:val="tx1"/>
            </w14:solidFill>
          </w14:textFill>
        </w:rPr>
        <w:t>目    录</w:t>
      </w:r>
    </w:p>
    <w:p w14:paraId="35525DDC">
      <w:pPr>
        <w:spacing w:line="600" w:lineRule="exact"/>
        <w:ind w:firstLine="615"/>
        <w:rPr>
          <w:color w:val="000000" w:themeColor="text1"/>
          <w:sz w:val="30"/>
          <w:szCs w:val="30"/>
          <w14:textFill>
            <w14:solidFill>
              <w14:schemeClr w14:val="tx1"/>
            </w14:solidFill>
          </w14:textFill>
        </w:rPr>
      </w:pPr>
    </w:p>
    <w:p w14:paraId="33E7A0AE">
      <w:pPr>
        <w:snapToGrid w:val="0"/>
        <w:spacing w:line="420" w:lineRule="auto"/>
        <w:ind w:firstLine="615"/>
        <w:rPr>
          <w:color w:val="000000" w:themeColor="text1"/>
          <w:szCs w:val="32"/>
          <w14:textFill>
            <w14:solidFill>
              <w14:schemeClr w14:val="tx1"/>
            </w14:solidFill>
          </w14:textFill>
        </w:rPr>
      </w:pPr>
      <w:r>
        <w:rPr>
          <w:color w:val="000000" w:themeColor="text1"/>
          <w:szCs w:val="32"/>
          <w14:textFill>
            <w14:solidFill>
              <w14:schemeClr w14:val="tx1"/>
            </w14:solidFill>
          </w14:textFill>
        </w:rPr>
        <w:t xml:space="preserve">第一章   总则………………………………………… </w:t>
      </w:r>
      <w:r>
        <w:rPr>
          <w:rFonts w:hint="eastAsia"/>
          <w:color w:val="000000" w:themeColor="text1"/>
          <w:szCs w:val="32"/>
          <w14:textFill>
            <w14:solidFill>
              <w14:schemeClr w14:val="tx1"/>
            </w14:solidFill>
          </w14:textFill>
        </w:rPr>
        <w:t>3</w:t>
      </w:r>
    </w:p>
    <w:p w14:paraId="580C124B">
      <w:pPr>
        <w:numPr>
          <w:ilvl w:val="0"/>
          <w:numId w:val="1"/>
        </w:numPr>
        <w:snapToGrid w:val="0"/>
        <w:spacing w:line="420" w:lineRule="auto"/>
        <w:rPr>
          <w:color w:val="000000" w:themeColor="text1"/>
          <w:szCs w:val="32"/>
          <w14:textFill>
            <w14:solidFill>
              <w14:schemeClr w14:val="tx1"/>
            </w14:solidFill>
          </w14:textFill>
        </w:rPr>
      </w:pPr>
      <w:r>
        <w:rPr>
          <w:color w:val="000000" w:themeColor="text1"/>
          <w:szCs w:val="32"/>
          <w14:textFill>
            <w14:solidFill>
              <w14:schemeClr w14:val="tx1"/>
            </w14:solidFill>
          </w14:textFill>
        </w:rPr>
        <w:t xml:space="preserve"> 建设用地规划管理………………………… </w:t>
      </w:r>
      <w:r>
        <w:rPr>
          <w:rFonts w:hint="eastAsia"/>
          <w:color w:val="000000" w:themeColor="text1"/>
          <w:szCs w:val="32"/>
          <w14:textFill>
            <w14:solidFill>
              <w14:schemeClr w14:val="tx1"/>
            </w14:solidFill>
          </w14:textFill>
        </w:rPr>
        <w:t>5</w:t>
      </w:r>
    </w:p>
    <w:p w14:paraId="6226B457">
      <w:pPr>
        <w:numPr>
          <w:ilvl w:val="0"/>
          <w:numId w:val="1"/>
        </w:numPr>
        <w:snapToGrid w:val="0"/>
        <w:spacing w:line="420" w:lineRule="auto"/>
        <w:rPr>
          <w:color w:val="000000" w:themeColor="text1"/>
          <w:szCs w:val="32"/>
          <w14:textFill>
            <w14:solidFill>
              <w14:schemeClr w14:val="tx1"/>
            </w14:solidFill>
          </w14:textFill>
        </w:rPr>
      </w:pPr>
      <w:r>
        <w:rPr>
          <w:color w:val="000000" w:themeColor="text1"/>
          <w:szCs w:val="32"/>
          <w14:textFill>
            <w14:solidFill>
              <w14:schemeClr w14:val="tx1"/>
            </w14:solidFill>
          </w14:textFill>
        </w:rPr>
        <w:t xml:space="preserve"> 建设用地使用强度控制…………………… </w:t>
      </w:r>
      <w:r>
        <w:rPr>
          <w:rFonts w:hint="eastAsia"/>
          <w:color w:val="000000" w:themeColor="text1"/>
          <w:szCs w:val="32"/>
          <w14:textFill>
            <w14:solidFill>
              <w14:schemeClr w14:val="tx1"/>
            </w14:solidFill>
          </w14:textFill>
        </w:rPr>
        <w:t>7</w:t>
      </w:r>
    </w:p>
    <w:p w14:paraId="01E1596E">
      <w:pPr>
        <w:numPr>
          <w:ilvl w:val="0"/>
          <w:numId w:val="1"/>
        </w:numPr>
        <w:snapToGrid w:val="0"/>
        <w:spacing w:line="420" w:lineRule="auto"/>
        <w:rPr>
          <w:color w:val="000000" w:themeColor="text1"/>
          <w:szCs w:val="32"/>
          <w14:textFill>
            <w14:solidFill>
              <w14:schemeClr w14:val="tx1"/>
            </w14:solidFill>
          </w14:textFill>
        </w:rPr>
      </w:pPr>
      <w:r>
        <w:rPr>
          <w:color w:val="000000" w:themeColor="text1"/>
          <w:szCs w:val="32"/>
          <w14:textFill>
            <w14:solidFill>
              <w14:schemeClr w14:val="tx1"/>
            </w14:solidFill>
          </w14:textFill>
        </w:rPr>
        <w:t xml:space="preserve"> 建筑间距…………………………………… </w:t>
      </w:r>
      <w:r>
        <w:rPr>
          <w:rFonts w:hint="eastAsia"/>
          <w:color w:val="000000" w:themeColor="text1"/>
          <w:szCs w:val="32"/>
          <w14:textFill>
            <w14:solidFill>
              <w14:schemeClr w14:val="tx1"/>
            </w14:solidFill>
          </w14:textFill>
        </w:rPr>
        <w:t>9</w:t>
      </w:r>
    </w:p>
    <w:p w14:paraId="3D30930C">
      <w:pPr>
        <w:numPr>
          <w:ilvl w:val="0"/>
          <w:numId w:val="1"/>
        </w:numPr>
        <w:snapToGrid w:val="0"/>
        <w:spacing w:line="420" w:lineRule="auto"/>
        <w:rPr>
          <w:color w:val="000000" w:themeColor="text1"/>
          <w:szCs w:val="32"/>
          <w14:textFill>
            <w14:solidFill>
              <w14:schemeClr w14:val="tx1"/>
            </w14:solidFill>
          </w14:textFill>
        </w:rPr>
      </w:pPr>
      <w:r>
        <w:rPr>
          <w:color w:val="000000" w:themeColor="text1"/>
          <w:szCs w:val="32"/>
          <w14:textFill>
            <w14:solidFill>
              <w14:schemeClr w14:val="tx1"/>
            </w14:solidFill>
          </w14:textFill>
        </w:rPr>
        <w:t xml:space="preserve"> 建筑退让…………………………………… </w:t>
      </w:r>
      <w:r>
        <w:rPr>
          <w:rFonts w:hint="eastAsia"/>
          <w:color w:val="000000" w:themeColor="text1"/>
          <w:szCs w:val="32"/>
          <w14:textFill>
            <w14:solidFill>
              <w14:schemeClr w14:val="tx1"/>
            </w14:solidFill>
          </w14:textFill>
        </w:rPr>
        <w:t>13</w:t>
      </w:r>
    </w:p>
    <w:p w14:paraId="0B861526">
      <w:pPr>
        <w:numPr>
          <w:ilvl w:val="0"/>
          <w:numId w:val="1"/>
        </w:numPr>
        <w:snapToGrid w:val="0"/>
        <w:spacing w:line="420" w:lineRule="auto"/>
        <w:rPr>
          <w:color w:val="000000" w:themeColor="text1"/>
          <w:szCs w:val="32"/>
          <w14:textFill>
            <w14:solidFill>
              <w14:schemeClr w14:val="tx1"/>
            </w14:solidFill>
          </w14:textFill>
        </w:rPr>
      </w:pPr>
      <w:r>
        <w:rPr>
          <w:color w:val="000000" w:themeColor="text1"/>
          <w:szCs w:val="32"/>
          <w14:textFill>
            <w14:solidFill>
              <w14:schemeClr w14:val="tx1"/>
            </w14:solidFill>
          </w14:textFill>
        </w:rPr>
        <w:t xml:space="preserve"> 商业商务区建筑规划管理………………… 1</w:t>
      </w:r>
      <w:r>
        <w:rPr>
          <w:rFonts w:hint="eastAsia"/>
          <w:color w:val="000000" w:themeColor="text1"/>
          <w:szCs w:val="32"/>
          <w14:textFill>
            <w14:solidFill>
              <w14:schemeClr w14:val="tx1"/>
            </w14:solidFill>
          </w14:textFill>
        </w:rPr>
        <w:t>6</w:t>
      </w:r>
    </w:p>
    <w:p w14:paraId="31E5F87F">
      <w:pPr>
        <w:numPr>
          <w:ilvl w:val="0"/>
          <w:numId w:val="1"/>
        </w:numPr>
        <w:snapToGrid w:val="0"/>
        <w:spacing w:line="420" w:lineRule="auto"/>
        <w:rPr>
          <w:color w:val="000000" w:themeColor="text1"/>
          <w:szCs w:val="32"/>
          <w14:textFill>
            <w14:solidFill>
              <w14:schemeClr w14:val="tx1"/>
            </w14:solidFill>
          </w14:textFill>
        </w:rPr>
      </w:pPr>
      <w:r>
        <w:rPr>
          <w:color w:val="000000" w:themeColor="text1"/>
          <w:szCs w:val="32"/>
          <w14:textFill>
            <w14:solidFill>
              <w14:schemeClr w14:val="tx1"/>
            </w14:solidFill>
          </w14:textFill>
        </w:rPr>
        <w:t xml:space="preserve"> 绿化管理…………………………………… 1</w:t>
      </w:r>
      <w:r>
        <w:rPr>
          <w:rFonts w:hint="eastAsia"/>
          <w:color w:val="000000" w:themeColor="text1"/>
          <w:szCs w:val="32"/>
          <w14:textFill>
            <w14:solidFill>
              <w14:schemeClr w14:val="tx1"/>
            </w14:solidFill>
          </w14:textFill>
        </w:rPr>
        <w:t>7</w:t>
      </w:r>
    </w:p>
    <w:p w14:paraId="5E7AE19F">
      <w:pPr>
        <w:numPr>
          <w:ilvl w:val="0"/>
          <w:numId w:val="1"/>
        </w:numPr>
        <w:snapToGrid w:val="0"/>
        <w:spacing w:line="420" w:lineRule="auto"/>
        <w:rPr>
          <w:color w:val="000000" w:themeColor="text1"/>
          <w:szCs w:val="32"/>
          <w14:textFill>
            <w14:solidFill>
              <w14:schemeClr w14:val="tx1"/>
            </w14:solidFill>
          </w14:textFill>
        </w:rPr>
      </w:pPr>
      <w:r>
        <w:rPr>
          <w:color w:val="000000" w:themeColor="text1"/>
          <w:szCs w:val="32"/>
          <w14:textFill>
            <w14:solidFill>
              <w14:schemeClr w14:val="tx1"/>
            </w14:solidFill>
          </w14:textFill>
        </w:rPr>
        <w:t xml:space="preserve"> 配套设施管理……………………………… </w:t>
      </w:r>
      <w:r>
        <w:rPr>
          <w:rFonts w:hint="eastAsia"/>
          <w:color w:val="000000" w:themeColor="text1"/>
          <w:szCs w:val="32"/>
          <w14:textFill>
            <w14:solidFill>
              <w14:schemeClr w14:val="tx1"/>
            </w14:solidFill>
          </w14:textFill>
        </w:rPr>
        <w:t>21</w:t>
      </w:r>
    </w:p>
    <w:p w14:paraId="2B2E8786">
      <w:pPr>
        <w:numPr>
          <w:ilvl w:val="0"/>
          <w:numId w:val="1"/>
        </w:numPr>
        <w:snapToGrid w:val="0"/>
        <w:spacing w:line="420" w:lineRule="auto"/>
        <w:rPr>
          <w:color w:val="000000" w:themeColor="text1"/>
          <w:szCs w:val="32"/>
          <w14:textFill>
            <w14:solidFill>
              <w14:schemeClr w14:val="tx1"/>
            </w14:solidFill>
          </w14:textFill>
        </w:rPr>
      </w:pPr>
      <w:r>
        <w:rPr>
          <w:color w:val="000000" w:themeColor="text1"/>
          <w:szCs w:val="32"/>
          <w14:textFill>
            <w14:solidFill>
              <w14:schemeClr w14:val="tx1"/>
            </w14:solidFill>
          </w14:textFill>
        </w:rPr>
        <w:t xml:space="preserve"> 建筑设计…………………………………… 2</w:t>
      </w:r>
      <w:r>
        <w:rPr>
          <w:rFonts w:hint="eastAsia"/>
          <w:color w:val="000000" w:themeColor="text1"/>
          <w:szCs w:val="32"/>
          <w14:textFill>
            <w14:solidFill>
              <w14:schemeClr w14:val="tx1"/>
            </w14:solidFill>
          </w14:textFill>
        </w:rPr>
        <w:t>7</w:t>
      </w:r>
    </w:p>
    <w:p w14:paraId="3311F5B3">
      <w:pPr>
        <w:numPr>
          <w:ilvl w:val="0"/>
          <w:numId w:val="1"/>
        </w:numPr>
        <w:snapToGrid w:val="0"/>
        <w:spacing w:line="420" w:lineRule="auto"/>
        <w:rPr>
          <w:color w:val="000000" w:themeColor="text1"/>
          <w:szCs w:val="32"/>
          <w14:textFill>
            <w14:solidFill>
              <w14:schemeClr w14:val="tx1"/>
            </w14:solidFill>
          </w14:textFill>
        </w:rPr>
      </w:pPr>
      <w:r>
        <w:rPr>
          <w:color w:val="000000" w:themeColor="text1"/>
          <w:szCs w:val="32"/>
          <w14:textFill>
            <w14:solidFill>
              <w14:schemeClr w14:val="tx1"/>
            </w14:solidFill>
          </w14:textFill>
        </w:rPr>
        <w:t xml:space="preserve"> 城市风貌…………………………………… </w:t>
      </w:r>
      <w:r>
        <w:rPr>
          <w:rFonts w:hint="eastAsia"/>
          <w:color w:val="000000" w:themeColor="text1"/>
          <w:szCs w:val="32"/>
          <w14:textFill>
            <w14:solidFill>
              <w14:schemeClr w14:val="tx1"/>
            </w14:solidFill>
          </w14:textFill>
        </w:rPr>
        <w:t>33</w:t>
      </w:r>
    </w:p>
    <w:p w14:paraId="530B9B95">
      <w:pPr>
        <w:numPr>
          <w:ilvl w:val="0"/>
          <w:numId w:val="1"/>
        </w:numPr>
        <w:snapToGrid w:val="0"/>
        <w:spacing w:line="420" w:lineRule="auto"/>
        <w:rPr>
          <w:color w:val="000000" w:themeColor="text1"/>
          <w:szCs w:val="32"/>
          <w14:textFill>
            <w14:solidFill>
              <w14:schemeClr w14:val="tx1"/>
            </w14:solidFill>
          </w14:textFill>
        </w:rPr>
      </w:pPr>
      <w:r>
        <w:rPr>
          <w:color w:val="000000" w:themeColor="text1"/>
          <w:szCs w:val="32"/>
          <w14:textFill>
            <w14:solidFill>
              <w14:schemeClr w14:val="tx1"/>
            </w14:solidFill>
          </w14:textFill>
        </w:rPr>
        <w:t xml:space="preserve"> 城市道路和公用设施管理………………… 3</w:t>
      </w:r>
      <w:r>
        <w:rPr>
          <w:rFonts w:hint="eastAsia"/>
          <w:color w:val="000000" w:themeColor="text1"/>
          <w:szCs w:val="32"/>
          <w14:textFill>
            <w14:solidFill>
              <w14:schemeClr w14:val="tx1"/>
            </w14:solidFill>
          </w14:textFill>
        </w:rPr>
        <w:t>7</w:t>
      </w:r>
    </w:p>
    <w:p w14:paraId="7F5C8EDF">
      <w:pPr>
        <w:numPr>
          <w:ilvl w:val="0"/>
          <w:numId w:val="1"/>
        </w:numPr>
        <w:snapToGrid w:val="0"/>
        <w:spacing w:line="420" w:lineRule="auto"/>
        <w:rPr>
          <w:color w:val="000000" w:themeColor="text1"/>
          <w:szCs w:val="32"/>
          <w14:textFill>
            <w14:solidFill>
              <w14:schemeClr w14:val="tx1"/>
            </w14:solidFill>
          </w14:textFill>
        </w:rPr>
      </w:pPr>
      <w:r>
        <w:rPr>
          <w:color w:val="000000" w:themeColor="text1"/>
          <w:szCs w:val="32"/>
          <w14:textFill>
            <w14:solidFill>
              <w14:schemeClr w14:val="tx1"/>
            </w14:solidFill>
          </w14:textFill>
        </w:rPr>
        <w:t xml:space="preserve"> 临时建设工程管理………………………… </w:t>
      </w:r>
      <w:r>
        <w:rPr>
          <w:rFonts w:hint="eastAsia"/>
          <w:color w:val="000000" w:themeColor="text1"/>
          <w:szCs w:val="32"/>
          <w14:textFill>
            <w14:solidFill>
              <w14:schemeClr w14:val="tx1"/>
            </w14:solidFill>
          </w14:textFill>
        </w:rPr>
        <w:t>41</w:t>
      </w:r>
    </w:p>
    <w:p w14:paraId="1CE208DC">
      <w:pPr>
        <w:numPr>
          <w:ilvl w:val="0"/>
          <w:numId w:val="1"/>
        </w:numPr>
        <w:snapToGrid w:val="0"/>
        <w:spacing w:line="420" w:lineRule="auto"/>
        <w:rPr>
          <w:color w:val="000000" w:themeColor="text1"/>
          <w:szCs w:val="32"/>
          <w14:textFill>
            <w14:solidFill>
              <w14:schemeClr w14:val="tx1"/>
            </w14:solidFill>
          </w14:textFill>
        </w:rPr>
      </w:pPr>
      <w:r>
        <w:rPr>
          <w:color w:val="000000" w:themeColor="text1"/>
          <w:szCs w:val="32"/>
          <w14:textFill>
            <w14:solidFill>
              <w14:schemeClr w14:val="tx1"/>
            </w14:solidFill>
          </w14:textFill>
        </w:rPr>
        <w:t xml:space="preserve"> 建设工程竣工规划土地核实……………… </w:t>
      </w:r>
      <w:r>
        <w:rPr>
          <w:rFonts w:hint="eastAsia"/>
          <w:color w:val="000000" w:themeColor="text1"/>
          <w:szCs w:val="32"/>
          <w14:textFill>
            <w14:solidFill>
              <w14:schemeClr w14:val="tx1"/>
            </w14:solidFill>
          </w14:textFill>
        </w:rPr>
        <w:t>42</w:t>
      </w:r>
    </w:p>
    <w:p w14:paraId="267A9F8A">
      <w:pPr>
        <w:numPr>
          <w:ilvl w:val="0"/>
          <w:numId w:val="1"/>
        </w:numPr>
        <w:snapToGrid w:val="0"/>
        <w:spacing w:line="420" w:lineRule="auto"/>
        <w:rPr>
          <w:color w:val="000000" w:themeColor="text1"/>
          <w:szCs w:val="32"/>
          <w14:textFill>
            <w14:solidFill>
              <w14:schemeClr w14:val="tx1"/>
            </w14:solidFill>
          </w14:textFill>
        </w:rPr>
      </w:pPr>
      <w:r>
        <w:rPr>
          <w:color w:val="000000" w:themeColor="text1"/>
          <w:szCs w:val="32"/>
          <w14:textFill>
            <w14:solidFill>
              <w14:schemeClr w14:val="tx1"/>
            </w14:solidFill>
          </w14:textFill>
        </w:rPr>
        <w:t xml:space="preserve"> </w:t>
      </w:r>
      <w:r>
        <w:rPr>
          <w:rFonts w:hint="eastAsia"/>
          <w:color w:val="000000" w:themeColor="text1"/>
          <w:szCs w:val="32"/>
          <w14:textFill>
            <w14:solidFill>
              <w14:schemeClr w14:val="tx1"/>
            </w14:solidFill>
          </w14:textFill>
        </w:rPr>
        <w:t>乡村规划管理</w:t>
      </w:r>
      <w:r>
        <w:rPr>
          <w:color w:val="000000" w:themeColor="text1"/>
          <w:szCs w:val="32"/>
          <w14:textFill>
            <w14:solidFill>
              <w14:schemeClr w14:val="tx1"/>
            </w14:solidFill>
          </w14:textFill>
        </w:rPr>
        <w:t>………………………………</w:t>
      </w:r>
      <w:r>
        <w:rPr>
          <w:rFonts w:hint="eastAsia"/>
          <w:color w:val="000000" w:themeColor="text1"/>
          <w:szCs w:val="32"/>
          <w14:textFill>
            <w14:solidFill>
              <w14:schemeClr w14:val="tx1"/>
            </w14:solidFill>
          </w14:textFill>
        </w:rPr>
        <w:t>. 43</w:t>
      </w:r>
    </w:p>
    <w:p w14:paraId="49472CC7">
      <w:pPr>
        <w:numPr>
          <w:ilvl w:val="0"/>
          <w:numId w:val="1"/>
        </w:numPr>
        <w:snapToGrid w:val="0"/>
        <w:spacing w:line="420" w:lineRule="auto"/>
        <w:rPr>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 xml:space="preserve"> 附则</w:t>
      </w:r>
      <w:r>
        <w:rPr>
          <w:color w:val="000000" w:themeColor="text1"/>
          <w:szCs w:val="32"/>
          <w14:textFill>
            <w14:solidFill>
              <w14:schemeClr w14:val="tx1"/>
            </w14:solidFill>
          </w14:textFill>
        </w:rPr>
        <w:t>…………………………………………</w:t>
      </w:r>
      <w:r>
        <w:rPr>
          <w:rFonts w:hint="eastAsia"/>
          <w:color w:val="000000" w:themeColor="text1"/>
          <w:szCs w:val="32"/>
          <w14:textFill>
            <w14:solidFill>
              <w14:schemeClr w14:val="tx1"/>
            </w14:solidFill>
          </w14:textFill>
        </w:rPr>
        <w:t>. 44</w:t>
      </w:r>
    </w:p>
    <w:p w14:paraId="4A8D983F">
      <w:pPr>
        <w:snapToGrid w:val="0"/>
        <w:spacing w:line="420" w:lineRule="auto"/>
        <w:ind w:left="615"/>
        <w:rPr>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附录1    建设项目规划设计方案文本编制要求........ 45</w:t>
      </w:r>
    </w:p>
    <w:p w14:paraId="35168D71">
      <w:pPr>
        <w:snapToGrid w:val="0"/>
        <w:spacing w:line="420" w:lineRule="auto"/>
        <w:ind w:left="615"/>
        <w:rPr>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附录2    综合技术指标表</w:t>
      </w:r>
      <w:r>
        <w:rPr>
          <w:color w:val="000000" w:themeColor="text1"/>
          <w:szCs w:val="32"/>
          <w14:textFill>
            <w14:solidFill>
              <w14:schemeClr w14:val="tx1"/>
            </w14:solidFill>
          </w14:textFill>
        </w:rPr>
        <w:t>…………………</w:t>
      </w:r>
      <w:r>
        <w:rPr>
          <w:rFonts w:hint="eastAsia"/>
          <w:color w:val="000000" w:themeColor="text1"/>
          <w:szCs w:val="32"/>
          <w14:textFill>
            <w14:solidFill>
              <w14:schemeClr w14:val="tx1"/>
            </w14:solidFill>
          </w14:textFill>
        </w:rPr>
        <w:t>................. 47</w:t>
      </w:r>
    </w:p>
    <w:p w14:paraId="3D3CF8C0">
      <w:pPr>
        <w:snapToGrid w:val="0"/>
        <w:spacing w:line="420" w:lineRule="auto"/>
        <w:ind w:left="615"/>
        <w:rPr>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附录3    计算规则</w:t>
      </w:r>
      <w:r>
        <w:rPr>
          <w:color w:val="000000" w:themeColor="text1"/>
          <w:szCs w:val="32"/>
          <w14:textFill>
            <w14:solidFill>
              <w14:schemeClr w14:val="tx1"/>
            </w14:solidFill>
          </w14:textFill>
        </w:rPr>
        <w:t>…………………</w:t>
      </w:r>
      <w:r>
        <w:rPr>
          <w:rFonts w:hint="eastAsia"/>
          <w:color w:val="000000" w:themeColor="text1"/>
          <w:szCs w:val="32"/>
          <w14:textFill>
            <w14:solidFill>
              <w14:schemeClr w14:val="tx1"/>
            </w14:solidFill>
          </w14:textFill>
        </w:rPr>
        <w:t>............................. 49</w:t>
      </w:r>
    </w:p>
    <w:p w14:paraId="671FA947">
      <w:pPr>
        <w:snapToGrid w:val="0"/>
        <w:spacing w:line="420" w:lineRule="auto"/>
        <w:ind w:left="615"/>
        <w:rPr>
          <w:rFonts w:hint="eastAsia"/>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附录4    名词解释</w:t>
      </w:r>
      <w:r>
        <w:rPr>
          <w:color w:val="000000" w:themeColor="text1"/>
          <w:szCs w:val="32"/>
          <w14:textFill>
            <w14:solidFill>
              <w14:schemeClr w14:val="tx1"/>
            </w14:solidFill>
          </w14:textFill>
        </w:rPr>
        <w:t>…………………</w:t>
      </w:r>
      <w:r>
        <w:rPr>
          <w:rFonts w:hint="eastAsia"/>
          <w:color w:val="000000" w:themeColor="text1"/>
          <w:szCs w:val="32"/>
          <w14:textFill>
            <w14:solidFill>
              <w14:schemeClr w14:val="tx1"/>
            </w14:solidFill>
          </w14:textFill>
        </w:rPr>
        <w:t>............................. 54</w:t>
      </w:r>
    </w:p>
    <w:p w14:paraId="44ADE63B">
      <w:pPr>
        <w:snapToGrid w:val="0"/>
        <w:spacing w:line="420" w:lineRule="auto"/>
        <w:ind w:left="615"/>
        <w:rPr>
          <w:rFonts w:hint="eastAsia"/>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附录5    规划管理分区图</w:t>
      </w:r>
      <w:r>
        <w:rPr>
          <w:color w:val="000000" w:themeColor="text1"/>
          <w:szCs w:val="32"/>
          <w14:textFill>
            <w14:solidFill>
              <w14:schemeClr w14:val="tx1"/>
            </w14:solidFill>
          </w14:textFill>
        </w:rPr>
        <w:t>…………………</w:t>
      </w:r>
      <w:r>
        <w:rPr>
          <w:rFonts w:hint="eastAsia"/>
          <w:color w:val="000000" w:themeColor="text1"/>
          <w:szCs w:val="32"/>
          <w14:textFill>
            <w14:solidFill>
              <w14:schemeClr w14:val="tx1"/>
            </w14:solidFill>
          </w14:textFill>
        </w:rPr>
        <w:t>................. 60</w:t>
      </w:r>
    </w:p>
    <w:p w14:paraId="5E662C50">
      <w:pPr>
        <w:spacing w:line="600" w:lineRule="exact"/>
        <w:ind w:firstLine="615"/>
        <w:jc w:val="center"/>
        <w:rPr>
          <w:color w:val="000000" w:themeColor="text1"/>
          <w:szCs w:val="32"/>
          <w14:textFill>
            <w14:solidFill>
              <w14:schemeClr w14:val="tx1"/>
            </w14:solidFill>
          </w14:textFill>
        </w:rPr>
      </w:pPr>
      <w:r>
        <w:rPr>
          <w:color w:val="000000" w:themeColor="text1"/>
          <w:szCs w:val="32"/>
          <w14:textFill>
            <w14:solidFill>
              <w14:schemeClr w14:val="tx1"/>
            </w14:solidFill>
          </w14:textFill>
        </w:rPr>
        <w:t xml:space="preserve"> </w:t>
      </w:r>
    </w:p>
    <w:p w14:paraId="10BEF2D3">
      <w:pPr>
        <w:spacing w:line="580" w:lineRule="exact"/>
        <w:jc w:val="center"/>
        <w:rPr>
          <w:rFonts w:eastAsia="黑体"/>
          <w:color w:val="000000" w:themeColor="text1"/>
          <w:szCs w:val="32"/>
          <w14:textFill>
            <w14:solidFill>
              <w14:schemeClr w14:val="tx1"/>
            </w14:solidFill>
          </w14:textFill>
        </w:rPr>
        <w:sectPr>
          <w:footerReference r:id="rId9" w:type="first"/>
          <w:headerReference r:id="rId5" w:type="default"/>
          <w:footerReference r:id="rId7" w:type="default"/>
          <w:headerReference r:id="rId6" w:type="even"/>
          <w:footerReference r:id="rId8" w:type="even"/>
          <w:pgSz w:w="11906" w:h="16838"/>
          <w:pgMar w:top="2098" w:right="1474" w:bottom="1928" w:left="1587" w:header="851" w:footer="1701" w:gutter="0"/>
          <w:cols w:space="425" w:num="1"/>
          <w:docGrid w:type="lines" w:linePitch="435" w:charSpace="0"/>
        </w:sectPr>
      </w:pPr>
    </w:p>
    <w:p w14:paraId="08764280">
      <w:pPr>
        <w:spacing w:line="580" w:lineRule="exact"/>
        <w:jc w:val="center"/>
        <w:rPr>
          <w:rFonts w:eastAsia="黑体"/>
          <w:color w:val="000000" w:themeColor="text1"/>
          <w:szCs w:val="32"/>
          <w14:textFill>
            <w14:solidFill>
              <w14:schemeClr w14:val="tx1"/>
            </w14:solidFill>
          </w14:textFill>
        </w:rPr>
      </w:pPr>
      <w:r>
        <w:rPr>
          <w:rFonts w:eastAsia="黑体"/>
          <w:color w:val="000000" w:themeColor="text1"/>
          <w:szCs w:val="32"/>
          <w14:textFill>
            <w14:solidFill>
              <w14:schemeClr w14:val="tx1"/>
            </w14:solidFill>
          </w14:textFill>
        </w:rPr>
        <w:t>第一章   总   则</w:t>
      </w:r>
    </w:p>
    <w:p w14:paraId="3BE1E4AB">
      <w:pPr>
        <w:spacing w:line="580" w:lineRule="exact"/>
        <w:jc w:val="center"/>
        <w:rPr>
          <w:color w:val="000000" w:themeColor="text1"/>
          <w:szCs w:val="28"/>
          <w14:textFill>
            <w14:solidFill>
              <w14:schemeClr w14:val="tx1"/>
            </w14:solidFill>
          </w14:textFill>
        </w:rPr>
      </w:pPr>
    </w:p>
    <w:p w14:paraId="640E487D">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第一条</w:t>
      </w:r>
      <w:r>
        <w:rPr>
          <w:color w:val="000000" w:themeColor="text1"/>
          <w:szCs w:val="32"/>
          <w14:textFill>
            <w14:solidFill>
              <w14:schemeClr w14:val="tx1"/>
            </w14:solidFill>
          </w14:textFill>
        </w:rPr>
        <w:t xml:space="preserve">  为加强城</w:t>
      </w:r>
      <w:r>
        <w:rPr>
          <w:rFonts w:hint="eastAsia"/>
          <w:color w:val="000000" w:themeColor="text1"/>
          <w:szCs w:val="32"/>
          <w14:textFill>
            <w14:solidFill>
              <w14:schemeClr w14:val="tx1"/>
            </w14:solidFill>
          </w14:textFill>
        </w:rPr>
        <w:t>乡</w:t>
      </w:r>
      <w:r>
        <w:rPr>
          <w:color w:val="000000" w:themeColor="text1"/>
          <w:szCs w:val="32"/>
          <w14:textFill>
            <w14:solidFill>
              <w14:schemeClr w14:val="tx1"/>
            </w14:solidFill>
          </w14:textFill>
        </w:rPr>
        <w:t>规划管理工作，确保城</w:t>
      </w:r>
      <w:r>
        <w:rPr>
          <w:rFonts w:hint="eastAsia"/>
          <w:color w:val="000000" w:themeColor="text1"/>
          <w:szCs w:val="32"/>
          <w14:textFill>
            <w14:solidFill>
              <w14:schemeClr w14:val="tx1"/>
            </w14:solidFill>
          </w14:textFill>
        </w:rPr>
        <w:t>乡</w:t>
      </w:r>
      <w:r>
        <w:rPr>
          <w:color w:val="000000" w:themeColor="text1"/>
          <w:szCs w:val="32"/>
          <w14:textFill>
            <w14:solidFill>
              <w14:schemeClr w14:val="tx1"/>
            </w14:solidFill>
          </w14:textFill>
        </w:rPr>
        <w:t>规划有效实施，根据《中华人民共和国城乡规划法》《四川省城乡规划条例》《眉山市城乡规划条例》等法律、法规</w:t>
      </w:r>
      <w:r>
        <w:rPr>
          <w:rFonts w:hint="eastAsia"/>
          <w:color w:val="000000" w:themeColor="text1"/>
          <w:szCs w:val="32"/>
          <w14:textFill>
            <w14:solidFill>
              <w14:schemeClr w14:val="tx1"/>
            </w14:solidFill>
          </w14:textFill>
        </w:rPr>
        <w:t>和《四川省城镇详细规划编制指南（试行）》要求，参照《眉山市城市规划管理技术规定（2024年版）》及相关技术规范和技术标准</w:t>
      </w:r>
      <w:r>
        <w:rPr>
          <w:color w:val="000000" w:themeColor="text1"/>
          <w:szCs w:val="32"/>
          <w14:textFill>
            <w14:solidFill>
              <w14:schemeClr w14:val="tx1"/>
            </w14:solidFill>
          </w14:textFill>
        </w:rPr>
        <w:t>，结合</w:t>
      </w:r>
      <w:r>
        <w:rPr>
          <w:rFonts w:hint="eastAsia"/>
          <w:color w:val="000000" w:themeColor="text1"/>
          <w:szCs w:val="32"/>
          <w14:textFill>
            <w14:solidFill>
              <w14:schemeClr w14:val="tx1"/>
            </w14:solidFill>
          </w14:textFill>
        </w:rPr>
        <w:t>丹棱县</w:t>
      </w:r>
      <w:r>
        <w:rPr>
          <w:color w:val="000000" w:themeColor="text1"/>
          <w:szCs w:val="32"/>
          <w14:textFill>
            <w14:solidFill>
              <w14:schemeClr w14:val="tx1"/>
            </w14:solidFill>
          </w14:textFill>
        </w:rPr>
        <w:t>规划管理工作实际，制定本规定。</w:t>
      </w:r>
    </w:p>
    <w:p w14:paraId="12FFD17C">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 xml:space="preserve">第二条 </w:t>
      </w:r>
      <w:r>
        <w:rPr>
          <w:color w:val="000000" w:themeColor="text1"/>
          <w:szCs w:val="32"/>
          <w14:textFill>
            <w14:solidFill>
              <w14:schemeClr w14:val="tx1"/>
            </w14:solidFill>
          </w14:textFill>
        </w:rPr>
        <w:t xml:space="preserve"> 本规定适用于</w:t>
      </w:r>
      <w:r>
        <w:rPr>
          <w:rFonts w:hint="eastAsia"/>
          <w:color w:val="000000" w:themeColor="text1"/>
          <w:szCs w:val="32"/>
          <w14:textFill>
            <w14:solidFill>
              <w14:schemeClr w14:val="tx1"/>
            </w14:solidFill>
          </w14:textFill>
        </w:rPr>
        <w:t>丹棱县全域</w:t>
      </w:r>
      <w:r>
        <w:rPr>
          <w:color w:val="000000" w:themeColor="text1"/>
          <w:szCs w:val="32"/>
          <w14:textFill>
            <w14:solidFill>
              <w14:schemeClr w14:val="tx1"/>
            </w14:solidFill>
          </w14:textFill>
        </w:rPr>
        <w:t>范围内</w:t>
      </w:r>
      <w:r>
        <w:rPr>
          <w:rFonts w:hint="eastAsia"/>
          <w:color w:val="000000" w:themeColor="text1"/>
          <w:szCs w:val="32"/>
          <w14:textFill>
            <w14:solidFill>
              <w14:schemeClr w14:val="tx1"/>
            </w14:solidFill>
          </w14:textFill>
        </w:rPr>
        <w:t>城市和乡村</w:t>
      </w:r>
      <w:r>
        <w:rPr>
          <w:color w:val="000000" w:themeColor="text1"/>
          <w:szCs w:val="32"/>
          <w14:textFill>
            <w14:solidFill>
              <w14:schemeClr w14:val="tx1"/>
            </w14:solidFill>
          </w14:textFill>
        </w:rPr>
        <w:t>的规划管理工作。</w:t>
      </w:r>
    </w:p>
    <w:p w14:paraId="7B142F00">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第三条</w:t>
      </w:r>
      <w:r>
        <w:rPr>
          <w:color w:val="000000" w:themeColor="text1"/>
          <w:szCs w:val="32"/>
          <w14:textFill>
            <w14:solidFill>
              <w14:schemeClr w14:val="tx1"/>
            </w14:solidFill>
          </w14:textFill>
        </w:rPr>
        <w:t xml:space="preserve">  本规定与国土空间详细规划所确定的规划控制指标及要求不一致时，按国土空间详细规划执行。城市建设和规划管理应以城市设计和导则为重要手段，提升城市品质，强化精细化管理</w:t>
      </w:r>
      <w:r>
        <w:rPr>
          <w:rFonts w:hint="eastAsia"/>
          <w:color w:val="000000" w:themeColor="text1"/>
          <w:szCs w:val="32"/>
          <w14:textFill>
            <w14:solidFill>
              <w14:schemeClr w14:val="tx1"/>
            </w14:solidFill>
          </w14:textFill>
        </w:rPr>
        <w:t>。乡村建设和规划管理应以乡村规划及其通则式管理为依据，助推乡村全面振兴</w:t>
      </w:r>
      <w:r>
        <w:rPr>
          <w:color w:val="000000" w:themeColor="text1"/>
          <w:szCs w:val="32"/>
          <w14:textFill>
            <w14:solidFill>
              <w14:schemeClr w14:val="tx1"/>
            </w14:solidFill>
          </w14:textFill>
        </w:rPr>
        <w:t>。</w:t>
      </w:r>
    </w:p>
    <w:p w14:paraId="505C129A">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第四条</w:t>
      </w:r>
      <w:r>
        <w:rPr>
          <w:color w:val="000000" w:themeColor="text1"/>
          <w:szCs w:val="32"/>
          <w14:textFill>
            <w14:solidFill>
              <w14:schemeClr w14:val="tx1"/>
            </w14:solidFill>
          </w14:textFill>
        </w:rPr>
        <w:t xml:space="preserve">  历史文化保护区、风景名胜区范围内的规划管理，应当按照已批准的规划执行，其周边的建筑样式和高度必须与历史文化保护区、风景名胜区相协调</w:t>
      </w:r>
      <w:r>
        <w:rPr>
          <w:color w:val="000000" w:themeColor="text1"/>
          <w:spacing w:val="-8"/>
          <w:szCs w:val="32"/>
          <w14:textFill>
            <w14:solidFill>
              <w14:schemeClr w14:val="tx1"/>
            </w14:solidFill>
          </w14:textFill>
        </w:rPr>
        <w:t>。</w:t>
      </w:r>
    </w:p>
    <w:p w14:paraId="774284AB">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第五条</w:t>
      </w:r>
      <w:r>
        <w:rPr>
          <w:color w:val="000000" w:themeColor="text1"/>
          <w:szCs w:val="32"/>
          <w14:textFill>
            <w14:solidFill>
              <w14:schemeClr w14:val="tx1"/>
            </w14:solidFill>
          </w14:textFill>
        </w:rPr>
        <w:t xml:space="preserve">  </w:t>
      </w:r>
      <w:r>
        <w:rPr>
          <w:rFonts w:hint="eastAsia"/>
          <w:color w:val="000000" w:themeColor="text1"/>
          <w:spacing w:val="-8"/>
          <w:szCs w:val="32"/>
          <w14:textFill>
            <w14:solidFill>
              <w14:schemeClr w14:val="tx1"/>
            </w14:solidFill>
          </w14:textFill>
        </w:rPr>
        <w:t>丹棱县</w:t>
      </w:r>
      <w:r>
        <w:rPr>
          <w:color w:val="000000" w:themeColor="text1"/>
          <w:spacing w:val="-8"/>
          <w:szCs w:val="32"/>
          <w14:textFill>
            <w14:solidFill>
              <w14:schemeClr w14:val="tx1"/>
            </w14:solidFill>
          </w14:textFill>
        </w:rPr>
        <w:t>按规划区位、交通条件、绿化环境和市政基础设施</w:t>
      </w:r>
      <w:r>
        <w:rPr>
          <w:rFonts w:hint="eastAsia"/>
          <w:color w:val="000000" w:themeColor="text1"/>
          <w:spacing w:val="-8"/>
          <w:szCs w:val="32"/>
          <w14:textFill>
            <w14:solidFill>
              <w14:schemeClr w14:val="tx1"/>
            </w14:solidFill>
          </w14:textFill>
        </w:rPr>
        <w:t>、产业发展</w:t>
      </w:r>
      <w:r>
        <w:rPr>
          <w:color w:val="000000" w:themeColor="text1"/>
          <w:spacing w:val="-8"/>
          <w:szCs w:val="32"/>
          <w14:textFill>
            <w14:solidFill>
              <w14:schemeClr w14:val="tx1"/>
            </w14:solidFill>
          </w14:textFill>
        </w:rPr>
        <w:t>等综</w:t>
      </w:r>
      <w:r>
        <w:rPr>
          <w:color w:val="000000" w:themeColor="text1"/>
          <w:szCs w:val="32"/>
          <w14:textFill>
            <w14:solidFill>
              <w14:schemeClr w14:val="tx1"/>
            </w14:solidFill>
          </w14:textFill>
        </w:rPr>
        <w:t>合承载能力，将居住、公共管理和公共服务、商业服务设施、工</w:t>
      </w:r>
      <w:r>
        <w:rPr>
          <w:rFonts w:hint="eastAsia"/>
          <w:color w:val="000000" w:themeColor="text1"/>
          <w:szCs w:val="32"/>
          <w14:textFill>
            <w14:solidFill>
              <w14:schemeClr w14:val="tx1"/>
            </w14:solidFill>
          </w14:textFill>
        </w:rPr>
        <w:t>矿、文旅</w:t>
      </w:r>
      <w:r>
        <w:rPr>
          <w:color w:val="000000" w:themeColor="text1"/>
          <w:szCs w:val="32"/>
          <w14:textFill>
            <w14:solidFill>
              <w14:schemeClr w14:val="tx1"/>
            </w14:solidFill>
          </w14:textFill>
        </w:rPr>
        <w:t>等建设用地划分为</w:t>
      </w:r>
      <w:r>
        <w:rPr>
          <w:rFonts w:hint="eastAsia"/>
          <w:color w:val="000000" w:themeColor="text1"/>
          <w:szCs w:val="32"/>
          <w14:textFill>
            <w14:solidFill>
              <w14:schemeClr w14:val="tx1"/>
            </w14:solidFill>
          </w14:textFill>
        </w:rPr>
        <w:t>四</w:t>
      </w:r>
      <w:r>
        <w:rPr>
          <w:color w:val="000000" w:themeColor="text1"/>
          <w:szCs w:val="32"/>
          <w14:textFill>
            <w14:solidFill>
              <w14:schemeClr w14:val="tx1"/>
            </w14:solidFill>
          </w14:textFill>
        </w:rPr>
        <w:t>个分区（详见附录5）。</w:t>
      </w:r>
    </w:p>
    <w:p w14:paraId="4DE89572">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一分区：</w:t>
      </w:r>
      <w:r>
        <w:rPr>
          <w:rFonts w:hint="eastAsia"/>
          <w:color w:val="000000" w:themeColor="text1"/>
          <w:szCs w:val="32"/>
          <w14:textFill>
            <w14:solidFill>
              <w14:schemeClr w14:val="tx1"/>
            </w14:solidFill>
          </w14:textFill>
        </w:rPr>
        <w:t>中心城区（不包括经开A、B区）</w:t>
      </w:r>
      <w:r>
        <w:rPr>
          <w:color w:val="000000" w:themeColor="text1"/>
          <w:szCs w:val="32"/>
          <w14:textFill>
            <w14:solidFill>
              <w14:schemeClr w14:val="tx1"/>
            </w14:solidFill>
          </w14:textFill>
        </w:rPr>
        <w:t>。</w:t>
      </w:r>
    </w:p>
    <w:p w14:paraId="6EBA2408">
      <w:pPr>
        <w:spacing w:line="580" w:lineRule="exact"/>
        <w:ind w:firstLine="640" w:firstLineChars="200"/>
        <w:rPr>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二分区：丹棱经开区（包括经开A、B、C区）</w:t>
      </w:r>
    </w:p>
    <w:p w14:paraId="76053D24">
      <w:pPr>
        <w:spacing w:line="580" w:lineRule="exact"/>
        <w:ind w:firstLine="640" w:firstLineChars="200"/>
        <w:rPr>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三分区：仁美镇、张场镇、杨场镇、顺龙乡城镇范围，原乡镇合并前双桥镇、何场乡、石桥乡城镇所在地开发边界内范围。</w:t>
      </w:r>
    </w:p>
    <w:p w14:paraId="42078032">
      <w:pPr>
        <w:spacing w:line="580" w:lineRule="exact"/>
        <w:ind w:firstLine="640" w:firstLineChars="200"/>
        <w:rPr>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四</w:t>
      </w:r>
      <w:r>
        <w:rPr>
          <w:color w:val="000000" w:themeColor="text1"/>
          <w:szCs w:val="32"/>
          <w14:textFill>
            <w14:solidFill>
              <w14:schemeClr w14:val="tx1"/>
            </w14:solidFill>
          </w14:textFill>
        </w:rPr>
        <w:t>分区：</w:t>
      </w:r>
      <w:r>
        <w:rPr>
          <w:rFonts w:hint="eastAsia"/>
          <w:color w:val="000000" w:themeColor="text1"/>
          <w:szCs w:val="32"/>
          <w14:textFill>
            <w14:solidFill>
              <w14:schemeClr w14:val="tx1"/>
            </w14:solidFill>
          </w14:textFill>
        </w:rPr>
        <w:t>一、二、三分区以外乡村地区</w:t>
      </w:r>
      <w:r>
        <w:rPr>
          <w:color w:val="000000" w:themeColor="text1"/>
          <w:szCs w:val="32"/>
          <w14:textFill>
            <w14:solidFill>
              <w14:schemeClr w14:val="tx1"/>
            </w14:solidFill>
          </w14:textFill>
        </w:rPr>
        <w:t>。</w:t>
      </w:r>
    </w:p>
    <w:p w14:paraId="34CDCA38">
      <w:pPr>
        <w:spacing w:line="580" w:lineRule="exact"/>
        <w:ind w:firstLine="608" w:firstLineChars="200"/>
        <w:rPr>
          <w:color w:val="000000" w:themeColor="text1"/>
          <w:spacing w:val="-8"/>
          <w:szCs w:val="32"/>
          <w14:textFill>
            <w14:solidFill>
              <w14:schemeClr w14:val="tx1"/>
            </w14:solidFill>
          </w14:textFill>
        </w:rPr>
      </w:pPr>
      <w:r>
        <w:rPr>
          <w:color w:val="000000" w:themeColor="text1"/>
          <w:spacing w:val="-8"/>
          <w:szCs w:val="32"/>
          <w14:textFill>
            <w14:solidFill>
              <w14:schemeClr w14:val="tx1"/>
            </w14:solidFill>
          </w14:textFill>
        </w:rPr>
        <w:t>本规定所制定指标以</w:t>
      </w:r>
      <w:r>
        <w:rPr>
          <w:rFonts w:hint="eastAsia"/>
          <w:color w:val="000000" w:themeColor="text1"/>
          <w:spacing w:val="-8"/>
          <w:szCs w:val="32"/>
          <w14:textFill>
            <w14:solidFill>
              <w14:schemeClr w14:val="tx1"/>
            </w14:solidFill>
          </w14:textFill>
        </w:rPr>
        <w:t>一</w:t>
      </w:r>
      <w:r>
        <w:rPr>
          <w:color w:val="000000" w:themeColor="text1"/>
          <w:spacing w:val="-8"/>
          <w:szCs w:val="32"/>
          <w14:textFill>
            <w14:solidFill>
              <w14:schemeClr w14:val="tx1"/>
            </w14:solidFill>
          </w14:textFill>
        </w:rPr>
        <w:t>分区用地为指标计算基准。</w:t>
      </w:r>
    </w:p>
    <w:p w14:paraId="55D387D4">
      <w:pPr>
        <w:spacing w:line="580" w:lineRule="exact"/>
        <w:ind w:firstLine="640" w:firstLineChars="200"/>
        <w:rPr>
          <w:color w:val="000000" w:themeColor="text1"/>
          <w:spacing w:val="-8"/>
          <w:szCs w:val="32"/>
          <w14:textFill>
            <w14:solidFill>
              <w14:schemeClr w14:val="tx1"/>
            </w14:solidFill>
          </w14:textFill>
        </w:rPr>
      </w:pPr>
      <w:r>
        <w:rPr>
          <w:rFonts w:eastAsia="楷体_GB2312"/>
          <w:color w:val="000000" w:themeColor="text1"/>
          <w:szCs w:val="32"/>
          <w14:textFill>
            <w14:solidFill>
              <w14:schemeClr w14:val="tx1"/>
            </w14:solidFill>
          </w14:textFill>
        </w:rPr>
        <w:t>第六条</w:t>
      </w:r>
      <w:r>
        <w:rPr>
          <w:rFonts w:eastAsia="黑体"/>
          <w:color w:val="000000" w:themeColor="text1"/>
          <w:szCs w:val="32"/>
          <w14:textFill>
            <w14:solidFill>
              <w14:schemeClr w14:val="tx1"/>
            </w14:solidFill>
          </w14:textFill>
        </w:rPr>
        <w:t xml:space="preserve">  </w:t>
      </w:r>
      <w:r>
        <w:rPr>
          <w:color w:val="000000" w:themeColor="text1"/>
          <w:szCs w:val="32"/>
          <w14:textFill>
            <w14:solidFill>
              <w14:schemeClr w14:val="tx1"/>
            </w14:solidFill>
          </w14:textFill>
        </w:rPr>
        <w:t>社会公益事业改、扩建项目，在项目方案合理性前提下，经批准可适当调整控制指标。</w:t>
      </w:r>
    </w:p>
    <w:p w14:paraId="2F0EC6C7">
      <w:pPr>
        <w:spacing w:line="580" w:lineRule="exact"/>
        <w:ind w:firstLine="640" w:firstLineChars="200"/>
        <w:rPr>
          <w:rFonts w:eastAsia="楷体_GB2312"/>
          <w:color w:val="000000" w:themeColor="text1"/>
          <w:szCs w:val="32"/>
          <w14:textFill>
            <w14:solidFill>
              <w14:schemeClr w14:val="tx1"/>
            </w14:solidFill>
          </w14:textFill>
        </w:rPr>
      </w:pPr>
      <w:r>
        <w:rPr>
          <w:rFonts w:hint="eastAsia" w:eastAsia="楷体_GB2312"/>
          <w:color w:val="000000" w:themeColor="text1"/>
          <w:szCs w:val="32"/>
          <w14:textFill>
            <w14:solidFill>
              <w14:schemeClr w14:val="tx1"/>
            </w14:solidFill>
          </w14:textFill>
        </w:rPr>
        <w:t xml:space="preserve">第七条  </w:t>
      </w:r>
      <w:r>
        <w:rPr>
          <w:rFonts w:hint="eastAsia"/>
          <w:color w:val="000000" w:themeColor="text1"/>
          <w:szCs w:val="32"/>
          <w14:textFill>
            <w14:solidFill>
              <w14:schemeClr w14:val="tx1"/>
            </w14:solidFill>
          </w14:textFill>
        </w:rPr>
        <w:t>第三至十三章适用于一、二、三分区城市和城镇规划管理，第十四章适用于四分区乡村规划管理。</w:t>
      </w:r>
    </w:p>
    <w:p w14:paraId="64EC964F">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八</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本规定未包括的内容，按有关法律法规和技术规范执行。</w:t>
      </w:r>
    </w:p>
    <w:p w14:paraId="634F429E">
      <w:pPr>
        <w:widowControl/>
        <w:jc w:val="left"/>
        <w:rPr>
          <w:rFonts w:eastAsia="黑体"/>
          <w:color w:val="000000" w:themeColor="text1"/>
          <w:szCs w:val="32"/>
          <w:u w:val="single"/>
          <w14:textFill>
            <w14:solidFill>
              <w14:schemeClr w14:val="tx1"/>
            </w14:solidFill>
          </w14:textFill>
        </w:rPr>
      </w:pPr>
      <w:r>
        <w:rPr>
          <w:rFonts w:eastAsia="黑体"/>
          <w:color w:val="000000" w:themeColor="text1"/>
          <w:szCs w:val="32"/>
          <w:u w:val="single"/>
          <w14:textFill>
            <w14:solidFill>
              <w14:schemeClr w14:val="tx1"/>
            </w14:solidFill>
          </w14:textFill>
        </w:rPr>
        <w:br w:type="page"/>
      </w:r>
    </w:p>
    <w:p w14:paraId="72BB9324">
      <w:pPr>
        <w:spacing w:line="580" w:lineRule="exact"/>
        <w:jc w:val="center"/>
        <w:rPr>
          <w:rFonts w:eastAsia="黑体"/>
          <w:color w:val="000000" w:themeColor="text1"/>
          <w:szCs w:val="32"/>
          <w14:textFill>
            <w14:solidFill>
              <w14:schemeClr w14:val="tx1"/>
            </w14:solidFill>
          </w14:textFill>
        </w:rPr>
      </w:pPr>
      <w:r>
        <w:rPr>
          <w:rFonts w:eastAsia="黑体"/>
          <w:color w:val="000000" w:themeColor="text1"/>
          <w:szCs w:val="32"/>
          <w14:textFill>
            <w14:solidFill>
              <w14:schemeClr w14:val="tx1"/>
            </w14:solidFill>
          </w14:textFill>
        </w:rPr>
        <w:t>第二章   建设用地规划管理</w:t>
      </w:r>
    </w:p>
    <w:p w14:paraId="2108D3ED">
      <w:pPr>
        <w:spacing w:line="580" w:lineRule="exact"/>
        <w:ind w:firstLine="640" w:firstLineChars="200"/>
        <w:rPr>
          <w:rFonts w:eastAsia="楷体_GB2312"/>
          <w:color w:val="000000" w:themeColor="text1"/>
          <w:szCs w:val="32"/>
          <w14:textFill>
            <w14:solidFill>
              <w14:schemeClr w14:val="tx1"/>
            </w14:solidFill>
          </w14:textFill>
        </w:rPr>
      </w:pPr>
    </w:p>
    <w:p w14:paraId="6AB6EAB6">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九</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在城</w:t>
      </w:r>
      <w:r>
        <w:rPr>
          <w:rFonts w:hint="eastAsia"/>
          <w:color w:val="000000" w:themeColor="text1"/>
          <w:szCs w:val="32"/>
          <w14:textFill>
            <w14:solidFill>
              <w14:schemeClr w14:val="tx1"/>
            </w14:solidFill>
          </w14:textFill>
        </w:rPr>
        <w:t>乡</w:t>
      </w:r>
      <w:r>
        <w:rPr>
          <w:color w:val="000000" w:themeColor="text1"/>
          <w:szCs w:val="32"/>
          <w14:textFill>
            <w14:solidFill>
              <w14:schemeClr w14:val="tx1"/>
            </w14:solidFill>
          </w14:textFill>
        </w:rPr>
        <w:t>建设用地规划管理中，对用地主导性质的确定依据已批准的国土空间详细规划。</w:t>
      </w:r>
    </w:p>
    <w:p w14:paraId="06572A21">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十</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建设用地性质应根据《国土空间调查、规划、用途管制用地用海分类指南》</w:t>
      </w:r>
      <w:r>
        <w:rPr>
          <w:rFonts w:hint="eastAsia"/>
          <w:color w:val="000000" w:themeColor="text1"/>
          <w:szCs w:val="32"/>
          <w14:textFill>
            <w14:solidFill>
              <w14:schemeClr w14:val="tx1"/>
            </w14:solidFill>
          </w14:textFill>
        </w:rPr>
        <w:t>（自然资发</w:t>
      </w:r>
      <w:r>
        <w:rPr>
          <w:color w:val="000000" w:themeColor="text1"/>
          <w:spacing w:val="-6"/>
          <w:szCs w:val="32"/>
          <w14:textFill>
            <w14:solidFill>
              <w14:schemeClr w14:val="tx1"/>
            </w14:solidFill>
          </w14:textFill>
        </w:rPr>
        <w:t>〔202</w:t>
      </w:r>
      <w:r>
        <w:rPr>
          <w:rFonts w:hint="eastAsia"/>
          <w:color w:val="000000" w:themeColor="text1"/>
          <w:spacing w:val="-6"/>
          <w:szCs w:val="32"/>
          <w14:textFill>
            <w14:solidFill>
              <w14:schemeClr w14:val="tx1"/>
            </w14:solidFill>
          </w14:textFill>
        </w:rPr>
        <w:t>3</w:t>
      </w:r>
      <w:r>
        <w:rPr>
          <w:color w:val="000000" w:themeColor="text1"/>
          <w:spacing w:val="-6"/>
          <w:szCs w:val="32"/>
          <w14:textFill>
            <w14:solidFill>
              <w14:schemeClr w14:val="tx1"/>
            </w14:solidFill>
          </w14:textFill>
        </w:rPr>
        <w:t>〕</w:t>
      </w:r>
      <w:r>
        <w:rPr>
          <w:rFonts w:hint="eastAsia"/>
          <w:color w:val="000000" w:themeColor="text1"/>
          <w:spacing w:val="-6"/>
          <w:szCs w:val="32"/>
          <w14:textFill>
            <w14:solidFill>
              <w14:schemeClr w14:val="tx1"/>
            </w14:solidFill>
          </w14:textFill>
        </w:rPr>
        <w:t>234号</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，按主要用途和功能进行分类管理。建设用地的划分、使用应遵循兼容性原则，国土空间详细规划已明确兼容性内容的，按国土空间详细规划执行；国土空间详细规划未明确兼容性内容的，根据表2</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1的规定确定兼容范围。</w:t>
      </w:r>
    </w:p>
    <w:p w14:paraId="58F7D794">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确需改变规划的用地性质，应当按规划调整的有关规定程序和权限批准后执行。</w:t>
      </w:r>
    </w:p>
    <w:p w14:paraId="37162D52">
      <w:pPr>
        <w:spacing w:line="580" w:lineRule="exact"/>
        <w:ind w:firstLine="640" w:firstLineChars="200"/>
        <w:rPr>
          <w:color w:val="000000" w:themeColor="text1"/>
          <w:szCs w:val="32"/>
          <w14:textFill>
            <w14:solidFill>
              <w14:schemeClr w14:val="tx1"/>
            </w14:solidFill>
          </w14:textFill>
        </w:rPr>
        <w:sectPr>
          <w:footerReference r:id="rId10" w:type="first"/>
          <w:pgSz w:w="11906" w:h="16838"/>
          <w:pgMar w:top="2098" w:right="1474" w:bottom="1928" w:left="1587" w:header="851" w:footer="1701" w:gutter="0"/>
          <w:cols w:space="425" w:num="1"/>
          <w:docGrid w:type="lines" w:linePitch="312" w:charSpace="0"/>
        </w:sectPr>
      </w:pPr>
      <w:r>
        <w:rPr>
          <w:rFonts w:eastAsia="楷体_GB2312"/>
          <w:color w:val="000000" w:themeColor="text1"/>
          <w:szCs w:val="32"/>
          <w14:textFill>
            <w14:solidFill>
              <w14:schemeClr w14:val="tx1"/>
            </w14:solidFill>
          </w14:textFill>
        </w:rPr>
        <w:t>第十</w:t>
      </w:r>
      <w:r>
        <w:rPr>
          <w:rFonts w:hint="eastAsia" w:eastAsia="楷体_GB2312"/>
          <w:color w:val="000000" w:themeColor="text1"/>
          <w:szCs w:val="32"/>
          <w14:textFill>
            <w14:solidFill>
              <w14:schemeClr w14:val="tx1"/>
            </w14:solidFill>
          </w14:textFill>
        </w:rPr>
        <w:t>一</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建设用地范围内存在多种规划用地性质，且规划要求单独占地的，按国土空间详细规划将土地使用性质分类划定，并在《建设用地规划许可证》中明确各类用地位置和面积；不需要单独占地的，应在规划条件中明确规模。</w:t>
      </w:r>
    </w:p>
    <w:p w14:paraId="57EFB3DC">
      <w:pPr>
        <w:pStyle w:val="8"/>
        <w:snapToGrid w:val="0"/>
        <w:spacing w:after="0" w:line="264" w:lineRule="auto"/>
        <w:ind w:left="0" w:leftChars="0"/>
        <w:jc w:val="center"/>
        <w:rPr>
          <w:rFonts w:eastAsia="黑体"/>
          <w:color w:val="000000" w:themeColor="text1"/>
          <w:sz w:val="18"/>
          <w:szCs w:val="18"/>
          <w14:textFill>
            <w14:solidFill>
              <w14:schemeClr w14:val="tx1"/>
            </w14:solidFill>
          </w14:textFill>
        </w:rPr>
      </w:pPr>
      <w:r>
        <w:rPr>
          <w:rFonts w:eastAsia="黑体"/>
          <w:color w:val="000000" w:themeColor="text1"/>
          <w:sz w:val="32"/>
          <w:szCs w:val="32"/>
          <w14:textFill>
            <w14:solidFill>
              <w14:schemeClr w14:val="tx1"/>
            </w14:solidFill>
          </w14:textFill>
        </w:rPr>
        <w:drawing>
          <wp:inline distT="0" distB="0" distL="0" distR="0">
            <wp:extent cx="6913880" cy="4512945"/>
            <wp:effectExtent l="0" t="0" r="1270" b="1905"/>
            <wp:docPr id="6" name="图片 6" descr="/home/uos/Desktop/4ebdb26984f552209caf42f24519a6d.jpg4ebdb26984f552209caf42f24519a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home/uos/Desktop/4ebdb26984f552209caf42f24519a6d.jpg4ebdb26984f552209caf42f24519a6d"/>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975114" cy="4552631"/>
                    </a:xfrm>
                    <a:prstGeom prst="rect">
                      <a:avLst/>
                    </a:prstGeom>
                  </pic:spPr>
                </pic:pic>
              </a:graphicData>
            </a:graphic>
          </wp:inline>
        </w:drawing>
      </w:r>
    </w:p>
    <w:p w14:paraId="1D7BF17C">
      <w:pPr>
        <w:snapToGrid w:val="0"/>
        <w:spacing w:line="264" w:lineRule="auto"/>
        <w:ind w:left="360" w:hanging="360" w:hangingChars="200"/>
        <w:rPr>
          <w:rFonts w:eastAsia="楷体_GB2312"/>
          <w:color w:val="000000" w:themeColor="text1"/>
          <w:sz w:val="18"/>
          <w:szCs w:val="18"/>
          <w14:textFill>
            <w14:solidFill>
              <w14:schemeClr w14:val="tx1"/>
            </w14:solidFill>
          </w14:textFill>
        </w:rPr>
      </w:pPr>
      <w:r>
        <w:rPr>
          <w:rFonts w:eastAsia="黑体"/>
          <w:color w:val="000000" w:themeColor="text1"/>
          <w:sz w:val="18"/>
          <w:szCs w:val="18"/>
          <w14:textFill>
            <w14:solidFill>
              <w14:schemeClr w14:val="tx1"/>
            </w14:solidFill>
          </w14:textFill>
        </w:rPr>
        <w:t>注：</w:t>
      </w:r>
      <w:r>
        <w:rPr>
          <w:rFonts w:eastAsia="楷体_GB2312"/>
          <w:color w:val="000000" w:themeColor="text1"/>
          <w:sz w:val="18"/>
          <w:szCs w:val="18"/>
          <w14:textFill>
            <w14:solidFill>
              <w14:schemeClr w14:val="tx1"/>
            </w14:solidFill>
          </w14:textFill>
        </w:rPr>
        <w:t>①×禁止兼容；▲兼容比例不超过20%；△兼容比例不超过3</w:t>
      </w:r>
      <w:r>
        <w:rPr>
          <w:rFonts w:hint="eastAsia" w:eastAsia="楷体_GB2312"/>
          <w:color w:val="000000" w:themeColor="text1"/>
          <w:sz w:val="18"/>
          <w:szCs w:val="18"/>
          <w14:textFill>
            <w14:solidFill>
              <w14:schemeClr w14:val="tx1"/>
            </w14:solidFill>
          </w14:textFill>
        </w:rPr>
        <w:t>5</w:t>
      </w:r>
      <w:r>
        <w:rPr>
          <w:rFonts w:eastAsia="楷体_GB2312"/>
          <w:color w:val="000000" w:themeColor="text1"/>
          <w:sz w:val="18"/>
          <w:szCs w:val="18"/>
          <w14:textFill>
            <w14:solidFill>
              <w14:schemeClr w14:val="tx1"/>
            </w14:solidFill>
          </w14:textFill>
        </w:rPr>
        <w:t>%；◎兼容比例不超过49%；●兼容比例100%；□兼容比例不超过15％（危险品等特种市场用地的兼容性须报</w:t>
      </w:r>
      <w:r>
        <w:rPr>
          <w:rFonts w:hint="eastAsia" w:eastAsia="楷体_GB2312"/>
          <w:color w:val="000000" w:themeColor="text1"/>
          <w:sz w:val="18"/>
          <w:szCs w:val="18"/>
          <w14:textFill>
            <w14:solidFill>
              <w14:schemeClr w14:val="tx1"/>
            </w14:solidFill>
          </w14:textFill>
        </w:rPr>
        <w:t>县</w:t>
      </w:r>
      <w:r>
        <w:rPr>
          <w:rFonts w:eastAsia="楷体_GB2312"/>
          <w:color w:val="000000" w:themeColor="text1"/>
          <w:sz w:val="18"/>
          <w:szCs w:val="18"/>
          <w14:textFill>
            <w14:solidFill>
              <w14:schemeClr w14:val="tx1"/>
            </w14:solidFill>
          </w14:textFill>
        </w:rPr>
        <w:t>国土空间规划委员会审议）。②兼容的比例是指兼容类计入容积率的建筑面积与该项目计入容积率总建筑面积的比例。③本表未涉及的规划用地性质不得兼容（如教育用地等）。④规划控制指标按主导性质用地的规划指标控制。</w:t>
      </w:r>
    </w:p>
    <w:p w14:paraId="36EBD5E6">
      <w:pPr>
        <w:rPr>
          <w:color w:val="000000" w:themeColor="text1"/>
          <w:sz w:val="28"/>
          <w:szCs w:val="28"/>
          <w14:textFill>
            <w14:solidFill>
              <w14:schemeClr w14:val="tx1"/>
            </w14:solidFill>
          </w14:textFill>
        </w:rPr>
        <w:sectPr>
          <w:pgSz w:w="16838" w:h="11906" w:orient="landscape"/>
          <w:pgMar w:top="2098" w:right="1474" w:bottom="1928" w:left="1588" w:header="851" w:footer="851" w:gutter="0"/>
          <w:cols w:space="425" w:num="1"/>
          <w:docGrid w:type="linesAndChars" w:linePitch="312" w:charSpace="0"/>
        </w:sectPr>
      </w:pPr>
    </w:p>
    <w:p w14:paraId="1079A6B5">
      <w:pPr>
        <w:spacing w:line="580" w:lineRule="exact"/>
        <w:jc w:val="center"/>
        <w:rPr>
          <w:rFonts w:eastAsia="黑体"/>
          <w:color w:val="000000" w:themeColor="text1"/>
          <w:szCs w:val="32"/>
          <w14:textFill>
            <w14:solidFill>
              <w14:schemeClr w14:val="tx1"/>
            </w14:solidFill>
          </w14:textFill>
        </w:rPr>
      </w:pPr>
      <w:r>
        <w:rPr>
          <w:rFonts w:eastAsia="黑体"/>
          <w:color w:val="000000" w:themeColor="text1"/>
          <w:szCs w:val="32"/>
          <w14:textFill>
            <w14:solidFill>
              <w14:schemeClr w14:val="tx1"/>
            </w14:solidFill>
          </w14:textFill>
        </w:rPr>
        <w:t>第三章   建设用地使用强度控制</w:t>
      </w:r>
    </w:p>
    <w:p w14:paraId="25FD328A">
      <w:pPr>
        <w:spacing w:line="580" w:lineRule="exact"/>
        <w:ind w:firstLine="627" w:firstLineChars="196"/>
        <w:rPr>
          <w:rFonts w:eastAsia="楷体_GB2312"/>
          <w:color w:val="000000" w:themeColor="text1"/>
          <w:szCs w:val="32"/>
          <w14:textFill>
            <w14:solidFill>
              <w14:schemeClr w14:val="tx1"/>
            </w14:solidFill>
          </w14:textFill>
        </w:rPr>
      </w:pPr>
    </w:p>
    <w:p w14:paraId="7D88A83A">
      <w:pPr>
        <w:spacing w:line="580" w:lineRule="exact"/>
        <w:ind w:firstLine="627" w:firstLineChars="196"/>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第十</w:t>
      </w:r>
      <w:r>
        <w:rPr>
          <w:rFonts w:hint="eastAsia" w:eastAsia="楷体_GB2312"/>
          <w:color w:val="000000" w:themeColor="text1"/>
          <w:szCs w:val="32"/>
          <w14:textFill>
            <w14:solidFill>
              <w14:schemeClr w14:val="tx1"/>
            </w14:solidFill>
          </w14:textFill>
        </w:rPr>
        <w:t>二</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规划区内用地的规划控制指标原则上按国土空间详细规划或土地拍卖出让合同确定的指标实施。国土空间详细规划只标明现状指标、未提出规划指标的，按</w:t>
      </w:r>
      <w:r>
        <w:rPr>
          <w:rFonts w:hint="eastAsia"/>
          <w:color w:val="000000" w:themeColor="text1"/>
          <w:szCs w:val="32"/>
          <w14:textFill>
            <w14:solidFill>
              <w14:schemeClr w14:val="tx1"/>
            </w14:solidFill>
          </w14:textFill>
        </w:rPr>
        <w:t>县</w:t>
      </w:r>
      <w:r>
        <w:rPr>
          <w:color w:val="000000" w:themeColor="text1"/>
          <w:szCs w:val="32"/>
          <w14:textFill>
            <w14:solidFill>
              <w14:schemeClr w14:val="tx1"/>
            </w14:solidFill>
          </w14:textFill>
        </w:rPr>
        <w:t>人民政府有关规定执行。</w:t>
      </w:r>
    </w:p>
    <w:p w14:paraId="7EAABFF0">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第十</w:t>
      </w:r>
      <w:r>
        <w:rPr>
          <w:rFonts w:hint="eastAsia" w:eastAsia="楷体_GB2312"/>
          <w:color w:val="000000" w:themeColor="text1"/>
          <w:szCs w:val="32"/>
          <w14:textFill>
            <w14:solidFill>
              <w14:schemeClr w14:val="tx1"/>
            </w14:solidFill>
          </w14:textFill>
        </w:rPr>
        <w:t>三</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城市一</w:t>
      </w:r>
      <w:r>
        <w:rPr>
          <w:rFonts w:hint="eastAsia"/>
          <w:color w:val="000000" w:themeColor="text1"/>
          <w:szCs w:val="32"/>
          <w14:textFill>
            <w14:solidFill>
              <w14:schemeClr w14:val="tx1"/>
            </w14:solidFill>
          </w14:textFill>
        </w:rPr>
        <w:t>、二</w:t>
      </w:r>
      <w:r>
        <w:rPr>
          <w:color w:val="000000" w:themeColor="text1"/>
          <w:szCs w:val="32"/>
          <w14:textFill>
            <w14:solidFill>
              <w14:schemeClr w14:val="tx1"/>
            </w14:solidFill>
          </w14:textFill>
        </w:rPr>
        <w:t>分区居住用地平均容积率控制在2.0以下，商业用地平均容积率控制在3.0以下；</w:t>
      </w:r>
      <w:r>
        <w:rPr>
          <w:rFonts w:hint="eastAsia"/>
          <w:color w:val="000000" w:themeColor="text1"/>
          <w:szCs w:val="32"/>
          <w14:textFill>
            <w14:solidFill>
              <w14:schemeClr w14:val="tx1"/>
            </w14:solidFill>
          </w14:textFill>
        </w:rPr>
        <w:t>二分区工业用地按省、市关于工业项目建设用地控制指标管理；三</w:t>
      </w:r>
      <w:r>
        <w:rPr>
          <w:color w:val="000000" w:themeColor="text1"/>
          <w:szCs w:val="32"/>
          <w14:textFill>
            <w14:solidFill>
              <w14:schemeClr w14:val="tx1"/>
            </w14:solidFill>
          </w14:textFill>
        </w:rPr>
        <w:t>分区居住用地平均容积率控制在</w:t>
      </w:r>
      <w:r>
        <w:rPr>
          <w:rFonts w:hint="eastAsia"/>
          <w:color w:val="000000" w:themeColor="text1"/>
          <w:szCs w:val="32"/>
          <w14:textFill>
            <w14:solidFill>
              <w14:schemeClr w14:val="tx1"/>
            </w14:solidFill>
          </w14:textFill>
        </w:rPr>
        <w:t>1.5</w:t>
      </w:r>
      <w:r>
        <w:rPr>
          <w:color w:val="000000" w:themeColor="text1"/>
          <w:szCs w:val="32"/>
          <w14:textFill>
            <w14:solidFill>
              <w14:schemeClr w14:val="tx1"/>
            </w14:solidFill>
          </w14:textFill>
        </w:rPr>
        <w:t>以下，商业用地平均容积率控制在</w:t>
      </w:r>
      <w:r>
        <w:rPr>
          <w:rFonts w:hint="eastAsia"/>
          <w:color w:val="000000" w:themeColor="text1"/>
          <w:szCs w:val="32"/>
          <w14:textFill>
            <w14:solidFill>
              <w14:schemeClr w14:val="tx1"/>
            </w14:solidFill>
          </w14:textFill>
        </w:rPr>
        <w:t>2.0</w:t>
      </w:r>
      <w:r>
        <w:rPr>
          <w:color w:val="000000" w:themeColor="text1"/>
          <w:szCs w:val="32"/>
          <w14:textFill>
            <w14:solidFill>
              <w14:schemeClr w14:val="tx1"/>
            </w14:solidFill>
          </w14:textFill>
        </w:rPr>
        <w:t>以下；保障性住房、安置小区的容积率控制在3.0以下。国土空间详细规划确定的地标性建筑地块的容积率经科学论证后可适当提高。</w:t>
      </w:r>
    </w:p>
    <w:p w14:paraId="77925897">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本条所指平均容积率用于控制区域用地开发强度，具体地块容积率按国土空间详细规划的指标执行。</w:t>
      </w:r>
    </w:p>
    <w:p w14:paraId="445D832E">
      <w:pPr>
        <w:widowControl/>
        <w:spacing w:line="580" w:lineRule="exact"/>
        <w:ind w:firstLine="627" w:firstLineChars="196"/>
        <w:jc w:val="left"/>
        <w:rPr>
          <w:rFonts w:eastAsia="黑体"/>
          <w:color w:val="000000" w:themeColor="text1"/>
          <w:sz w:val="36"/>
          <w:szCs w:val="36"/>
          <w14:textFill>
            <w14:solidFill>
              <w14:schemeClr w14:val="tx1"/>
            </w14:solidFill>
          </w14:textFill>
        </w:rPr>
      </w:pPr>
      <w:r>
        <w:rPr>
          <w:rFonts w:eastAsia="楷体_GB2312"/>
          <w:color w:val="000000" w:themeColor="text1"/>
          <w:szCs w:val="32"/>
          <w14:textFill>
            <w14:solidFill>
              <w14:schemeClr w14:val="tx1"/>
            </w14:solidFill>
          </w14:textFill>
        </w:rPr>
        <w:t>第十</w:t>
      </w:r>
      <w:r>
        <w:rPr>
          <w:rFonts w:hint="eastAsia" w:eastAsia="楷体_GB2312"/>
          <w:color w:val="000000" w:themeColor="text1"/>
          <w:szCs w:val="32"/>
          <w14:textFill>
            <w14:solidFill>
              <w14:schemeClr w14:val="tx1"/>
            </w14:solidFill>
          </w14:textFill>
        </w:rPr>
        <w:t>四</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老城区按照居住人口只减不增，公共服务设施、公园绿地只增不减的原则，有序进行城市修补和有机更新，恢复原有功能和活力，延续历史文脉。</w:t>
      </w:r>
    </w:p>
    <w:p w14:paraId="527E4BF5">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第十</w:t>
      </w:r>
      <w:r>
        <w:rPr>
          <w:rFonts w:hint="eastAsia" w:eastAsia="楷体_GB2312"/>
          <w:color w:val="000000" w:themeColor="text1"/>
          <w:szCs w:val="32"/>
          <w14:textFill>
            <w14:solidFill>
              <w14:schemeClr w14:val="tx1"/>
            </w14:solidFill>
          </w14:textFill>
        </w:rPr>
        <w:t>五</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未经招拍挂取得，非土地使用权人原因尚未开发建设的土地，在取得土地合同中已经明确容积率指标的，以合同约定的容积率指标为准；未明确容积率指标的，其容积率为1.8。</w:t>
      </w:r>
    </w:p>
    <w:p w14:paraId="5234E473">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经批准实施的旧城改造项目，取得土地的合同已经明确约定容积率指标的，以合同约定的容积率指标为准；未明确容积率指标的，以依法批准的实际建筑面积计算出的现状容积率为准。</w:t>
      </w:r>
    </w:p>
    <w:p w14:paraId="522CDF93">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第十</w:t>
      </w:r>
      <w:r>
        <w:rPr>
          <w:rFonts w:hint="eastAsia" w:eastAsia="楷体_GB2312"/>
          <w:color w:val="000000" w:themeColor="text1"/>
          <w:szCs w:val="32"/>
          <w14:textFill>
            <w14:solidFill>
              <w14:schemeClr w14:val="tx1"/>
            </w14:solidFill>
          </w14:textFill>
        </w:rPr>
        <w:t>六</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w:t>
      </w:r>
      <w:r>
        <w:rPr>
          <w:rFonts w:hint="eastAsia"/>
          <w:color w:val="000000" w:themeColor="text1"/>
          <w:szCs w:val="32"/>
          <w14:textFill>
            <w14:solidFill>
              <w14:schemeClr w14:val="tx1"/>
            </w14:solidFill>
          </w14:textFill>
        </w:rPr>
        <w:t>除工业用地外，</w:t>
      </w:r>
      <w:r>
        <w:rPr>
          <w:color w:val="000000" w:themeColor="text1"/>
          <w:szCs w:val="32"/>
          <w14:textFill>
            <w14:solidFill>
              <w14:schemeClr w14:val="tx1"/>
            </w14:solidFill>
          </w14:textFill>
        </w:rPr>
        <w:t>原有建设用地的建筑容量已达到规划控制指标的，不得在原有建设用地内进行扩建。</w:t>
      </w:r>
    </w:p>
    <w:p w14:paraId="1E89F567">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第十</w:t>
      </w:r>
      <w:r>
        <w:rPr>
          <w:rFonts w:hint="eastAsia" w:eastAsia="楷体_GB2312"/>
          <w:color w:val="000000" w:themeColor="text1"/>
          <w:szCs w:val="32"/>
          <w14:textFill>
            <w14:solidFill>
              <w14:schemeClr w14:val="tx1"/>
            </w14:solidFill>
          </w14:textFill>
        </w:rPr>
        <w:t>七</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对于混合类型的建设用地，其建筑容量控制指标应将建设用地按使用性质分类划定后，按不同类型分别执行；对难以分类划定的建设用地，按不同性质的建筑面积比例折算建筑容量控制指标。对开发经营类多宗出让地块实施统一规划的，建设工程设计方案相关指标应符合各宗地地块出让合同附具的规划条件，不得通过统一规划规避容积率等控制指标和配套要求。</w:t>
      </w:r>
    </w:p>
    <w:p w14:paraId="2D983295">
      <w:pPr>
        <w:spacing w:line="580" w:lineRule="exact"/>
        <w:ind w:firstLine="63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第十</w:t>
      </w:r>
      <w:r>
        <w:rPr>
          <w:rFonts w:hint="eastAsia" w:eastAsia="楷体_GB2312"/>
          <w:color w:val="000000" w:themeColor="text1"/>
          <w:szCs w:val="32"/>
          <w14:textFill>
            <w14:solidFill>
              <w14:schemeClr w14:val="tx1"/>
            </w14:solidFill>
          </w14:textFill>
        </w:rPr>
        <w:t>八</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建设项目用地面积未达到3亩的，原则上不得单独开发建设（公共服务设施用地、城市基础设施用地和其他政府批准建设的土地除外）。建设项目用地未达到规定的最小面积，但有下列情况之一，且确定不影响</w:t>
      </w:r>
      <w:r>
        <w:rPr>
          <w:rFonts w:hint="eastAsia"/>
          <w:color w:val="000000" w:themeColor="text1"/>
          <w:szCs w:val="32"/>
          <w14:textFill>
            <w14:solidFill>
              <w14:schemeClr w14:val="tx1"/>
            </w14:solidFill>
          </w14:textFill>
        </w:rPr>
        <w:t>国土空间</w:t>
      </w:r>
      <w:r>
        <w:rPr>
          <w:color w:val="000000" w:themeColor="text1"/>
          <w:szCs w:val="32"/>
          <w14:textFill>
            <w14:solidFill>
              <w14:schemeClr w14:val="tx1"/>
            </w14:solidFill>
          </w14:textFill>
        </w:rPr>
        <w:t>规划实施的，可予以核准建设：</w:t>
      </w:r>
    </w:p>
    <w:p w14:paraId="42D94084">
      <w:pPr>
        <w:spacing w:line="580" w:lineRule="exact"/>
        <w:ind w:firstLine="630"/>
        <w:rPr>
          <w:color w:val="000000" w:themeColor="text1"/>
          <w:szCs w:val="32"/>
          <w14:textFill>
            <w14:solidFill>
              <w14:schemeClr w14:val="tx1"/>
            </w14:solidFill>
          </w14:textFill>
        </w:rPr>
      </w:pPr>
      <w:r>
        <w:rPr>
          <w:color w:val="000000" w:themeColor="text1"/>
          <w:szCs w:val="32"/>
          <w14:textFill>
            <w14:solidFill>
              <w14:schemeClr w14:val="tx1"/>
            </w14:solidFill>
          </w14:textFill>
        </w:rPr>
        <w:t>（一）周边相临地块均已建成，确实无法调整合并的。</w:t>
      </w:r>
    </w:p>
    <w:p w14:paraId="238CDF3F">
      <w:pPr>
        <w:spacing w:line="580" w:lineRule="exact"/>
        <w:ind w:firstLine="630"/>
        <w:rPr>
          <w:color w:val="000000" w:themeColor="text1"/>
          <w:szCs w:val="32"/>
          <w14:textFill>
            <w14:solidFill>
              <w14:schemeClr w14:val="tx1"/>
            </w14:solidFill>
          </w14:textFill>
        </w:rPr>
      </w:pPr>
      <w:r>
        <w:rPr>
          <w:color w:val="000000" w:themeColor="text1"/>
          <w:szCs w:val="32"/>
          <w14:textFill>
            <w14:solidFill>
              <w14:schemeClr w14:val="tx1"/>
            </w14:solidFill>
          </w14:textFill>
        </w:rPr>
        <w:t>（二）因城市规划调整、市政公共设施建设等影响，确实无法调整合并的。</w:t>
      </w:r>
    </w:p>
    <w:p w14:paraId="6E5D3ED0">
      <w:pPr>
        <w:spacing w:line="580" w:lineRule="exact"/>
        <w:ind w:firstLine="63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第十</w:t>
      </w:r>
      <w:r>
        <w:rPr>
          <w:rFonts w:hint="eastAsia" w:eastAsia="楷体_GB2312"/>
          <w:color w:val="000000" w:themeColor="text1"/>
          <w:szCs w:val="32"/>
          <w14:textFill>
            <w14:solidFill>
              <w14:schemeClr w14:val="tx1"/>
            </w14:solidFill>
          </w14:textFill>
        </w:rPr>
        <w:t>九</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经相关部门鉴定为无法满足安全使用条件需停止使用并需整体拆除的危房，土地房屋权属合法且无争议的，在与城市规划无重大冲突的前提下，经规划和自然资源主管部门批准，可按“四原”（原基地面积、原建筑面积、原建筑高度、原建筑使用功能）原则由房屋产权所有人（单位）申请实施危房恢复重建，恢复重建的房屋与周边建筑的间距，不得小于原有建筑间距且满足消防要求。</w:t>
      </w:r>
    </w:p>
    <w:p w14:paraId="0A3FA3FB">
      <w:pPr>
        <w:spacing w:line="580" w:lineRule="exact"/>
        <w:ind w:firstLine="63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二十</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国有建设用地上位于城市有机更新区域内，权属合法且无争议的街区单元和老旧小区，确需自主更新改造的，在符合国土空间规划的前提下，采取“一事一议”的原则，按城市有机更新相关政策实施。</w:t>
      </w:r>
    </w:p>
    <w:p w14:paraId="468295BF">
      <w:pPr>
        <w:spacing w:line="580" w:lineRule="exact"/>
        <w:ind w:firstLine="630"/>
        <w:rPr>
          <w:color w:val="000000" w:themeColor="text1"/>
          <w:szCs w:val="32"/>
          <w14:textFill>
            <w14:solidFill>
              <w14:schemeClr w14:val="tx1"/>
            </w14:solidFill>
          </w14:textFill>
        </w:rPr>
      </w:pPr>
    </w:p>
    <w:p w14:paraId="1AB797C1">
      <w:pPr>
        <w:spacing w:line="580" w:lineRule="exact"/>
        <w:jc w:val="center"/>
        <w:rPr>
          <w:rFonts w:eastAsia="黑体"/>
          <w:color w:val="000000" w:themeColor="text1"/>
          <w:szCs w:val="32"/>
          <w14:textFill>
            <w14:solidFill>
              <w14:schemeClr w14:val="tx1"/>
            </w14:solidFill>
          </w14:textFill>
        </w:rPr>
      </w:pPr>
      <w:r>
        <w:rPr>
          <w:rFonts w:eastAsia="黑体"/>
          <w:color w:val="000000" w:themeColor="text1"/>
          <w:szCs w:val="32"/>
          <w14:textFill>
            <w14:solidFill>
              <w14:schemeClr w14:val="tx1"/>
            </w14:solidFill>
          </w14:textFill>
        </w:rPr>
        <w:t>第四章  建筑间距</w:t>
      </w:r>
    </w:p>
    <w:p w14:paraId="10459903">
      <w:pPr>
        <w:spacing w:line="580" w:lineRule="exact"/>
        <w:jc w:val="center"/>
        <w:rPr>
          <w:rFonts w:eastAsia="黑体"/>
          <w:color w:val="000000" w:themeColor="text1"/>
          <w:sz w:val="36"/>
          <w:szCs w:val="36"/>
          <w14:textFill>
            <w14:solidFill>
              <w14:schemeClr w14:val="tx1"/>
            </w14:solidFill>
          </w14:textFill>
        </w:rPr>
      </w:pPr>
    </w:p>
    <w:p w14:paraId="590BD005">
      <w:pPr>
        <w:snapToGrid w:val="0"/>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第二十</w:t>
      </w:r>
      <w:r>
        <w:rPr>
          <w:rFonts w:hint="eastAsia" w:eastAsia="楷体_GB2312"/>
          <w:color w:val="000000" w:themeColor="text1"/>
          <w:szCs w:val="32"/>
          <w14:textFill>
            <w14:solidFill>
              <w14:schemeClr w14:val="tx1"/>
            </w14:solidFill>
          </w14:textFill>
        </w:rPr>
        <w:t>一</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同一建筑需要同时满足建筑间距和后退红线等多重控制要求的，按最大的控制距离控制。</w:t>
      </w:r>
    </w:p>
    <w:p w14:paraId="3538380B">
      <w:pPr>
        <w:snapToGrid w:val="0"/>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第二十</w:t>
      </w:r>
      <w:r>
        <w:rPr>
          <w:rFonts w:hint="eastAsia" w:eastAsia="楷体_GB2312"/>
          <w:color w:val="000000" w:themeColor="text1"/>
          <w:szCs w:val="32"/>
          <w14:textFill>
            <w14:solidFill>
              <w14:schemeClr w14:val="tx1"/>
            </w14:solidFill>
          </w14:textFill>
        </w:rPr>
        <w:t>二</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建筑间距除满足日照、消防、卫生、环保、防灾、交通需求、工程管线埋设、建筑物保护、空间环境等方面的规范外，还应同时满足第二十</w:t>
      </w:r>
      <w:r>
        <w:rPr>
          <w:rFonts w:hint="eastAsia"/>
          <w:color w:val="000000" w:themeColor="text1"/>
          <w:szCs w:val="32"/>
          <w14:textFill>
            <w14:solidFill>
              <w14:schemeClr w14:val="tx1"/>
            </w14:solidFill>
          </w14:textFill>
        </w:rPr>
        <w:t>三</w:t>
      </w:r>
      <w:r>
        <w:rPr>
          <w:color w:val="000000" w:themeColor="text1"/>
          <w:szCs w:val="32"/>
          <w14:textFill>
            <w14:solidFill>
              <w14:schemeClr w14:val="tx1"/>
            </w14:solidFill>
          </w14:textFill>
        </w:rPr>
        <w:t>条、第二十</w:t>
      </w:r>
      <w:r>
        <w:rPr>
          <w:rFonts w:hint="eastAsia"/>
          <w:color w:val="000000" w:themeColor="text1"/>
          <w:szCs w:val="32"/>
          <w14:textFill>
            <w14:solidFill>
              <w14:schemeClr w14:val="tx1"/>
            </w14:solidFill>
          </w14:textFill>
        </w:rPr>
        <w:t>四</w:t>
      </w:r>
      <w:r>
        <w:rPr>
          <w:color w:val="000000" w:themeColor="text1"/>
          <w:szCs w:val="32"/>
          <w14:textFill>
            <w14:solidFill>
              <w14:schemeClr w14:val="tx1"/>
            </w14:solidFill>
          </w14:textFill>
        </w:rPr>
        <w:t>条、第二十</w:t>
      </w:r>
      <w:r>
        <w:rPr>
          <w:rFonts w:hint="eastAsia"/>
          <w:color w:val="000000" w:themeColor="text1"/>
          <w:szCs w:val="32"/>
          <w14:textFill>
            <w14:solidFill>
              <w14:schemeClr w14:val="tx1"/>
            </w14:solidFill>
          </w14:textFill>
        </w:rPr>
        <w:t>五</w:t>
      </w:r>
      <w:r>
        <w:rPr>
          <w:color w:val="000000" w:themeColor="text1"/>
          <w:szCs w:val="32"/>
          <w14:textFill>
            <w14:solidFill>
              <w14:schemeClr w14:val="tx1"/>
            </w14:solidFill>
          </w14:textFill>
        </w:rPr>
        <w:t>条的规定。</w:t>
      </w:r>
    </w:p>
    <w:p w14:paraId="48CACADF">
      <w:pPr>
        <w:snapToGrid w:val="0"/>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第二十</w:t>
      </w:r>
      <w:r>
        <w:rPr>
          <w:rFonts w:hint="eastAsia" w:eastAsia="楷体_GB2312"/>
          <w:color w:val="000000" w:themeColor="text1"/>
          <w:szCs w:val="32"/>
          <w14:textFill>
            <w14:solidFill>
              <w14:schemeClr w14:val="tx1"/>
            </w14:solidFill>
          </w14:textFill>
        </w:rPr>
        <w:t>三</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建筑日照要求应满足以下规定：</w:t>
      </w:r>
    </w:p>
    <w:p w14:paraId="26D5B4CA">
      <w:pPr>
        <w:snapToGrid w:val="0"/>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（一）每套住宅至少应有一个卧室或起居室（厅）大寒日日照不低于2小时（一分区以内住宅大寒日日照不低于1小时）。</w:t>
      </w:r>
    </w:p>
    <w:p w14:paraId="6F8572CF">
      <w:pPr>
        <w:snapToGrid w:val="0"/>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（二）老年人、残疾人专用住宅应有一个卧室或起居室（厅）冬至日日照不低于2小时。</w:t>
      </w:r>
    </w:p>
    <w:p w14:paraId="6D926FB3">
      <w:pPr>
        <w:snapToGrid w:val="0"/>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（三）托儿所、幼儿园的生活用房应满足冬至日底层满窗日照不低于3小时。</w:t>
      </w:r>
    </w:p>
    <w:p w14:paraId="25D413A6">
      <w:pPr>
        <w:snapToGrid w:val="0"/>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（四）医院、疗养院半数以上病房、疗养室冬至日日照不低于2小时。</w:t>
      </w:r>
    </w:p>
    <w:p w14:paraId="54029741">
      <w:pPr>
        <w:snapToGrid w:val="0"/>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（五）中、小学普通教室冬至日日照不低于2小时。</w:t>
      </w:r>
    </w:p>
    <w:p w14:paraId="02716B30">
      <w:pPr>
        <w:snapToGrid w:val="0"/>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（六）须满足日照要求的建筑，当下部作为商店、管理办公、停车、架空层等功能使用时，日照时间计算起点从最低层须满足日照要求的窗台面起算。</w:t>
      </w:r>
    </w:p>
    <w:p w14:paraId="5429CA5B">
      <w:pPr>
        <w:snapToGrid w:val="0"/>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（七）日照计算须计入实体女儿墙和跃层建筑的高度，以及出挑的阳台、檐口等影响因素。</w:t>
      </w:r>
    </w:p>
    <w:p w14:paraId="6244EE8F">
      <w:pPr>
        <w:snapToGrid w:val="0"/>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（八）项目开发方需提供合格的日照分析报告备检。</w:t>
      </w:r>
    </w:p>
    <w:p w14:paraId="0980CB34">
      <w:pPr>
        <w:snapToGrid w:val="0"/>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（九）日照不满足规定的居住建筑应作为公寓。公寓为住宅性质，除日照不能满足规定外，其他均应符合《住宅建筑规范》和本规定的要求。</w:t>
      </w:r>
    </w:p>
    <w:p w14:paraId="2D0048E8">
      <w:pPr>
        <w:snapToGrid w:val="0"/>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第二十</w:t>
      </w:r>
      <w:r>
        <w:rPr>
          <w:rFonts w:hint="eastAsia" w:eastAsia="楷体_GB2312"/>
          <w:color w:val="000000" w:themeColor="text1"/>
          <w:szCs w:val="32"/>
          <w14:textFill>
            <w14:solidFill>
              <w14:schemeClr w14:val="tx1"/>
            </w14:solidFill>
          </w14:textFill>
        </w:rPr>
        <w:t>四</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住宅建筑的间距应满足以下规定：</w:t>
      </w:r>
    </w:p>
    <w:p w14:paraId="7EF9BCE7">
      <w:pPr>
        <w:snapToGrid w:val="0"/>
        <w:spacing w:line="580" w:lineRule="exact"/>
        <w:ind w:firstLine="640" w:firstLineChars="200"/>
        <w:rPr>
          <w:color w:val="000000" w:themeColor="text1"/>
          <w:sz w:val="28"/>
          <w:szCs w:val="28"/>
          <w14:textFill>
            <w14:solidFill>
              <w14:schemeClr w14:val="tx1"/>
            </w14:solidFill>
          </w14:textFill>
        </w:rPr>
      </w:pPr>
      <w:r>
        <w:rPr>
          <w:color w:val="000000" w:themeColor="text1"/>
          <w:szCs w:val="32"/>
          <w14:textFill>
            <w14:solidFill>
              <w14:schemeClr w14:val="tx1"/>
            </w14:solidFill>
          </w14:textFill>
        </w:rPr>
        <w:t>（一）住宅建筑各类朝向平行相对布置时的最小间距按表4</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1控制。</w:t>
      </w:r>
    </w:p>
    <w:p w14:paraId="0DBFE843">
      <w:pPr>
        <w:snapToGrid w:val="0"/>
        <w:spacing w:line="336"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表4</w:t>
      </w:r>
      <w:r>
        <w:rPr>
          <w:rFonts w:hint="eastAsia"/>
          <w:color w:val="000000" w:themeColor="text1"/>
          <w:sz w:val="28"/>
          <w:szCs w:val="28"/>
          <w14:textFill>
            <w14:solidFill>
              <w14:schemeClr w14:val="tx1"/>
            </w14:solidFill>
          </w14:textFill>
        </w:rPr>
        <w:t>—</w:t>
      </w:r>
      <w:r>
        <w:rPr>
          <w:color w:val="000000" w:themeColor="text1"/>
          <w:sz w:val="28"/>
          <w:szCs w:val="28"/>
          <w14:textFill>
            <w14:solidFill>
              <w14:schemeClr w14:val="tx1"/>
            </w14:solidFill>
          </w14:textFill>
        </w:rPr>
        <w:t>1  住宅建筑各类朝向平行相对布置时的最小间距</w:t>
      </w:r>
    </w:p>
    <w:tbl>
      <w:tblPr>
        <w:tblStyle w:val="14"/>
        <w:tblW w:w="88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276"/>
        <w:gridCol w:w="1605"/>
        <w:gridCol w:w="1784"/>
        <w:gridCol w:w="2235"/>
        <w:gridCol w:w="1245"/>
      </w:tblGrid>
      <w:tr w14:paraId="76D49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951" w:type="dxa"/>
            <w:gridSpan w:val="2"/>
            <w:vMerge w:val="restart"/>
          </w:tcPr>
          <w:p w14:paraId="163E1C99">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280035</wp:posOffset>
                      </wp:positionH>
                      <wp:positionV relativeFrom="paragraph">
                        <wp:posOffset>5080</wp:posOffset>
                      </wp:positionV>
                      <wp:extent cx="875665" cy="1097915"/>
                      <wp:effectExtent l="3810" t="3175" r="9525" b="3810"/>
                      <wp:wrapNone/>
                      <wp:docPr id="1" name="直线 2"/>
                      <wp:cNvGraphicFramePr/>
                      <a:graphic xmlns:a="http://schemas.openxmlformats.org/drawingml/2006/main">
                        <a:graphicData uri="http://schemas.microsoft.com/office/word/2010/wordprocessingShape">
                          <wps:wsp>
                            <wps:cNvCnPr/>
                            <wps:spPr>
                              <a:xfrm>
                                <a:off x="0" y="0"/>
                                <a:ext cx="875665" cy="109791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2" o:spid="_x0000_s1026" o:spt="20" style="position:absolute;left:0pt;margin-left:22.05pt;margin-top:0.4pt;height:86.45pt;width:68.95pt;z-index:251659264;mso-width-relative:page;mso-height-relative:page;" filled="f" stroked="t" coordsize="21600,21600" o:gfxdata="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AL0PWdYAAAAHAQAA&#10;DwAAAAAAAAABACAAAAAiAAAAZHJzL2Rvd25yZXYueG1sUEsBAhQAFAAAAAgAh07iQDGFR/niAQAA&#10;1AMAAA4AAAAAAAAAAQAgAAAAJQEAAGRycy9lMm9Eb2MueG1sUEsFBgAAAAAGAAYAWQEAAHkFAAAA&#10;AA==&#10;">
                      <v:fill on="f" focussize="0,0"/>
                      <v:stroke color="#000000" joinstyle="round"/>
                      <v:imagedata o:title=""/>
                      <o:lock v:ext="edit" aspectratio="f"/>
                    </v:line>
                  </w:pict>
                </mc:Fallback>
              </mc:AlternateContent>
            </w:r>
            <w:r>
              <w:rPr>
                <w:color w:val="000000" w:themeColor="text1"/>
                <w:sz w:val="21"/>
                <w:szCs w:val="21"/>
                <w14:textFill>
                  <w14:solidFill>
                    <w14:schemeClr w14:val="tx1"/>
                  </w14:solidFill>
                </w14:textFill>
              </w:rPr>
              <w:t xml:space="preserve">       朝向</w:t>
            </w:r>
          </w:p>
          <w:p w14:paraId="67DBCD48">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 xml:space="preserve">  最小</w:t>
            </w:r>
          </w:p>
          <w:p w14:paraId="765F29BB">
            <w:pPr>
              <w:ind w:firstLine="48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-62865</wp:posOffset>
                      </wp:positionH>
                      <wp:positionV relativeFrom="paragraph">
                        <wp:posOffset>3810</wp:posOffset>
                      </wp:positionV>
                      <wp:extent cx="1218565" cy="546735"/>
                      <wp:effectExtent l="1905" t="4445" r="11430" b="7620"/>
                      <wp:wrapNone/>
                      <wp:docPr id="2" name="直线 3"/>
                      <wp:cNvGraphicFramePr/>
                      <a:graphic xmlns:a="http://schemas.openxmlformats.org/drawingml/2006/main">
                        <a:graphicData uri="http://schemas.microsoft.com/office/word/2010/wordprocessingShape">
                          <wps:wsp>
                            <wps:cNvCnPr/>
                            <wps:spPr>
                              <a:xfrm>
                                <a:off x="0" y="0"/>
                                <a:ext cx="1218565" cy="5467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3" o:spid="_x0000_s1026" o:spt="20" style="position:absolute;left:0pt;margin-left:-4.95pt;margin-top:0.3pt;height:43.05pt;width:95.95pt;z-index:251660288;mso-width-relative:page;mso-height-relative:page;" filled="f" stroked="t" coordsize="21600,21600" o:gfxdata="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e8HuidUAAAAGAQAA&#10;DwAAAAAAAAABACAAAAAiAAAAZHJzL2Rvd25yZXYueG1sUEsBAhQAFAAAAAgAh07iQDfx0wvjAQAA&#10;1AMAAA4AAAAAAAAAAQAgAAAAJAEAAGRycy9lMm9Eb2MueG1sUEsFBgAAAAAGAAYAWQEAAHkFAAAA&#10;AA==&#10;">
                      <v:fill on="f" focussize="0,0"/>
                      <v:stroke color="#000000" joinstyle="round"/>
                      <v:imagedata o:title=""/>
                      <o:lock v:ext="edit" aspectratio="f"/>
                    </v:line>
                  </w:pict>
                </mc:Fallback>
              </mc:AlternateContent>
            </w:r>
            <w:r>
              <w:rPr>
                <w:color w:val="000000" w:themeColor="text1"/>
                <w:sz w:val="21"/>
                <w:szCs w:val="21"/>
                <w14:textFill>
                  <w14:solidFill>
                    <w14:schemeClr w14:val="tx1"/>
                  </w14:solidFill>
                </w14:textFill>
              </w:rPr>
              <w:t>间距</w:t>
            </w:r>
          </w:p>
          <w:p w14:paraId="3BD0DE53">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朝向</w:t>
            </w:r>
          </w:p>
        </w:tc>
        <w:tc>
          <w:tcPr>
            <w:tcW w:w="3389" w:type="dxa"/>
            <w:gridSpan w:val="2"/>
            <w:vAlign w:val="center"/>
          </w:tcPr>
          <w:p w14:paraId="56EDE580">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多、低层建筑</w:t>
            </w:r>
          </w:p>
        </w:tc>
        <w:tc>
          <w:tcPr>
            <w:tcW w:w="3480" w:type="dxa"/>
            <w:gridSpan w:val="2"/>
            <w:vAlign w:val="center"/>
          </w:tcPr>
          <w:p w14:paraId="7F8A470C">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高层建筑</w:t>
            </w:r>
          </w:p>
        </w:tc>
      </w:tr>
      <w:tr w14:paraId="3ED69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951" w:type="dxa"/>
            <w:gridSpan w:val="2"/>
            <w:vMerge w:val="continue"/>
            <w:vAlign w:val="center"/>
          </w:tcPr>
          <w:p w14:paraId="54EF7F3F">
            <w:pPr>
              <w:jc w:val="center"/>
              <w:rPr>
                <w:color w:val="000000" w:themeColor="text1"/>
                <w:sz w:val="21"/>
                <w:szCs w:val="21"/>
                <w14:textFill>
                  <w14:solidFill>
                    <w14:schemeClr w14:val="tx1"/>
                  </w14:solidFill>
                </w14:textFill>
              </w:rPr>
            </w:pPr>
          </w:p>
        </w:tc>
        <w:tc>
          <w:tcPr>
            <w:tcW w:w="1605" w:type="dxa"/>
            <w:vAlign w:val="center"/>
          </w:tcPr>
          <w:p w14:paraId="02F1875B">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长边</w:t>
            </w:r>
          </w:p>
          <w:p w14:paraId="06E25E04">
            <w:pPr>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米</w:t>
            </w:r>
            <w:r>
              <w:rPr>
                <w:rFonts w:hint="eastAsia"/>
                <w:color w:val="000000" w:themeColor="text1"/>
                <w:sz w:val="21"/>
                <w:szCs w:val="21"/>
                <w14:textFill>
                  <w14:solidFill>
                    <w14:schemeClr w14:val="tx1"/>
                  </w14:solidFill>
                </w14:textFill>
              </w:rPr>
              <w:t>）</w:t>
            </w:r>
          </w:p>
        </w:tc>
        <w:tc>
          <w:tcPr>
            <w:tcW w:w="1784" w:type="dxa"/>
            <w:vAlign w:val="center"/>
          </w:tcPr>
          <w:p w14:paraId="353D7C86">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山墙</w:t>
            </w:r>
          </w:p>
          <w:p w14:paraId="12DEEC93">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（米）</w:t>
            </w:r>
          </w:p>
        </w:tc>
        <w:tc>
          <w:tcPr>
            <w:tcW w:w="2235" w:type="dxa"/>
            <w:vAlign w:val="center"/>
          </w:tcPr>
          <w:p w14:paraId="0D268E12">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主要朝向</w:t>
            </w:r>
          </w:p>
          <w:p w14:paraId="1B250F63">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（米）</w:t>
            </w:r>
          </w:p>
        </w:tc>
        <w:tc>
          <w:tcPr>
            <w:tcW w:w="1245" w:type="dxa"/>
            <w:vAlign w:val="center"/>
          </w:tcPr>
          <w:p w14:paraId="77CC05B1">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次要</w:t>
            </w:r>
          </w:p>
          <w:p w14:paraId="69034CC0">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朝向</w:t>
            </w:r>
          </w:p>
          <w:p w14:paraId="3EA44422">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（米）</w:t>
            </w:r>
          </w:p>
        </w:tc>
      </w:tr>
      <w:tr w14:paraId="6D92E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7" w:hRule="atLeast"/>
        </w:trPr>
        <w:tc>
          <w:tcPr>
            <w:tcW w:w="675" w:type="dxa"/>
            <w:vMerge w:val="restart"/>
            <w:vAlign w:val="center"/>
          </w:tcPr>
          <w:p w14:paraId="48C9F8F8">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多低</w:t>
            </w:r>
          </w:p>
          <w:p w14:paraId="076114AB">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层建筑</w:t>
            </w:r>
          </w:p>
        </w:tc>
        <w:tc>
          <w:tcPr>
            <w:tcW w:w="1276" w:type="dxa"/>
            <w:vAlign w:val="center"/>
          </w:tcPr>
          <w:p w14:paraId="32629E0B">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长边</w:t>
            </w:r>
          </w:p>
        </w:tc>
        <w:tc>
          <w:tcPr>
            <w:tcW w:w="1605" w:type="dxa"/>
            <w:vAlign w:val="center"/>
          </w:tcPr>
          <w:p w14:paraId="0C55CF23">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≥1.0H且低层相对：≥7.0</w:t>
            </w:r>
          </w:p>
          <w:p w14:paraId="52F81B99">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多层对多、低层：≥12.0</w:t>
            </w:r>
          </w:p>
        </w:tc>
        <w:tc>
          <w:tcPr>
            <w:tcW w:w="1784" w:type="dxa"/>
            <w:vAlign w:val="center"/>
          </w:tcPr>
          <w:p w14:paraId="1347AB08">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低层相对：≥6.0；多低层相对：≥8.0</w:t>
            </w:r>
          </w:p>
          <w:p w14:paraId="3F78FB58">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多层相对：≥10.0</w:t>
            </w:r>
          </w:p>
        </w:tc>
        <w:tc>
          <w:tcPr>
            <w:tcW w:w="2235" w:type="dxa"/>
            <w:vAlign w:val="center"/>
          </w:tcPr>
          <w:p w14:paraId="1F4F239B">
            <w:pP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高层位于南侧：≥0.5H（高）且≥27.0；高层位于东、西、北侧：≥1.3H（多）且≥20.0</w:t>
            </w:r>
          </w:p>
        </w:tc>
        <w:tc>
          <w:tcPr>
            <w:tcW w:w="1245" w:type="dxa"/>
            <w:vAlign w:val="center"/>
          </w:tcPr>
          <w:p w14:paraId="3A15B379">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≥13.0</w:t>
            </w:r>
          </w:p>
        </w:tc>
      </w:tr>
      <w:tr w14:paraId="491D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 w:hRule="atLeast"/>
        </w:trPr>
        <w:tc>
          <w:tcPr>
            <w:tcW w:w="675" w:type="dxa"/>
            <w:vMerge w:val="continue"/>
            <w:vAlign w:val="center"/>
          </w:tcPr>
          <w:p w14:paraId="385B6643">
            <w:pPr>
              <w:jc w:val="center"/>
              <w:rPr>
                <w:color w:val="000000" w:themeColor="text1"/>
                <w:sz w:val="21"/>
                <w:szCs w:val="21"/>
                <w14:textFill>
                  <w14:solidFill>
                    <w14:schemeClr w14:val="tx1"/>
                  </w14:solidFill>
                </w14:textFill>
              </w:rPr>
            </w:pPr>
          </w:p>
        </w:tc>
        <w:tc>
          <w:tcPr>
            <w:tcW w:w="1276" w:type="dxa"/>
            <w:vAlign w:val="center"/>
          </w:tcPr>
          <w:p w14:paraId="256EE358">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山墙</w:t>
            </w:r>
          </w:p>
        </w:tc>
        <w:tc>
          <w:tcPr>
            <w:tcW w:w="1605" w:type="dxa"/>
            <w:vAlign w:val="center"/>
          </w:tcPr>
          <w:p w14:paraId="2A1479FE">
            <w:pPr>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w:t>
            </w:r>
          </w:p>
        </w:tc>
        <w:tc>
          <w:tcPr>
            <w:tcW w:w="1784" w:type="dxa"/>
            <w:vAlign w:val="center"/>
          </w:tcPr>
          <w:p w14:paraId="6E98C2A3">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≥6.0</w:t>
            </w:r>
          </w:p>
        </w:tc>
        <w:tc>
          <w:tcPr>
            <w:tcW w:w="2235" w:type="dxa"/>
            <w:vAlign w:val="center"/>
          </w:tcPr>
          <w:p w14:paraId="756FDE59">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≥13.0</w:t>
            </w:r>
          </w:p>
        </w:tc>
        <w:tc>
          <w:tcPr>
            <w:tcW w:w="1245" w:type="dxa"/>
            <w:vAlign w:val="center"/>
          </w:tcPr>
          <w:p w14:paraId="5FB1F557">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≥9.0</w:t>
            </w:r>
          </w:p>
        </w:tc>
      </w:tr>
      <w:tr w14:paraId="5A180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675" w:type="dxa"/>
            <w:vMerge w:val="restart"/>
            <w:vAlign w:val="center"/>
          </w:tcPr>
          <w:p w14:paraId="1CD723CF">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高层</w:t>
            </w:r>
          </w:p>
          <w:p w14:paraId="048588B4">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建筑</w:t>
            </w:r>
          </w:p>
        </w:tc>
        <w:tc>
          <w:tcPr>
            <w:tcW w:w="1276" w:type="dxa"/>
            <w:vAlign w:val="center"/>
          </w:tcPr>
          <w:p w14:paraId="11DA2654">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主要朝向</w:t>
            </w:r>
          </w:p>
        </w:tc>
        <w:tc>
          <w:tcPr>
            <w:tcW w:w="1605" w:type="dxa"/>
            <w:vAlign w:val="center"/>
          </w:tcPr>
          <w:p w14:paraId="78FD1C2F">
            <w:pPr>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w:t>
            </w:r>
          </w:p>
        </w:tc>
        <w:tc>
          <w:tcPr>
            <w:tcW w:w="1784" w:type="dxa"/>
            <w:vAlign w:val="center"/>
          </w:tcPr>
          <w:p w14:paraId="212F35B5">
            <w:pPr>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w:t>
            </w:r>
          </w:p>
        </w:tc>
        <w:tc>
          <w:tcPr>
            <w:tcW w:w="2235" w:type="dxa"/>
            <w:vAlign w:val="center"/>
          </w:tcPr>
          <w:p w14:paraId="2B2C1355">
            <w:pPr>
              <w:jc w:val="center"/>
              <w:rPr>
                <w:color w:val="000000" w:themeColor="text1"/>
                <w:sz w:val="21"/>
                <w:szCs w:val="21"/>
                <w:highlight w:val="yellow"/>
                <w14:textFill>
                  <w14:solidFill>
                    <w14:schemeClr w14:val="tx1"/>
                  </w14:solidFill>
                </w14:textFill>
              </w:rPr>
            </w:pPr>
            <w:r>
              <w:rPr>
                <w:color w:val="000000" w:themeColor="text1"/>
                <w:sz w:val="21"/>
                <w:szCs w:val="21"/>
                <w14:textFill>
                  <w14:solidFill>
                    <w14:schemeClr w14:val="tx1"/>
                  </w14:solidFill>
                </w14:textFill>
              </w:rPr>
              <w:t>0.5H且≥27.0</w:t>
            </w:r>
          </w:p>
        </w:tc>
        <w:tc>
          <w:tcPr>
            <w:tcW w:w="1245" w:type="dxa"/>
            <w:vAlign w:val="center"/>
          </w:tcPr>
          <w:p w14:paraId="54EE6EA8">
            <w:pPr>
              <w:jc w:val="center"/>
              <w:rPr>
                <w:color w:val="000000" w:themeColor="text1"/>
                <w:sz w:val="21"/>
                <w:szCs w:val="21"/>
                <w:highlight w:val="yellow"/>
                <w14:textFill>
                  <w14:solidFill>
                    <w14:schemeClr w14:val="tx1"/>
                  </w14:solidFill>
                </w14:textFill>
              </w:rPr>
            </w:pPr>
            <w:r>
              <w:rPr>
                <w:color w:val="000000" w:themeColor="text1"/>
                <w:sz w:val="21"/>
                <w:szCs w:val="21"/>
                <w14:textFill>
                  <w14:solidFill>
                    <w14:schemeClr w14:val="tx1"/>
                  </w14:solidFill>
                </w14:textFill>
              </w:rPr>
              <w:t>≥0.3H且≥15.0</w:t>
            </w:r>
          </w:p>
        </w:tc>
      </w:tr>
      <w:tr w14:paraId="74C10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 w:hRule="atLeast"/>
        </w:trPr>
        <w:tc>
          <w:tcPr>
            <w:tcW w:w="675" w:type="dxa"/>
            <w:vMerge w:val="continue"/>
            <w:vAlign w:val="center"/>
          </w:tcPr>
          <w:p w14:paraId="66E4F651">
            <w:pPr>
              <w:jc w:val="center"/>
              <w:rPr>
                <w:color w:val="000000" w:themeColor="text1"/>
                <w:sz w:val="21"/>
                <w:szCs w:val="21"/>
                <w14:textFill>
                  <w14:solidFill>
                    <w14:schemeClr w14:val="tx1"/>
                  </w14:solidFill>
                </w14:textFill>
              </w:rPr>
            </w:pPr>
          </w:p>
        </w:tc>
        <w:tc>
          <w:tcPr>
            <w:tcW w:w="1276" w:type="dxa"/>
            <w:vAlign w:val="center"/>
          </w:tcPr>
          <w:p w14:paraId="78CA776F">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次要朝向</w:t>
            </w:r>
          </w:p>
        </w:tc>
        <w:tc>
          <w:tcPr>
            <w:tcW w:w="1605" w:type="dxa"/>
            <w:vAlign w:val="center"/>
          </w:tcPr>
          <w:p w14:paraId="0A54E0C1">
            <w:pPr>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w:t>
            </w:r>
          </w:p>
        </w:tc>
        <w:tc>
          <w:tcPr>
            <w:tcW w:w="1784" w:type="dxa"/>
            <w:vAlign w:val="center"/>
          </w:tcPr>
          <w:p w14:paraId="753EF04D">
            <w:pPr>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w:t>
            </w:r>
          </w:p>
        </w:tc>
        <w:tc>
          <w:tcPr>
            <w:tcW w:w="2235" w:type="dxa"/>
            <w:vAlign w:val="center"/>
          </w:tcPr>
          <w:p w14:paraId="0A95AFEA">
            <w:pPr>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w:t>
            </w:r>
          </w:p>
        </w:tc>
        <w:tc>
          <w:tcPr>
            <w:tcW w:w="1245" w:type="dxa"/>
            <w:vAlign w:val="center"/>
          </w:tcPr>
          <w:p w14:paraId="2B8A53E3">
            <w:pPr>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≥13.0</w:t>
            </w:r>
          </w:p>
        </w:tc>
      </w:tr>
    </w:tbl>
    <w:p w14:paraId="2C59EE7C">
      <w:pPr>
        <w:pStyle w:val="8"/>
        <w:snapToGrid w:val="0"/>
        <w:spacing w:after="0" w:line="360" w:lineRule="exact"/>
        <w:ind w:left="0" w:leftChars="0"/>
        <w:rPr>
          <w:rFonts w:eastAsia="楷体_GB2312"/>
          <w:color w:val="000000" w:themeColor="text1"/>
          <w:szCs w:val="21"/>
          <w14:textFill>
            <w14:solidFill>
              <w14:schemeClr w14:val="tx1"/>
            </w14:solidFill>
          </w14:textFill>
        </w:rPr>
      </w:pPr>
      <w:r>
        <w:rPr>
          <w:rFonts w:eastAsia="楷体_GB2312"/>
          <w:color w:val="000000" w:themeColor="text1"/>
          <w:szCs w:val="21"/>
          <w14:textFill>
            <w14:solidFill>
              <w14:schemeClr w14:val="tx1"/>
            </w14:solidFill>
          </w14:textFill>
        </w:rPr>
        <w:t>注：①H：南侧建筑或东西向建筑平均高度。</w:t>
      </w:r>
    </w:p>
    <w:p w14:paraId="111EC75E">
      <w:pPr>
        <w:pStyle w:val="8"/>
        <w:snapToGrid w:val="0"/>
        <w:spacing w:after="0" w:line="360" w:lineRule="exact"/>
        <w:ind w:left="0" w:leftChars="0" w:firstLine="420" w:firstLineChars="200"/>
        <w:rPr>
          <w:rFonts w:eastAsia="楷体_GB2312"/>
          <w:color w:val="000000" w:themeColor="text1"/>
          <w:szCs w:val="21"/>
          <w14:textFill>
            <w14:solidFill>
              <w14:schemeClr w14:val="tx1"/>
            </w14:solidFill>
          </w14:textFill>
        </w:rPr>
      </w:pPr>
      <w:r>
        <w:rPr>
          <w:rFonts w:eastAsia="楷体_GB2312"/>
          <w:color w:val="000000" w:themeColor="text1"/>
          <w:szCs w:val="21"/>
          <w14:textFill>
            <w14:solidFill>
              <w14:schemeClr w14:val="tx1"/>
            </w14:solidFill>
          </w14:textFill>
        </w:rPr>
        <w:t>②H（多）：多层建筑高度；H（低）：低层建筑高度；H（高）：高层建筑高度。</w:t>
      </w:r>
    </w:p>
    <w:p w14:paraId="64D31D17">
      <w:pPr>
        <w:pStyle w:val="8"/>
        <w:snapToGrid w:val="0"/>
        <w:spacing w:after="0" w:line="360" w:lineRule="exact"/>
        <w:ind w:left="0" w:leftChars="0" w:firstLine="420" w:firstLineChars="200"/>
        <w:rPr>
          <w:rFonts w:eastAsia="楷体_GB2312"/>
          <w:color w:val="000000" w:themeColor="text1"/>
          <w:szCs w:val="21"/>
          <w14:textFill>
            <w14:solidFill>
              <w14:schemeClr w14:val="tx1"/>
            </w14:solidFill>
          </w14:textFill>
        </w:rPr>
      </w:pPr>
      <w:r>
        <w:rPr>
          <w:rFonts w:eastAsia="楷体_GB2312"/>
          <w:color w:val="000000" w:themeColor="text1"/>
          <w:szCs w:val="21"/>
          <w14:textFill>
            <w14:solidFill>
              <w14:schemeClr w14:val="tx1"/>
            </w14:solidFill>
          </w14:textFill>
        </w:rPr>
        <w:t>③建筑高度超过80.0米的建筑工程，按80.0米高度计算建筑间距。</w:t>
      </w:r>
    </w:p>
    <w:p w14:paraId="120FE130">
      <w:pPr>
        <w:pStyle w:val="8"/>
        <w:snapToGrid w:val="0"/>
        <w:spacing w:after="0" w:line="360" w:lineRule="exact"/>
        <w:ind w:left="0" w:leftChars="0" w:firstLine="420" w:firstLineChars="200"/>
        <w:rPr>
          <w:rFonts w:eastAsia="楷体_GB2312"/>
          <w:color w:val="000000" w:themeColor="text1"/>
          <w:szCs w:val="21"/>
          <w14:textFill>
            <w14:solidFill>
              <w14:schemeClr w14:val="tx1"/>
            </w14:solidFill>
          </w14:textFill>
        </w:rPr>
      </w:pPr>
      <w:r>
        <w:rPr>
          <w:rFonts w:eastAsia="楷体_GB2312"/>
          <w:color w:val="000000" w:themeColor="text1"/>
          <w:szCs w:val="21"/>
          <w14:textFill>
            <w14:solidFill>
              <w14:schemeClr w14:val="tx1"/>
            </w14:solidFill>
          </w14:textFill>
        </w:rPr>
        <w:t>④建筑高度超过100米的建筑工程，除按80米高度计算建筑间距外，还需按日照分析确定建筑间距。</w:t>
      </w:r>
    </w:p>
    <w:p w14:paraId="063E9C26">
      <w:pPr>
        <w:pStyle w:val="8"/>
        <w:snapToGrid w:val="0"/>
        <w:spacing w:after="0" w:line="360" w:lineRule="exact"/>
        <w:ind w:left="0" w:leftChars="0" w:firstLine="420" w:firstLineChars="200"/>
        <w:rPr>
          <w:rFonts w:eastAsia="楷体_GB2312"/>
          <w:color w:val="000000" w:themeColor="text1"/>
          <w:szCs w:val="21"/>
          <w14:textFill>
            <w14:solidFill>
              <w14:schemeClr w14:val="tx1"/>
            </w14:solidFill>
          </w14:textFill>
        </w:rPr>
      </w:pPr>
      <w:r>
        <w:rPr>
          <w:rFonts w:eastAsia="楷体_GB2312"/>
          <w:color w:val="000000" w:themeColor="text1"/>
          <w:szCs w:val="21"/>
          <w14:textFill>
            <w14:solidFill>
              <w14:schemeClr w14:val="tx1"/>
            </w14:solidFill>
          </w14:textFill>
        </w:rPr>
        <w:t>⑤一分区内</w:t>
      </w:r>
      <w:r>
        <w:rPr>
          <w:rFonts w:hint="eastAsia" w:eastAsia="楷体_GB2312"/>
          <w:color w:val="000000" w:themeColor="text1"/>
          <w:szCs w:val="21"/>
          <w14:textFill>
            <w14:solidFill>
              <w14:schemeClr w14:val="tx1"/>
            </w14:solidFill>
          </w14:textFill>
        </w:rPr>
        <w:t>旧城改造或城市有机更新项目的</w:t>
      </w:r>
      <w:r>
        <w:rPr>
          <w:rFonts w:eastAsia="楷体_GB2312"/>
          <w:color w:val="000000" w:themeColor="text1"/>
          <w:szCs w:val="21"/>
          <w14:textFill>
            <w14:solidFill>
              <w14:schemeClr w14:val="tx1"/>
            </w14:solidFill>
          </w14:textFill>
        </w:rPr>
        <w:t>建筑间距</w:t>
      </w:r>
      <w:r>
        <w:rPr>
          <w:rFonts w:hint="eastAsia" w:eastAsia="楷体_GB2312"/>
          <w:color w:val="000000" w:themeColor="text1"/>
          <w:szCs w:val="21"/>
          <w14:textFill>
            <w14:solidFill>
              <w14:schemeClr w14:val="tx1"/>
            </w14:solidFill>
          </w14:textFill>
        </w:rPr>
        <w:t>可</w:t>
      </w:r>
      <w:r>
        <w:rPr>
          <w:rFonts w:eastAsia="楷体_GB2312"/>
          <w:color w:val="000000" w:themeColor="text1"/>
          <w:szCs w:val="21"/>
          <w14:textFill>
            <w14:solidFill>
              <w14:schemeClr w14:val="tx1"/>
            </w14:solidFill>
          </w14:textFill>
        </w:rPr>
        <w:t>按表内指标的0.9系数计算</w:t>
      </w:r>
      <w:r>
        <w:rPr>
          <w:rFonts w:hint="eastAsia" w:eastAsia="楷体_GB2312"/>
          <w:color w:val="000000" w:themeColor="text1"/>
          <w:szCs w:val="21"/>
          <w14:textFill>
            <w14:solidFill>
              <w14:schemeClr w14:val="tx1"/>
            </w14:solidFill>
          </w14:textFill>
        </w:rPr>
        <w:t>，三分区住宅建筑在满足消防安全前提条件下可适当下调，原则上不低于表内指标的0.8系数。</w:t>
      </w:r>
    </w:p>
    <w:p w14:paraId="2AF909A4">
      <w:pPr>
        <w:pStyle w:val="8"/>
        <w:snapToGrid w:val="0"/>
        <w:spacing w:after="0" w:line="360" w:lineRule="exact"/>
        <w:ind w:left="0" w:leftChars="0" w:firstLine="420" w:firstLineChars="200"/>
        <w:rPr>
          <w:rFonts w:eastAsia="楷体_GB2312"/>
          <w:color w:val="000000" w:themeColor="text1"/>
          <w:szCs w:val="21"/>
          <w14:textFill>
            <w14:solidFill>
              <w14:schemeClr w14:val="tx1"/>
            </w14:solidFill>
          </w14:textFill>
        </w:rPr>
      </w:pPr>
      <w:r>
        <w:rPr>
          <w:rFonts w:eastAsia="楷体_GB2312"/>
          <w:color w:val="000000" w:themeColor="text1"/>
          <w:szCs w:val="21"/>
          <w14:textFill>
            <w14:solidFill>
              <w14:schemeClr w14:val="tx1"/>
            </w14:solidFill>
          </w14:textFill>
        </w:rPr>
        <w:t>⑥多低层建筑山墙面宽大于18.0米时，按长边控制间距；高层建筑次要朝向面宽大于20.0米时，按主要朝向控制间距。</w:t>
      </w:r>
    </w:p>
    <w:p w14:paraId="2EF39605">
      <w:pPr>
        <w:pStyle w:val="8"/>
        <w:snapToGrid w:val="0"/>
        <w:spacing w:after="0" w:line="360" w:lineRule="exact"/>
        <w:ind w:left="0" w:leftChars="0" w:firstLine="420" w:firstLineChars="200"/>
        <w:rPr>
          <w:rFonts w:eastAsia="楷体_GB2312"/>
          <w:color w:val="000000" w:themeColor="text1"/>
          <w:szCs w:val="21"/>
          <w14:textFill>
            <w14:solidFill>
              <w14:schemeClr w14:val="tx1"/>
            </w14:solidFill>
          </w14:textFill>
        </w:rPr>
      </w:pPr>
      <w:r>
        <w:rPr>
          <w:rFonts w:eastAsia="楷体_GB2312"/>
          <w:color w:val="000000" w:themeColor="text1"/>
          <w:szCs w:val="21"/>
          <w14:textFill>
            <w14:solidFill>
              <w14:schemeClr w14:val="tx1"/>
            </w14:solidFill>
          </w14:textFill>
        </w:rPr>
        <w:t>⑦建筑高度27.0米以下的多层II类住宅建筑，主要朝向建筑间距可按不小于21.0米控制。建筑高度27.0米</w:t>
      </w:r>
      <w:r>
        <w:rPr>
          <w:rFonts w:hint="eastAsia" w:eastAsia="楷体_GB2312"/>
          <w:color w:val="000000" w:themeColor="text1"/>
          <w:szCs w:val="21"/>
          <w14:textFill>
            <w14:solidFill>
              <w14:schemeClr w14:val="tx1"/>
            </w14:solidFill>
          </w14:textFill>
        </w:rPr>
        <w:t>—</w:t>
      </w:r>
      <w:r>
        <w:rPr>
          <w:rFonts w:eastAsia="楷体_GB2312"/>
          <w:color w:val="000000" w:themeColor="text1"/>
          <w:szCs w:val="21"/>
          <w14:textFill>
            <w14:solidFill>
              <w14:schemeClr w14:val="tx1"/>
            </w14:solidFill>
          </w14:textFill>
        </w:rPr>
        <w:t>35米（不含27米）的高层I类住宅建筑，主要朝向建筑间距可按不小于24.0米控制。</w:t>
      </w:r>
    </w:p>
    <w:p w14:paraId="51CF158F">
      <w:pPr>
        <w:pStyle w:val="8"/>
        <w:snapToGrid w:val="0"/>
        <w:spacing w:after="0" w:line="360" w:lineRule="exact"/>
        <w:ind w:left="0" w:leftChars="0" w:firstLine="420" w:firstLineChars="200"/>
        <w:rPr>
          <w:rFonts w:eastAsia="楷体_GB2312"/>
          <w:color w:val="000000" w:themeColor="text1"/>
          <w:szCs w:val="21"/>
          <w14:textFill>
            <w14:solidFill>
              <w14:schemeClr w14:val="tx1"/>
            </w14:solidFill>
          </w14:textFill>
        </w:rPr>
      </w:pPr>
      <w:r>
        <w:rPr>
          <w:rFonts w:eastAsia="楷体_GB2312"/>
          <w:color w:val="000000" w:themeColor="text1"/>
          <w:szCs w:val="21"/>
          <w14:textFill>
            <w14:solidFill>
              <w14:schemeClr w14:val="tx1"/>
            </w14:solidFill>
          </w14:textFill>
        </w:rPr>
        <w:t>⑧建筑间距为两幢建筑主要外墙面的直线距离。</w:t>
      </w:r>
    </w:p>
    <w:p w14:paraId="107ADD54">
      <w:pPr>
        <w:pStyle w:val="8"/>
        <w:snapToGrid w:val="0"/>
        <w:spacing w:after="0" w:line="360" w:lineRule="exact"/>
        <w:ind w:left="0" w:leftChars="0" w:firstLine="420" w:firstLineChars="200"/>
        <w:rPr>
          <w:rFonts w:eastAsia="楷体_GB2312"/>
          <w:color w:val="000000" w:themeColor="text1"/>
          <w:szCs w:val="21"/>
          <w14:textFill>
            <w14:solidFill>
              <w14:schemeClr w14:val="tx1"/>
            </w14:solidFill>
          </w14:textFill>
        </w:rPr>
      </w:pPr>
      <w:r>
        <w:rPr>
          <w:rFonts w:eastAsia="楷体_GB2312"/>
          <w:color w:val="000000" w:themeColor="text1"/>
          <w:szCs w:val="21"/>
          <w14:textFill>
            <w14:solidFill>
              <w14:schemeClr w14:val="tx1"/>
            </w14:solidFill>
          </w14:textFill>
        </w:rPr>
        <w:t>⑨成组布置的低层住宅建筑，当各组建筑基底面积分别小于2500平方米时，组内建筑山墙与山墙的间距按不小于4.0米控制。组与组之间的最小间距仍按表4</w:t>
      </w:r>
      <w:r>
        <w:rPr>
          <w:rFonts w:hint="eastAsia" w:eastAsia="楷体_GB2312"/>
          <w:color w:val="000000" w:themeColor="text1"/>
          <w:szCs w:val="21"/>
          <w14:textFill>
            <w14:solidFill>
              <w14:schemeClr w14:val="tx1"/>
            </w14:solidFill>
          </w14:textFill>
        </w:rPr>
        <w:t>—</w:t>
      </w:r>
      <w:r>
        <w:rPr>
          <w:rFonts w:eastAsia="楷体_GB2312"/>
          <w:color w:val="000000" w:themeColor="text1"/>
          <w:szCs w:val="21"/>
          <w14:textFill>
            <w14:solidFill>
              <w14:schemeClr w14:val="tx1"/>
            </w14:solidFill>
          </w14:textFill>
        </w:rPr>
        <w:t>1控制。</w:t>
      </w:r>
    </w:p>
    <w:p w14:paraId="548992D7">
      <w:pPr>
        <w:pStyle w:val="8"/>
        <w:snapToGrid w:val="0"/>
        <w:spacing w:after="0" w:line="360" w:lineRule="exact"/>
        <w:ind w:left="0" w:leftChars="0" w:firstLine="420" w:firstLineChars="200"/>
        <w:rPr>
          <w:rFonts w:eastAsia="楷体_GB2312"/>
          <w:color w:val="000000" w:themeColor="text1"/>
          <w:szCs w:val="21"/>
          <w14:textFill>
            <w14:solidFill>
              <w14:schemeClr w14:val="tx1"/>
            </w14:solidFill>
          </w14:textFill>
        </w:rPr>
      </w:pPr>
      <w:r>
        <w:rPr>
          <w:rFonts w:eastAsia="楷体_GB2312"/>
          <w:color w:val="000000" w:themeColor="text1"/>
          <w:szCs w:val="21"/>
          <w14:textFill>
            <w14:solidFill>
              <w14:schemeClr w14:val="tx1"/>
            </w14:solidFill>
          </w14:textFill>
        </w:rPr>
        <w:t>⑩高层建筑还需进行日照分析，高层建筑与相邻地块建筑的间距既要符合表4</w:t>
      </w:r>
      <w:r>
        <w:rPr>
          <w:rFonts w:hint="eastAsia" w:eastAsia="楷体_GB2312"/>
          <w:color w:val="000000" w:themeColor="text1"/>
          <w:szCs w:val="21"/>
          <w14:textFill>
            <w14:solidFill>
              <w14:schemeClr w14:val="tx1"/>
            </w14:solidFill>
          </w14:textFill>
        </w:rPr>
        <w:t>—</w:t>
      </w:r>
      <w:r>
        <w:rPr>
          <w:rFonts w:eastAsia="楷体_GB2312"/>
          <w:color w:val="000000" w:themeColor="text1"/>
          <w:szCs w:val="21"/>
          <w14:textFill>
            <w14:solidFill>
              <w14:schemeClr w14:val="tx1"/>
            </w14:solidFill>
          </w14:textFill>
        </w:rPr>
        <w:t>1，也要满足日照要求。</w:t>
      </w:r>
    </w:p>
    <w:p w14:paraId="3CD32C34">
      <w:pPr>
        <w:spacing w:line="54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（二）住宅建筑高层主要朝向、多低层长边成角度布置时的最小间距按表4</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2控制。</w:t>
      </w:r>
    </w:p>
    <w:p w14:paraId="0C53A887">
      <w:pPr>
        <w:spacing w:line="560" w:lineRule="exact"/>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表4</w:t>
      </w:r>
      <w:r>
        <w:rPr>
          <w:rFonts w:hint="eastAsia"/>
          <w:color w:val="000000" w:themeColor="text1"/>
          <w:sz w:val="28"/>
          <w:szCs w:val="28"/>
          <w14:textFill>
            <w14:solidFill>
              <w14:schemeClr w14:val="tx1"/>
            </w14:solidFill>
          </w14:textFill>
        </w:rPr>
        <w:t>—</w:t>
      </w:r>
      <w:r>
        <w:rPr>
          <w:color w:val="000000" w:themeColor="text1"/>
          <w:sz w:val="28"/>
          <w:szCs w:val="28"/>
          <w14:textFill>
            <w14:solidFill>
              <w14:schemeClr w14:val="tx1"/>
            </w14:solidFill>
          </w14:textFill>
        </w:rPr>
        <w:t>2  住宅建筑高层主要朝向、多低层长边成角度布置的最小间距</w:t>
      </w:r>
    </w:p>
    <w:tbl>
      <w:tblPr>
        <w:tblStyle w:val="14"/>
        <w:tblW w:w="8648" w:type="dxa"/>
        <w:tblInd w:w="2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4"/>
        <w:gridCol w:w="6814"/>
      </w:tblGrid>
      <w:tr w14:paraId="7E830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1834" w:type="dxa"/>
            <w:vAlign w:val="center"/>
          </w:tcPr>
          <w:p w14:paraId="0074EA29">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建筑间夹角</w:t>
            </w:r>
          </w:p>
        </w:tc>
        <w:tc>
          <w:tcPr>
            <w:tcW w:w="6814" w:type="dxa"/>
            <w:vAlign w:val="center"/>
          </w:tcPr>
          <w:p w14:paraId="2047D354">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最小间距</w:t>
            </w:r>
          </w:p>
        </w:tc>
      </w:tr>
      <w:tr w14:paraId="77678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1834" w:type="dxa"/>
            <w:vAlign w:val="center"/>
          </w:tcPr>
          <w:p w14:paraId="047D4E3F">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a≤30°</w:t>
            </w:r>
          </w:p>
        </w:tc>
        <w:tc>
          <w:tcPr>
            <w:tcW w:w="6814" w:type="dxa"/>
            <w:vAlign w:val="center"/>
          </w:tcPr>
          <w:p w14:paraId="562F80A8">
            <w:pPr>
              <w:rPr>
                <w:color w:val="000000" w:themeColor="text1"/>
                <w:sz w:val="24"/>
                <w14:textFill>
                  <w14:solidFill>
                    <w14:schemeClr w14:val="tx1"/>
                  </w14:solidFill>
                </w14:textFill>
              </w:rPr>
            </w:pPr>
            <w:r>
              <w:rPr>
                <w:color w:val="000000" w:themeColor="text1"/>
                <w:sz w:val="24"/>
                <w14:textFill>
                  <w14:solidFill>
                    <w14:schemeClr w14:val="tx1"/>
                  </w14:solidFill>
                </w14:textFill>
              </w:rPr>
              <w:t>按表4</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1中主要朝向（长边）对主要朝向（长边）规定控制</w:t>
            </w:r>
          </w:p>
        </w:tc>
      </w:tr>
      <w:tr w14:paraId="763C2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834" w:type="dxa"/>
            <w:vAlign w:val="center"/>
          </w:tcPr>
          <w:p w14:paraId="59F007B5">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30°＜a≤60°</w:t>
            </w:r>
          </w:p>
        </w:tc>
        <w:tc>
          <w:tcPr>
            <w:tcW w:w="6814" w:type="dxa"/>
            <w:vAlign w:val="center"/>
          </w:tcPr>
          <w:p w14:paraId="68649886">
            <w:pPr>
              <w:rPr>
                <w:color w:val="000000" w:themeColor="text1"/>
                <w:sz w:val="24"/>
                <w14:textFill>
                  <w14:solidFill>
                    <w14:schemeClr w14:val="tx1"/>
                  </w14:solidFill>
                </w14:textFill>
              </w:rPr>
            </w:pPr>
            <w:r>
              <w:rPr>
                <w:color w:val="000000" w:themeColor="text1"/>
                <w:sz w:val="24"/>
                <w14:textFill>
                  <w14:solidFill>
                    <w14:schemeClr w14:val="tx1"/>
                  </w14:solidFill>
                </w14:textFill>
              </w:rPr>
              <w:t>按表4</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1中主要朝向（长边）对主要朝向（长边）规定的0.8倍控制</w:t>
            </w:r>
          </w:p>
        </w:tc>
      </w:tr>
      <w:tr w14:paraId="4DE05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trPr>
        <w:tc>
          <w:tcPr>
            <w:tcW w:w="1834" w:type="dxa"/>
            <w:vAlign w:val="center"/>
          </w:tcPr>
          <w:p w14:paraId="7D36E721">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a＞60°</w:t>
            </w:r>
          </w:p>
        </w:tc>
        <w:tc>
          <w:tcPr>
            <w:tcW w:w="6814" w:type="dxa"/>
            <w:vAlign w:val="center"/>
          </w:tcPr>
          <w:p w14:paraId="3E4DE895">
            <w:pPr>
              <w:rPr>
                <w:color w:val="000000" w:themeColor="text1"/>
                <w:sz w:val="24"/>
                <w14:textFill>
                  <w14:solidFill>
                    <w14:schemeClr w14:val="tx1"/>
                  </w14:solidFill>
                </w14:textFill>
              </w:rPr>
            </w:pPr>
            <w:r>
              <w:rPr>
                <w:color w:val="000000" w:themeColor="text1"/>
                <w:sz w:val="24"/>
                <w14:textFill>
                  <w14:solidFill>
                    <w14:schemeClr w14:val="tx1"/>
                  </w14:solidFill>
                </w14:textFill>
              </w:rPr>
              <w:t>按表4</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1中主要朝向（长边）对次要朝向（山墙）规定控制</w:t>
            </w:r>
          </w:p>
        </w:tc>
      </w:tr>
    </w:tbl>
    <w:p w14:paraId="33A52499">
      <w:pPr>
        <w:pStyle w:val="8"/>
        <w:snapToGrid w:val="0"/>
        <w:spacing w:after="0" w:line="360" w:lineRule="exact"/>
        <w:ind w:left="0" w:leftChars="0" w:firstLine="420" w:firstLineChars="200"/>
        <w:rPr>
          <w:rFonts w:eastAsia="楷体_GB2312"/>
          <w:color w:val="000000" w:themeColor="text1"/>
          <w:szCs w:val="21"/>
          <w14:textFill>
            <w14:solidFill>
              <w14:schemeClr w14:val="tx1"/>
            </w14:solidFill>
          </w14:textFill>
        </w:rPr>
      </w:pPr>
      <w:r>
        <w:rPr>
          <w:rFonts w:eastAsia="楷体_GB2312"/>
          <w:color w:val="000000" w:themeColor="text1"/>
          <w:szCs w:val="21"/>
          <w14:textFill>
            <w14:solidFill>
              <w14:schemeClr w14:val="tx1"/>
            </w14:solidFill>
          </w14:textFill>
        </w:rPr>
        <w:t>注：①表中a指两栋居住建筑的锐角夹角。</w:t>
      </w:r>
    </w:p>
    <w:p w14:paraId="6179DE44">
      <w:pPr>
        <w:pStyle w:val="8"/>
        <w:snapToGrid w:val="0"/>
        <w:spacing w:after="0" w:line="360" w:lineRule="exact"/>
        <w:ind w:left="0" w:leftChars="0" w:firstLine="420" w:firstLineChars="200"/>
        <w:rPr>
          <w:rFonts w:eastAsia="楷体_GB2312"/>
          <w:color w:val="000000" w:themeColor="text1"/>
          <w:szCs w:val="21"/>
          <w14:textFill>
            <w14:solidFill>
              <w14:schemeClr w14:val="tx1"/>
            </w14:solidFill>
          </w14:textFill>
        </w:rPr>
      </w:pPr>
      <w:r>
        <w:rPr>
          <w:rFonts w:eastAsia="楷体_GB2312"/>
          <w:color w:val="000000" w:themeColor="text1"/>
          <w:szCs w:val="21"/>
          <w14:textFill>
            <w14:solidFill>
              <w14:schemeClr w14:val="tx1"/>
            </w14:solidFill>
          </w14:textFill>
        </w:rPr>
        <w:t xml:space="preserve">    ②如东西向与南北向同时存在，计算南北向。</w:t>
      </w:r>
    </w:p>
    <w:p w14:paraId="1B50CAFF">
      <w:pPr>
        <w:pStyle w:val="8"/>
        <w:snapToGrid w:val="0"/>
        <w:spacing w:after="0" w:line="360" w:lineRule="exact"/>
        <w:ind w:left="0" w:leftChars="0" w:firstLine="420" w:firstLineChars="200"/>
        <w:rPr>
          <w:rFonts w:eastAsia="楷体_GB2312"/>
          <w:color w:val="000000" w:themeColor="text1"/>
          <w:szCs w:val="21"/>
          <w14:textFill>
            <w14:solidFill>
              <w14:schemeClr w14:val="tx1"/>
            </w14:solidFill>
          </w14:textFill>
        </w:rPr>
      </w:pPr>
      <w:r>
        <w:rPr>
          <w:rFonts w:eastAsia="楷体_GB2312"/>
          <w:color w:val="000000" w:themeColor="text1"/>
          <w:szCs w:val="21"/>
          <w14:textFill>
            <w14:solidFill>
              <w14:schemeClr w14:val="tx1"/>
            </w14:solidFill>
          </w14:textFill>
        </w:rPr>
        <w:t xml:space="preserve">    ③建筑间距为两幢建筑主要外墙面的最小距离。</w:t>
      </w:r>
    </w:p>
    <w:p w14:paraId="05884885">
      <w:pPr>
        <w:snapToGrid w:val="0"/>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第二十</w:t>
      </w:r>
      <w:r>
        <w:rPr>
          <w:rFonts w:hint="eastAsia" w:eastAsia="楷体_GB2312"/>
          <w:color w:val="000000" w:themeColor="text1"/>
          <w:szCs w:val="32"/>
          <w14:textFill>
            <w14:solidFill>
              <w14:schemeClr w14:val="tx1"/>
            </w14:solidFill>
          </w14:textFill>
        </w:rPr>
        <w:t>五</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非住宅建筑与居住建筑的间距在满足日照间距及防火间距的前提下，应符合以下规定：</w:t>
      </w:r>
    </w:p>
    <w:p w14:paraId="5852CC6A">
      <w:pPr>
        <w:snapToGrid w:val="0"/>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（一）非住宅建筑位于居住建筑南侧时，按表4</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1的规定控制。</w:t>
      </w:r>
    </w:p>
    <w:p w14:paraId="7B78DDE3">
      <w:pPr>
        <w:snapToGrid w:val="0"/>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（二）非住宅建筑位于居住建筑东、西、北侧时，按表4</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1的0.9系数计算。</w:t>
      </w:r>
    </w:p>
    <w:p w14:paraId="66E5566F">
      <w:pPr>
        <w:snapToGrid w:val="0"/>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（三）学校（幼儿园）教学楼、医院住院楼及养老院住宿楼，按表4</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1的1.1倍系数计算。</w:t>
      </w:r>
    </w:p>
    <w:p w14:paraId="0731BBAA">
      <w:pPr>
        <w:snapToGrid w:val="0"/>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第二十</w:t>
      </w:r>
      <w:r>
        <w:rPr>
          <w:rFonts w:hint="eastAsia" w:eastAsia="楷体_GB2312"/>
          <w:color w:val="000000" w:themeColor="text1"/>
          <w:szCs w:val="32"/>
          <w14:textFill>
            <w14:solidFill>
              <w14:schemeClr w14:val="tx1"/>
            </w14:solidFill>
          </w14:textFill>
        </w:rPr>
        <w:t>六</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非住宅建筑之间的间距在满足日照间距及防火间距的前提下，</w:t>
      </w:r>
      <w:r>
        <w:rPr>
          <w:rFonts w:hint="eastAsia"/>
          <w:color w:val="000000" w:themeColor="text1"/>
          <w:szCs w:val="32"/>
          <w14:textFill>
            <w14:solidFill>
              <w14:schemeClr w14:val="tx1"/>
            </w14:solidFill>
          </w14:textFill>
        </w:rPr>
        <w:t>一分区、二分区丹棱大道以西经开区生活区</w:t>
      </w:r>
      <w:r>
        <w:rPr>
          <w:color w:val="000000" w:themeColor="text1"/>
          <w:szCs w:val="32"/>
          <w14:textFill>
            <w14:solidFill>
              <w14:schemeClr w14:val="tx1"/>
            </w14:solidFill>
          </w14:textFill>
        </w:rPr>
        <w:t>按表4</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1的0.8系数计算</w:t>
      </w:r>
      <w:r>
        <w:rPr>
          <w:rFonts w:hint="eastAsia"/>
          <w:color w:val="000000" w:themeColor="text1"/>
          <w:szCs w:val="32"/>
          <w14:textFill>
            <w14:solidFill>
              <w14:schemeClr w14:val="tx1"/>
            </w14:solidFill>
          </w14:textFill>
        </w:rPr>
        <w:t>，三分区可适当下调，原则上</w:t>
      </w:r>
      <w:r>
        <w:rPr>
          <w:color w:val="000000" w:themeColor="text1"/>
          <w:szCs w:val="32"/>
          <w14:textFill>
            <w14:solidFill>
              <w14:schemeClr w14:val="tx1"/>
            </w14:solidFill>
          </w14:textFill>
        </w:rPr>
        <w:t>按表4</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1的0.</w:t>
      </w:r>
      <w:r>
        <w:rPr>
          <w:rFonts w:hint="eastAsia"/>
          <w:color w:val="000000" w:themeColor="text1"/>
          <w:szCs w:val="32"/>
          <w14:textFill>
            <w14:solidFill>
              <w14:schemeClr w14:val="tx1"/>
            </w14:solidFill>
          </w14:textFill>
        </w:rPr>
        <w:t>65</w:t>
      </w:r>
      <w:r>
        <w:rPr>
          <w:color w:val="000000" w:themeColor="text1"/>
          <w:szCs w:val="32"/>
          <w14:textFill>
            <w14:solidFill>
              <w14:schemeClr w14:val="tx1"/>
            </w14:solidFill>
          </w14:textFill>
        </w:rPr>
        <w:t>系数计算。</w:t>
      </w:r>
      <w:r>
        <w:rPr>
          <w:rFonts w:hint="eastAsia"/>
          <w:color w:val="000000" w:themeColor="text1"/>
          <w:szCs w:val="32"/>
          <w14:textFill>
            <w14:solidFill>
              <w14:schemeClr w14:val="tx1"/>
            </w14:solidFill>
          </w14:textFill>
        </w:rPr>
        <w:t>二分区</w:t>
      </w:r>
      <w:r>
        <w:rPr>
          <w:color w:val="000000" w:themeColor="text1"/>
          <w:szCs w:val="32"/>
          <w14:textFill>
            <w14:solidFill>
              <w14:schemeClr w14:val="tx1"/>
            </w14:solidFill>
          </w14:textFill>
        </w:rPr>
        <w:t>生产性建筑按国家行业规范执行。</w:t>
      </w:r>
    </w:p>
    <w:p w14:paraId="19F92C59">
      <w:pPr>
        <w:snapToGrid w:val="0"/>
        <w:spacing w:line="580" w:lineRule="exact"/>
        <w:ind w:firstLine="640" w:firstLineChars="200"/>
        <w:rPr>
          <w:color w:val="000000" w:themeColor="text1"/>
          <w:szCs w:val="32"/>
          <w14:textFill>
            <w14:solidFill>
              <w14:schemeClr w14:val="tx1"/>
            </w14:solidFill>
          </w14:textFill>
        </w:rPr>
      </w:pPr>
    </w:p>
    <w:p w14:paraId="0726FFAB">
      <w:pPr>
        <w:spacing w:line="580" w:lineRule="exact"/>
        <w:jc w:val="center"/>
        <w:rPr>
          <w:rFonts w:eastAsia="黑体"/>
          <w:color w:val="000000" w:themeColor="text1"/>
          <w:szCs w:val="32"/>
          <w14:textFill>
            <w14:solidFill>
              <w14:schemeClr w14:val="tx1"/>
            </w14:solidFill>
          </w14:textFill>
        </w:rPr>
      </w:pPr>
      <w:r>
        <w:rPr>
          <w:rFonts w:eastAsia="黑体"/>
          <w:color w:val="000000" w:themeColor="text1"/>
          <w:szCs w:val="32"/>
          <w14:textFill>
            <w14:solidFill>
              <w14:schemeClr w14:val="tx1"/>
            </w14:solidFill>
          </w14:textFill>
        </w:rPr>
        <w:t>第五章   建筑退让</w:t>
      </w:r>
    </w:p>
    <w:p w14:paraId="7E2AF279">
      <w:pPr>
        <w:spacing w:line="580" w:lineRule="exact"/>
        <w:rPr>
          <w:rFonts w:eastAsia="黑体"/>
          <w:color w:val="000000" w:themeColor="text1"/>
          <w:sz w:val="30"/>
          <w14:textFill>
            <w14:solidFill>
              <w14:schemeClr w14:val="tx1"/>
            </w14:solidFill>
          </w14:textFill>
        </w:rPr>
      </w:pPr>
    </w:p>
    <w:p w14:paraId="50A5045E">
      <w:pPr>
        <w:spacing w:line="580" w:lineRule="exact"/>
        <w:ind w:firstLine="615"/>
        <w:rPr>
          <w:color w:val="000000" w:themeColor="text1"/>
          <w:spacing w:val="-4"/>
          <w:szCs w:val="32"/>
          <w14:textFill>
            <w14:solidFill>
              <w14:schemeClr w14:val="tx1"/>
            </w14:solidFill>
          </w14:textFill>
        </w:rPr>
      </w:pPr>
      <w:r>
        <w:rPr>
          <w:rFonts w:eastAsia="楷体_GB2312"/>
          <w:color w:val="000000" w:themeColor="text1"/>
          <w:szCs w:val="32"/>
          <w14:textFill>
            <w14:solidFill>
              <w14:schemeClr w14:val="tx1"/>
            </w14:solidFill>
          </w14:textFill>
        </w:rPr>
        <w:t>第二十</w:t>
      </w:r>
      <w:r>
        <w:rPr>
          <w:rFonts w:hint="eastAsia" w:eastAsia="楷体_GB2312"/>
          <w:color w:val="000000" w:themeColor="text1"/>
          <w:szCs w:val="32"/>
          <w14:textFill>
            <w14:solidFill>
              <w14:schemeClr w14:val="tx1"/>
            </w14:solidFill>
          </w14:textFill>
        </w:rPr>
        <w:t>七</w:t>
      </w:r>
      <w:r>
        <w:rPr>
          <w:rFonts w:eastAsia="楷体_GB2312"/>
          <w:color w:val="000000" w:themeColor="text1"/>
          <w:szCs w:val="32"/>
          <w14:textFill>
            <w14:solidFill>
              <w14:schemeClr w14:val="tx1"/>
            </w14:solidFill>
          </w14:textFill>
        </w:rPr>
        <w:t>条</w:t>
      </w:r>
      <w:r>
        <w:rPr>
          <w:color w:val="000000" w:themeColor="text1"/>
          <w:spacing w:val="-4"/>
          <w:szCs w:val="32"/>
          <w14:textFill>
            <w14:solidFill>
              <w14:schemeClr w14:val="tx1"/>
            </w14:solidFill>
          </w14:textFill>
        </w:rPr>
        <w:t xml:space="preserve">  沿建筑用地红线和城市规划道路、公路、河道、文物保护单位控制地带、铁路两侧以及电力线路、燃气管线等保护带的建筑物，与用地外建筑物距离除符合第四章间距规定外，还应符合消防、环保、防灾和交通等相关规范的要求，必要时征求相关部门意见。</w:t>
      </w:r>
    </w:p>
    <w:p w14:paraId="65A56017">
      <w:pPr>
        <w:spacing w:line="580" w:lineRule="exact"/>
        <w:ind w:firstLine="615"/>
        <w:rPr>
          <w:color w:val="000000" w:themeColor="text1"/>
          <w:spacing w:val="-4"/>
          <w:szCs w:val="32"/>
          <w14:textFill>
            <w14:solidFill>
              <w14:schemeClr w14:val="tx1"/>
            </w14:solidFill>
          </w14:textFill>
        </w:rPr>
      </w:pPr>
      <w:r>
        <w:rPr>
          <w:rFonts w:eastAsia="楷体_GB2312"/>
          <w:color w:val="000000" w:themeColor="text1"/>
          <w:szCs w:val="32"/>
          <w14:textFill>
            <w14:solidFill>
              <w14:schemeClr w14:val="tx1"/>
            </w14:solidFill>
          </w14:textFill>
        </w:rPr>
        <w:t>第二十</w:t>
      </w:r>
      <w:r>
        <w:rPr>
          <w:rFonts w:hint="eastAsia" w:eastAsia="楷体_GB2312"/>
          <w:color w:val="000000" w:themeColor="text1"/>
          <w:szCs w:val="32"/>
          <w14:textFill>
            <w14:solidFill>
              <w14:schemeClr w14:val="tx1"/>
            </w14:solidFill>
          </w14:textFill>
        </w:rPr>
        <w:t>八</w:t>
      </w:r>
      <w:r>
        <w:rPr>
          <w:rFonts w:eastAsia="楷体_GB2312"/>
          <w:color w:val="000000" w:themeColor="text1"/>
          <w:szCs w:val="32"/>
          <w14:textFill>
            <w14:solidFill>
              <w14:schemeClr w14:val="tx1"/>
            </w14:solidFill>
          </w14:textFill>
        </w:rPr>
        <w:t>条</w:t>
      </w:r>
      <w:r>
        <w:rPr>
          <w:color w:val="000000" w:themeColor="text1"/>
          <w:spacing w:val="-4"/>
          <w:szCs w:val="32"/>
          <w14:textFill>
            <w14:solidFill>
              <w14:schemeClr w14:val="tx1"/>
            </w14:solidFill>
          </w14:textFill>
        </w:rPr>
        <w:t xml:space="preserve">  建筑退让要充分考虑城市主次干道、滨水区、</w:t>
      </w:r>
      <w:r>
        <w:rPr>
          <w:color w:val="000000" w:themeColor="text1"/>
          <w:szCs w:val="32"/>
          <w14:textFill>
            <w14:solidFill>
              <w14:schemeClr w14:val="tx1"/>
            </w14:solidFill>
          </w14:textFill>
        </w:rPr>
        <w:t>城市公园、广场</w:t>
      </w:r>
      <w:r>
        <w:rPr>
          <w:color w:val="000000" w:themeColor="text1"/>
          <w:spacing w:val="-4"/>
          <w:szCs w:val="32"/>
          <w14:textFill>
            <w14:solidFill>
              <w14:schemeClr w14:val="tx1"/>
            </w14:solidFill>
          </w14:textFill>
        </w:rPr>
        <w:t>的视觉景观效果，临街居住建筑与道路红线之间布置以园林绿化为主的景观过渡带，塑造良好的城市景观形象。</w:t>
      </w:r>
    </w:p>
    <w:p w14:paraId="1464394F">
      <w:pPr>
        <w:spacing w:line="580" w:lineRule="exact"/>
        <w:ind w:firstLine="615"/>
        <w:rPr>
          <w:color w:val="000000" w:themeColor="text1"/>
          <w:spacing w:val="-4"/>
          <w:szCs w:val="32"/>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二十九</w:t>
      </w:r>
      <w:r>
        <w:rPr>
          <w:rFonts w:eastAsia="楷体_GB2312"/>
          <w:color w:val="000000" w:themeColor="text1"/>
          <w:szCs w:val="32"/>
          <w14:textFill>
            <w14:solidFill>
              <w14:schemeClr w14:val="tx1"/>
            </w14:solidFill>
          </w14:textFill>
        </w:rPr>
        <w:t>条</w:t>
      </w:r>
      <w:r>
        <w:rPr>
          <w:color w:val="000000" w:themeColor="text1"/>
          <w:spacing w:val="-4"/>
          <w:szCs w:val="32"/>
          <w14:textFill>
            <w14:solidFill>
              <w14:schemeClr w14:val="tx1"/>
            </w14:solidFill>
          </w14:textFill>
        </w:rPr>
        <w:t xml:space="preserve">  建筑后退非临道路用地界线的最小距离按表5</w:t>
      </w:r>
      <w:r>
        <w:rPr>
          <w:rFonts w:hint="eastAsia"/>
          <w:color w:val="000000" w:themeColor="text1"/>
          <w:spacing w:val="-4"/>
          <w:szCs w:val="32"/>
          <w14:textFill>
            <w14:solidFill>
              <w14:schemeClr w14:val="tx1"/>
            </w14:solidFill>
          </w14:textFill>
        </w:rPr>
        <w:t>—</w:t>
      </w:r>
      <w:r>
        <w:rPr>
          <w:color w:val="000000" w:themeColor="text1"/>
          <w:spacing w:val="-4"/>
          <w:szCs w:val="32"/>
          <w14:textFill>
            <w14:solidFill>
              <w14:schemeClr w14:val="tx1"/>
            </w14:solidFill>
          </w14:textFill>
        </w:rPr>
        <w:t>1规定控制。</w:t>
      </w:r>
    </w:p>
    <w:p w14:paraId="63F75534">
      <w:pPr>
        <w:spacing w:line="600" w:lineRule="exact"/>
        <w:ind w:right="18" w:firstLine="560" w:firstLineChars="200"/>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表5</w:t>
      </w:r>
      <w:r>
        <w:rPr>
          <w:rFonts w:hint="eastAsia"/>
          <w:color w:val="000000" w:themeColor="text1"/>
          <w:sz w:val="28"/>
          <w:szCs w:val="28"/>
          <w14:textFill>
            <w14:solidFill>
              <w14:schemeClr w14:val="tx1"/>
            </w14:solidFill>
          </w14:textFill>
        </w:rPr>
        <w:t>—</w:t>
      </w:r>
      <w:r>
        <w:rPr>
          <w:color w:val="000000" w:themeColor="text1"/>
          <w:sz w:val="28"/>
          <w:szCs w:val="28"/>
          <w14:textFill>
            <w14:solidFill>
              <w14:schemeClr w14:val="tx1"/>
            </w14:solidFill>
          </w14:textFill>
        </w:rPr>
        <w:t>1  建筑后退非临道路用地界线的最小距离</w:t>
      </w:r>
    </w:p>
    <w:tbl>
      <w:tblPr>
        <w:tblStyle w:val="14"/>
        <w:tblW w:w="91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3"/>
        <w:gridCol w:w="1810"/>
        <w:gridCol w:w="3560"/>
        <w:gridCol w:w="2007"/>
      </w:tblGrid>
      <w:tr w14:paraId="7EAD5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743" w:type="dxa"/>
            <w:vAlign w:val="center"/>
          </w:tcPr>
          <w:p w14:paraId="228C8D00">
            <w:pPr>
              <w:snapToGrid w:val="0"/>
              <w:spacing w:line="280" w:lineRule="exact"/>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建筑类型</w:t>
            </w:r>
          </w:p>
        </w:tc>
        <w:tc>
          <w:tcPr>
            <w:tcW w:w="1810" w:type="dxa"/>
            <w:vAlign w:val="center"/>
          </w:tcPr>
          <w:p w14:paraId="0509FC11">
            <w:pPr>
              <w:snapToGrid w:val="0"/>
              <w:spacing w:line="280" w:lineRule="exact"/>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建筑朝向</w:t>
            </w:r>
          </w:p>
        </w:tc>
        <w:tc>
          <w:tcPr>
            <w:tcW w:w="3560" w:type="dxa"/>
            <w:vAlign w:val="center"/>
          </w:tcPr>
          <w:p w14:paraId="6B17BB17">
            <w:pPr>
              <w:snapToGrid w:val="0"/>
              <w:spacing w:line="280" w:lineRule="exact"/>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建筑退界距离</w:t>
            </w:r>
          </w:p>
        </w:tc>
        <w:tc>
          <w:tcPr>
            <w:tcW w:w="2007" w:type="dxa"/>
            <w:vAlign w:val="center"/>
          </w:tcPr>
          <w:p w14:paraId="087153ED">
            <w:pPr>
              <w:snapToGrid w:val="0"/>
              <w:spacing w:line="280" w:lineRule="exact"/>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最小距离（米）</w:t>
            </w:r>
          </w:p>
        </w:tc>
      </w:tr>
      <w:tr w14:paraId="54C81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743" w:type="dxa"/>
            <w:vMerge w:val="restart"/>
            <w:vAlign w:val="center"/>
          </w:tcPr>
          <w:p w14:paraId="5A8550EB">
            <w:pPr>
              <w:snapToGrid w:val="0"/>
              <w:spacing w:line="280" w:lineRule="exact"/>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地面建筑</w:t>
            </w:r>
          </w:p>
        </w:tc>
        <w:tc>
          <w:tcPr>
            <w:tcW w:w="1810" w:type="dxa"/>
            <w:vAlign w:val="center"/>
          </w:tcPr>
          <w:p w14:paraId="477E4061">
            <w:pPr>
              <w:snapToGrid w:val="0"/>
              <w:spacing w:line="280" w:lineRule="exact"/>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多、低层长边</w:t>
            </w:r>
          </w:p>
        </w:tc>
        <w:tc>
          <w:tcPr>
            <w:tcW w:w="3560" w:type="dxa"/>
            <w:vAlign w:val="center"/>
          </w:tcPr>
          <w:p w14:paraId="5178B07D">
            <w:pPr>
              <w:snapToGrid w:val="0"/>
              <w:spacing w:line="280" w:lineRule="exact"/>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≥0.</w:t>
            </w:r>
            <w:r>
              <w:rPr>
                <w:rFonts w:hint="eastAsia"/>
                <w:color w:val="000000" w:themeColor="text1"/>
                <w:sz w:val="21"/>
                <w:szCs w:val="21"/>
                <w14:textFill>
                  <w14:solidFill>
                    <w14:schemeClr w14:val="tx1"/>
                  </w14:solidFill>
                </w14:textFill>
              </w:rPr>
              <w:t>45</w:t>
            </w:r>
            <w:r>
              <w:rPr>
                <w:color w:val="000000" w:themeColor="text1"/>
                <w:sz w:val="21"/>
                <w:szCs w:val="21"/>
                <w14:textFill>
                  <w14:solidFill>
                    <w14:schemeClr w14:val="tx1"/>
                  </w14:solidFill>
                </w14:textFill>
              </w:rPr>
              <w:t>H</w:t>
            </w:r>
          </w:p>
        </w:tc>
        <w:tc>
          <w:tcPr>
            <w:tcW w:w="2007" w:type="dxa"/>
            <w:vAlign w:val="center"/>
          </w:tcPr>
          <w:p w14:paraId="1E1790CA">
            <w:pPr>
              <w:snapToGrid w:val="0"/>
              <w:spacing w:line="280" w:lineRule="exact"/>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3.0</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低层</w:t>
            </w:r>
            <w:r>
              <w:rPr>
                <w:rFonts w:hint="eastAsia"/>
                <w:color w:val="000000" w:themeColor="text1"/>
                <w:sz w:val="21"/>
                <w:szCs w:val="21"/>
                <w14:textFill>
                  <w14:solidFill>
                    <w14:schemeClr w14:val="tx1"/>
                  </w14:solidFill>
                </w14:textFill>
              </w:rPr>
              <w:t>）</w:t>
            </w:r>
          </w:p>
          <w:p w14:paraId="091A6602">
            <w:pPr>
              <w:snapToGrid w:val="0"/>
              <w:spacing w:line="280" w:lineRule="exact"/>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6.0</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多层</w:t>
            </w:r>
            <w:r>
              <w:rPr>
                <w:rFonts w:hint="eastAsia"/>
                <w:color w:val="000000" w:themeColor="text1"/>
                <w:sz w:val="21"/>
                <w:szCs w:val="21"/>
                <w14:textFill>
                  <w14:solidFill>
                    <w14:schemeClr w14:val="tx1"/>
                  </w14:solidFill>
                </w14:textFill>
              </w:rPr>
              <w:t>）</w:t>
            </w:r>
          </w:p>
        </w:tc>
      </w:tr>
      <w:tr w14:paraId="1B6AE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1743" w:type="dxa"/>
            <w:vMerge w:val="continue"/>
            <w:vAlign w:val="center"/>
          </w:tcPr>
          <w:p w14:paraId="1C651514">
            <w:pPr>
              <w:snapToGrid w:val="0"/>
              <w:spacing w:line="280" w:lineRule="exact"/>
              <w:jc w:val="center"/>
              <w:rPr>
                <w:color w:val="000000" w:themeColor="text1"/>
                <w:sz w:val="21"/>
                <w:szCs w:val="21"/>
                <w14:textFill>
                  <w14:solidFill>
                    <w14:schemeClr w14:val="tx1"/>
                  </w14:solidFill>
                </w14:textFill>
              </w:rPr>
            </w:pPr>
          </w:p>
        </w:tc>
        <w:tc>
          <w:tcPr>
            <w:tcW w:w="1810" w:type="dxa"/>
            <w:vAlign w:val="center"/>
          </w:tcPr>
          <w:p w14:paraId="6CE666C5">
            <w:pPr>
              <w:snapToGrid w:val="0"/>
              <w:spacing w:line="280" w:lineRule="exact"/>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多、低层山墙</w:t>
            </w:r>
          </w:p>
        </w:tc>
        <w:tc>
          <w:tcPr>
            <w:tcW w:w="3560" w:type="dxa"/>
            <w:vAlign w:val="center"/>
          </w:tcPr>
          <w:p w14:paraId="5E0190D8">
            <w:pPr>
              <w:snapToGrid w:val="0"/>
              <w:spacing w:line="280" w:lineRule="exact"/>
              <w:ind w:firstLine="1365" w:firstLineChars="65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≥3.0米</w:t>
            </w:r>
          </w:p>
        </w:tc>
        <w:tc>
          <w:tcPr>
            <w:tcW w:w="2007" w:type="dxa"/>
            <w:vAlign w:val="center"/>
          </w:tcPr>
          <w:p w14:paraId="7D1EA347">
            <w:pPr>
              <w:snapToGrid w:val="0"/>
              <w:spacing w:line="280" w:lineRule="exact"/>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3.0</w:t>
            </w:r>
          </w:p>
        </w:tc>
      </w:tr>
      <w:tr w14:paraId="76964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743" w:type="dxa"/>
            <w:vMerge w:val="continue"/>
            <w:vAlign w:val="center"/>
          </w:tcPr>
          <w:p w14:paraId="6E65CEB0">
            <w:pPr>
              <w:snapToGrid w:val="0"/>
              <w:spacing w:line="280" w:lineRule="exact"/>
              <w:jc w:val="center"/>
              <w:rPr>
                <w:color w:val="000000" w:themeColor="text1"/>
                <w:sz w:val="21"/>
                <w:szCs w:val="21"/>
                <w14:textFill>
                  <w14:solidFill>
                    <w14:schemeClr w14:val="tx1"/>
                  </w14:solidFill>
                </w14:textFill>
              </w:rPr>
            </w:pPr>
          </w:p>
        </w:tc>
        <w:tc>
          <w:tcPr>
            <w:tcW w:w="1810" w:type="dxa"/>
            <w:vAlign w:val="center"/>
          </w:tcPr>
          <w:p w14:paraId="52B725E1">
            <w:pPr>
              <w:snapToGrid w:val="0"/>
              <w:spacing w:line="280" w:lineRule="exact"/>
              <w:jc w:val="center"/>
              <w:rPr>
                <w:color w:val="000000" w:themeColor="text1"/>
                <w:spacing w:val="-10"/>
                <w:sz w:val="21"/>
                <w:szCs w:val="21"/>
                <w14:textFill>
                  <w14:solidFill>
                    <w14:schemeClr w14:val="tx1"/>
                  </w14:solidFill>
                </w14:textFill>
              </w:rPr>
            </w:pPr>
            <w:r>
              <w:rPr>
                <w:color w:val="000000" w:themeColor="text1"/>
                <w:spacing w:val="-10"/>
                <w:sz w:val="21"/>
                <w:szCs w:val="21"/>
                <w14:textFill>
                  <w14:solidFill>
                    <w14:schemeClr w14:val="tx1"/>
                  </w14:solidFill>
                </w14:textFill>
              </w:rPr>
              <w:t>高层主要朝向</w:t>
            </w:r>
          </w:p>
        </w:tc>
        <w:tc>
          <w:tcPr>
            <w:tcW w:w="3560" w:type="dxa"/>
            <w:vAlign w:val="center"/>
          </w:tcPr>
          <w:p w14:paraId="573510F6">
            <w:pPr>
              <w:snapToGrid w:val="0"/>
              <w:spacing w:line="280" w:lineRule="exact"/>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≥0.2</w:t>
            </w:r>
            <w:r>
              <w:rPr>
                <w:rFonts w:hint="eastAsia"/>
                <w:color w:val="000000" w:themeColor="text1"/>
                <w:sz w:val="21"/>
                <w:szCs w:val="21"/>
                <w14:textFill>
                  <w14:solidFill>
                    <w14:schemeClr w14:val="tx1"/>
                  </w14:solidFill>
                </w14:textFill>
              </w:rPr>
              <w:t>25</w:t>
            </w:r>
            <w:r>
              <w:rPr>
                <w:color w:val="000000" w:themeColor="text1"/>
                <w:sz w:val="21"/>
                <w:szCs w:val="21"/>
                <w14:textFill>
                  <w14:solidFill>
                    <w14:schemeClr w14:val="tx1"/>
                  </w14:solidFill>
                </w14:textFill>
              </w:rPr>
              <w:t>H</w:t>
            </w:r>
          </w:p>
        </w:tc>
        <w:tc>
          <w:tcPr>
            <w:tcW w:w="2007" w:type="dxa"/>
            <w:vAlign w:val="center"/>
          </w:tcPr>
          <w:p w14:paraId="29D8A09C">
            <w:pPr>
              <w:snapToGrid w:val="0"/>
              <w:spacing w:line="280" w:lineRule="exact"/>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12.0</w:t>
            </w:r>
          </w:p>
        </w:tc>
      </w:tr>
      <w:tr w14:paraId="151D2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743" w:type="dxa"/>
            <w:vMerge w:val="continue"/>
            <w:vAlign w:val="center"/>
          </w:tcPr>
          <w:p w14:paraId="7D720F6B">
            <w:pPr>
              <w:snapToGrid w:val="0"/>
              <w:spacing w:line="280" w:lineRule="exact"/>
              <w:jc w:val="center"/>
              <w:rPr>
                <w:color w:val="000000" w:themeColor="text1"/>
                <w:sz w:val="21"/>
                <w:szCs w:val="21"/>
                <w14:textFill>
                  <w14:solidFill>
                    <w14:schemeClr w14:val="tx1"/>
                  </w14:solidFill>
                </w14:textFill>
              </w:rPr>
            </w:pPr>
          </w:p>
        </w:tc>
        <w:tc>
          <w:tcPr>
            <w:tcW w:w="1810" w:type="dxa"/>
            <w:vAlign w:val="center"/>
          </w:tcPr>
          <w:p w14:paraId="1BC67C60">
            <w:pPr>
              <w:snapToGrid w:val="0"/>
              <w:spacing w:line="280" w:lineRule="exact"/>
              <w:jc w:val="center"/>
              <w:rPr>
                <w:color w:val="000000" w:themeColor="text1"/>
                <w:spacing w:val="-10"/>
                <w:sz w:val="21"/>
                <w:szCs w:val="21"/>
                <w14:textFill>
                  <w14:solidFill>
                    <w14:schemeClr w14:val="tx1"/>
                  </w14:solidFill>
                </w14:textFill>
              </w:rPr>
            </w:pPr>
            <w:r>
              <w:rPr>
                <w:color w:val="000000" w:themeColor="text1"/>
                <w:spacing w:val="-10"/>
                <w:sz w:val="21"/>
                <w:szCs w:val="21"/>
                <w14:textFill>
                  <w14:solidFill>
                    <w14:schemeClr w14:val="tx1"/>
                  </w14:solidFill>
                </w14:textFill>
              </w:rPr>
              <w:t>高层次要朝向</w:t>
            </w:r>
          </w:p>
        </w:tc>
        <w:tc>
          <w:tcPr>
            <w:tcW w:w="3560" w:type="dxa"/>
            <w:vAlign w:val="center"/>
          </w:tcPr>
          <w:p w14:paraId="289E3622">
            <w:pPr>
              <w:snapToGrid w:val="0"/>
              <w:spacing w:line="280" w:lineRule="exact"/>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≥0.15H</w:t>
            </w:r>
          </w:p>
        </w:tc>
        <w:tc>
          <w:tcPr>
            <w:tcW w:w="2007" w:type="dxa"/>
            <w:vAlign w:val="center"/>
          </w:tcPr>
          <w:p w14:paraId="588F8639">
            <w:pPr>
              <w:snapToGrid w:val="0"/>
              <w:spacing w:line="280" w:lineRule="exact"/>
              <w:jc w:val="center"/>
              <w:rPr>
                <w:color w:val="000000" w:themeColor="text1"/>
                <w:sz w:val="21"/>
                <w:szCs w:val="21"/>
                <w14:textFill>
                  <w14:solidFill>
                    <w14:schemeClr w14:val="tx1"/>
                  </w14:solidFill>
                </w14:textFill>
              </w:rPr>
            </w:pPr>
            <w:r>
              <w:rPr>
                <w:color w:val="000000" w:themeColor="text1"/>
                <w:spacing w:val="-20"/>
                <w:sz w:val="21"/>
                <w:szCs w:val="21"/>
                <w14:textFill>
                  <w14:solidFill>
                    <w14:schemeClr w14:val="tx1"/>
                  </w14:solidFill>
                </w14:textFill>
              </w:rPr>
              <w:t>9.0</w:t>
            </w:r>
          </w:p>
        </w:tc>
      </w:tr>
      <w:tr w14:paraId="7AAD1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743" w:type="dxa"/>
            <w:vMerge w:val="restart"/>
            <w:vAlign w:val="center"/>
          </w:tcPr>
          <w:p w14:paraId="1AFAECE4">
            <w:pPr>
              <w:snapToGrid w:val="0"/>
              <w:spacing w:line="280" w:lineRule="exact"/>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地下建筑（含汽车坡道、化粪池、消防水池等）</w:t>
            </w:r>
          </w:p>
        </w:tc>
        <w:tc>
          <w:tcPr>
            <w:tcW w:w="1810" w:type="dxa"/>
            <w:vMerge w:val="restart"/>
            <w:vAlign w:val="center"/>
          </w:tcPr>
          <w:p w14:paraId="275EA997">
            <w:pPr>
              <w:snapToGrid w:val="0"/>
              <w:spacing w:line="280" w:lineRule="exact"/>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w:t>
            </w:r>
          </w:p>
        </w:tc>
        <w:tc>
          <w:tcPr>
            <w:tcW w:w="3560" w:type="dxa"/>
            <w:vAlign w:val="center"/>
          </w:tcPr>
          <w:p w14:paraId="759CD99F">
            <w:pPr>
              <w:snapToGrid w:val="0"/>
              <w:spacing w:line="280" w:lineRule="exact"/>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 xml:space="preserve">   </w:t>
            </w:r>
            <w:r>
              <w:rPr>
                <w:color w:val="000000" w:themeColor="text1"/>
                <w:sz w:val="21"/>
                <w:szCs w:val="21"/>
                <w14:textFill>
                  <w14:solidFill>
                    <w14:schemeClr w14:val="tx1"/>
                  </w14:solidFill>
                </w14:textFill>
              </w:rPr>
              <w:t xml:space="preserve">≥0.7H（地） </w:t>
            </w:r>
          </w:p>
        </w:tc>
        <w:tc>
          <w:tcPr>
            <w:tcW w:w="2007" w:type="dxa"/>
            <w:vAlign w:val="center"/>
          </w:tcPr>
          <w:p w14:paraId="1D55ABD0">
            <w:pPr>
              <w:snapToGrid w:val="0"/>
              <w:spacing w:line="280" w:lineRule="exact"/>
              <w:jc w:val="center"/>
              <w:rPr>
                <w:color w:val="000000" w:themeColor="text1"/>
                <w:spacing w:val="-20"/>
                <w:sz w:val="21"/>
                <w:szCs w:val="21"/>
                <w14:textFill>
                  <w14:solidFill>
                    <w14:schemeClr w14:val="tx1"/>
                  </w14:solidFill>
                </w14:textFill>
              </w:rPr>
            </w:pPr>
            <w:r>
              <w:rPr>
                <w:color w:val="000000" w:themeColor="text1"/>
                <w:spacing w:val="-20"/>
                <w:sz w:val="21"/>
                <w:szCs w:val="21"/>
                <w14:textFill>
                  <w14:solidFill>
                    <w14:schemeClr w14:val="tx1"/>
                  </w14:solidFill>
                </w14:textFill>
              </w:rPr>
              <w:t>3.0</w:t>
            </w:r>
          </w:p>
        </w:tc>
      </w:tr>
      <w:tr w14:paraId="426F8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743" w:type="dxa"/>
            <w:vMerge w:val="continue"/>
            <w:vAlign w:val="center"/>
          </w:tcPr>
          <w:p w14:paraId="5D942986">
            <w:pPr>
              <w:snapToGrid w:val="0"/>
              <w:spacing w:line="280" w:lineRule="exact"/>
              <w:jc w:val="center"/>
              <w:rPr>
                <w:color w:val="000000" w:themeColor="text1"/>
                <w:sz w:val="21"/>
                <w:szCs w:val="21"/>
                <w14:textFill>
                  <w14:solidFill>
                    <w14:schemeClr w14:val="tx1"/>
                  </w14:solidFill>
                </w14:textFill>
              </w:rPr>
            </w:pPr>
          </w:p>
        </w:tc>
        <w:tc>
          <w:tcPr>
            <w:tcW w:w="1810" w:type="dxa"/>
            <w:vMerge w:val="continue"/>
            <w:vAlign w:val="center"/>
          </w:tcPr>
          <w:p w14:paraId="1809D206">
            <w:pPr>
              <w:snapToGrid w:val="0"/>
              <w:spacing w:line="280" w:lineRule="exact"/>
              <w:jc w:val="center"/>
              <w:rPr>
                <w:color w:val="000000" w:themeColor="text1"/>
                <w:sz w:val="21"/>
                <w:szCs w:val="21"/>
                <w14:textFill>
                  <w14:solidFill>
                    <w14:schemeClr w14:val="tx1"/>
                  </w14:solidFill>
                </w14:textFill>
              </w:rPr>
            </w:pPr>
          </w:p>
        </w:tc>
        <w:tc>
          <w:tcPr>
            <w:tcW w:w="5567" w:type="dxa"/>
            <w:gridSpan w:val="2"/>
            <w:vAlign w:val="center"/>
          </w:tcPr>
          <w:p w14:paraId="4BCAE993">
            <w:pPr>
              <w:snapToGrid w:val="0"/>
              <w:spacing w:line="280" w:lineRule="exact"/>
              <w:jc w:val="center"/>
              <w:rPr>
                <w:color w:val="000000" w:themeColor="text1"/>
                <w:spacing w:val="-20"/>
                <w:sz w:val="21"/>
                <w:szCs w:val="21"/>
                <w14:textFill>
                  <w14:solidFill>
                    <w14:schemeClr w14:val="tx1"/>
                  </w14:solidFill>
                </w14:textFill>
              </w:rPr>
            </w:pPr>
            <w:r>
              <w:rPr>
                <w:color w:val="000000" w:themeColor="text1"/>
                <w:sz w:val="21"/>
                <w:szCs w:val="21"/>
                <w14:textFill>
                  <w14:solidFill>
                    <w14:schemeClr w14:val="tx1"/>
                  </w14:solidFill>
                </w14:textFill>
              </w:rPr>
              <w:t>低于规定值时，建设单位要进行施工安全专项论证</w:t>
            </w:r>
          </w:p>
        </w:tc>
      </w:tr>
    </w:tbl>
    <w:p w14:paraId="4C470124">
      <w:pPr>
        <w:pStyle w:val="8"/>
        <w:snapToGrid w:val="0"/>
        <w:spacing w:line="360" w:lineRule="exact"/>
        <w:ind w:left="142" w:leftChars="0" w:firstLine="420" w:firstLineChars="200"/>
        <w:rPr>
          <w:rFonts w:eastAsia="楷体_GB2312"/>
          <w:color w:val="000000" w:themeColor="text1"/>
          <w:szCs w:val="21"/>
          <w14:textFill>
            <w14:solidFill>
              <w14:schemeClr w14:val="tx1"/>
            </w14:solidFill>
          </w14:textFill>
        </w:rPr>
      </w:pPr>
      <w:r>
        <w:rPr>
          <w:rFonts w:eastAsia="楷体_GB2312"/>
          <w:color w:val="000000" w:themeColor="text1"/>
          <w:szCs w:val="21"/>
          <w14:textFill>
            <w14:solidFill>
              <w14:schemeClr w14:val="tx1"/>
            </w14:solidFill>
          </w14:textFill>
        </w:rPr>
        <w:t>注：</w:t>
      </w:r>
      <w:r>
        <w:rPr>
          <w:color w:val="000000" w:themeColor="text1"/>
          <w:szCs w:val="21"/>
          <w14:textFill>
            <w14:solidFill>
              <w14:schemeClr w14:val="tx1"/>
            </w14:solidFill>
          </w14:textFill>
        </w:rPr>
        <w:t>①</w:t>
      </w:r>
      <w:r>
        <w:rPr>
          <w:rFonts w:eastAsia="楷体_GB2312"/>
          <w:color w:val="000000" w:themeColor="text1"/>
          <w:szCs w:val="21"/>
          <w14:textFill>
            <w14:solidFill>
              <w14:schemeClr w14:val="tx1"/>
            </w14:solidFill>
          </w14:textFill>
        </w:rPr>
        <w:t>H：临地界的建筑高度；H（地）：地下建筑高度。</w:t>
      </w:r>
    </w:p>
    <w:p w14:paraId="5B03ADE6">
      <w:pPr>
        <w:pStyle w:val="8"/>
        <w:snapToGrid w:val="0"/>
        <w:spacing w:line="360" w:lineRule="exact"/>
        <w:ind w:left="282" w:leftChars="88" w:firstLine="730" w:firstLineChars="348"/>
        <w:rPr>
          <w:rFonts w:eastAsia="楷体_GB2312"/>
          <w:color w:val="000000" w:themeColor="text1"/>
          <w:szCs w:val="21"/>
          <w14:textFill>
            <w14:solidFill>
              <w14:schemeClr w14:val="tx1"/>
            </w14:solidFill>
          </w14:textFill>
        </w:rPr>
      </w:pPr>
      <w:r>
        <w:rPr>
          <w:color w:val="000000" w:themeColor="text1"/>
          <w:szCs w:val="21"/>
          <w14:textFill>
            <w14:solidFill>
              <w14:schemeClr w14:val="tx1"/>
            </w14:solidFill>
          </w14:textFill>
        </w:rPr>
        <w:t>②</w:t>
      </w:r>
      <w:r>
        <w:rPr>
          <w:rFonts w:eastAsia="楷体_GB2312"/>
          <w:color w:val="000000" w:themeColor="text1"/>
          <w:szCs w:val="21"/>
          <w14:textFill>
            <w14:solidFill>
              <w14:schemeClr w14:val="tx1"/>
            </w14:solidFill>
          </w14:textFill>
        </w:rPr>
        <w:t>建筑高度超过80米的建筑工程，按80米高度计算退界距离。</w:t>
      </w:r>
    </w:p>
    <w:p w14:paraId="37333901">
      <w:pPr>
        <w:pStyle w:val="8"/>
        <w:snapToGrid w:val="0"/>
        <w:spacing w:line="360" w:lineRule="exact"/>
        <w:ind w:left="282" w:leftChars="88" w:firstLine="730" w:firstLineChars="348"/>
        <w:rPr>
          <w:rFonts w:eastAsia="楷体_GB2312"/>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rFonts w:eastAsia="楷体_GB2312"/>
          <w:color w:val="000000" w:themeColor="text1"/>
          <w:szCs w:val="21"/>
          <w14:textFill>
            <w14:solidFill>
              <w14:schemeClr w14:val="tx1"/>
            </w14:solidFill>
          </w14:textFill>
        </w:rPr>
        <w:t>建筑高度超过100米的建筑工程，除按80米高度计算退界距离外，还需按日照分析进行相应退距。</w:t>
      </w:r>
    </w:p>
    <w:p w14:paraId="431EBD25">
      <w:pPr>
        <w:pStyle w:val="8"/>
        <w:snapToGrid w:val="0"/>
        <w:spacing w:line="300" w:lineRule="exact"/>
        <w:ind w:left="282" w:leftChars="88" w:firstLine="702" w:firstLineChars="348"/>
        <w:rPr>
          <w:rFonts w:eastAsia="楷体_GB2312"/>
          <w:color w:val="000000" w:themeColor="text1"/>
          <w:spacing w:val="-4"/>
          <w:w w:val="98"/>
          <w:szCs w:val="21"/>
          <w14:textFill>
            <w14:solidFill>
              <w14:schemeClr w14:val="tx1"/>
            </w14:solidFill>
          </w14:textFill>
        </w:rPr>
      </w:pPr>
      <w:r>
        <w:rPr>
          <w:color w:val="000000" w:themeColor="text1"/>
          <w:spacing w:val="-4"/>
          <w:szCs w:val="21"/>
          <w14:textFill>
            <w14:solidFill>
              <w14:schemeClr w14:val="tx1"/>
            </w14:solidFill>
          </w14:textFill>
        </w:rPr>
        <w:t>④</w:t>
      </w:r>
      <w:r>
        <w:rPr>
          <w:rFonts w:eastAsia="楷体_GB2312"/>
          <w:color w:val="000000" w:themeColor="text1"/>
          <w:spacing w:val="-4"/>
          <w:szCs w:val="21"/>
          <w14:textFill>
            <w14:solidFill>
              <w14:schemeClr w14:val="tx1"/>
            </w14:solidFill>
          </w14:textFill>
        </w:rPr>
        <w:t>学</w:t>
      </w:r>
      <w:r>
        <w:rPr>
          <w:rFonts w:eastAsia="楷体_GB2312"/>
          <w:color w:val="000000" w:themeColor="text1"/>
          <w:szCs w:val="21"/>
          <w14:textFill>
            <w14:solidFill>
              <w14:schemeClr w14:val="tx1"/>
            </w14:solidFill>
          </w14:textFill>
        </w:rPr>
        <w:t>校（幼儿园）教学楼、医院住院楼退界距离按表5</w:t>
      </w:r>
      <w:r>
        <w:rPr>
          <w:rFonts w:hint="eastAsia" w:eastAsia="楷体_GB2312"/>
          <w:color w:val="000000" w:themeColor="text1"/>
          <w:szCs w:val="21"/>
          <w14:textFill>
            <w14:solidFill>
              <w14:schemeClr w14:val="tx1"/>
            </w14:solidFill>
          </w14:textFill>
        </w:rPr>
        <w:t>—</w:t>
      </w:r>
      <w:r>
        <w:rPr>
          <w:rFonts w:eastAsia="楷体_GB2312"/>
          <w:color w:val="000000" w:themeColor="text1"/>
          <w:szCs w:val="21"/>
          <w14:textFill>
            <w14:solidFill>
              <w14:schemeClr w14:val="tx1"/>
            </w14:solidFill>
          </w14:textFill>
        </w:rPr>
        <w:t>1的1.2倍系数计算。</w:t>
      </w:r>
    </w:p>
    <w:p w14:paraId="0D4B0FDB">
      <w:pPr>
        <w:spacing w:line="580" w:lineRule="exact"/>
        <w:ind w:firstLine="612"/>
        <w:rPr>
          <w:color w:val="000000" w:themeColor="text1"/>
          <w:spacing w:val="-4"/>
          <w:szCs w:val="32"/>
          <w14:textFill>
            <w14:solidFill>
              <w14:schemeClr w14:val="tx1"/>
            </w14:solidFill>
          </w14:textFill>
        </w:rPr>
      </w:pPr>
      <w:r>
        <w:rPr>
          <w:rFonts w:eastAsia="楷体_GB2312"/>
          <w:color w:val="000000" w:themeColor="text1"/>
          <w:szCs w:val="32"/>
          <w14:textFill>
            <w14:solidFill>
              <w14:schemeClr w14:val="tx1"/>
            </w14:solidFill>
          </w14:textFill>
        </w:rPr>
        <w:t>第三十条</w:t>
      </w:r>
      <w:r>
        <w:rPr>
          <w:color w:val="000000" w:themeColor="text1"/>
          <w:spacing w:val="-4"/>
          <w:szCs w:val="32"/>
          <w14:textFill>
            <w14:solidFill>
              <w14:schemeClr w14:val="tx1"/>
            </w14:solidFill>
          </w14:textFill>
        </w:rPr>
        <w:t xml:space="preserve">  临街建筑相邻地块双方协议同意，在满足防火要求的前提下，经规划和自然资源主管部门批准，</w:t>
      </w:r>
      <w:r>
        <w:rPr>
          <w:color w:val="000000" w:themeColor="text1"/>
          <w:szCs w:val="32"/>
          <w14:textFill>
            <w14:solidFill>
              <w14:schemeClr w14:val="tx1"/>
            </w14:solidFill>
          </w14:textFill>
        </w:rPr>
        <w:t>建筑物两侧山墙</w:t>
      </w:r>
      <w:r>
        <w:rPr>
          <w:color w:val="000000" w:themeColor="text1"/>
          <w:spacing w:val="-4"/>
          <w:szCs w:val="32"/>
          <w14:textFill>
            <w14:solidFill>
              <w14:schemeClr w14:val="tx1"/>
            </w14:solidFill>
          </w14:textFill>
        </w:rPr>
        <w:t>可毗邻建设，毗邻的</w:t>
      </w:r>
      <w:r>
        <w:rPr>
          <w:color w:val="000000" w:themeColor="text1"/>
          <w:szCs w:val="32"/>
          <w14:textFill>
            <w14:solidFill>
              <w14:schemeClr w14:val="tx1"/>
            </w14:solidFill>
          </w14:textFill>
        </w:rPr>
        <w:t>建筑物两侧山墙不允许开窗。</w:t>
      </w:r>
    </w:p>
    <w:p w14:paraId="13AC0F1E">
      <w:pPr>
        <w:spacing w:line="580" w:lineRule="exact"/>
        <w:ind w:firstLine="612"/>
        <w:rPr>
          <w:color w:val="000000" w:themeColor="text1"/>
          <w:spacing w:val="-4"/>
          <w:szCs w:val="32"/>
          <w14:textFill>
            <w14:solidFill>
              <w14:schemeClr w14:val="tx1"/>
            </w14:solidFill>
          </w14:textFill>
        </w:rPr>
      </w:pPr>
      <w:r>
        <w:rPr>
          <w:rFonts w:eastAsia="楷体_GB2312"/>
          <w:color w:val="000000" w:themeColor="text1"/>
          <w:szCs w:val="32"/>
          <w14:textFill>
            <w14:solidFill>
              <w14:schemeClr w14:val="tx1"/>
            </w14:solidFill>
          </w14:textFill>
        </w:rPr>
        <w:t>第三十</w:t>
      </w:r>
      <w:r>
        <w:rPr>
          <w:rFonts w:hint="eastAsia" w:eastAsia="楷体_GB2312"/>
          <w:color w:val="000000" w:themeColor="text1"/>
          <w:szCs w:val="32"/>
          <w14:textFill>
            <w14:solidFill>
              <w14:schemeClr w14:val="tx1"/>
            </w14:solidFill>
          </w14:textFill>
        </w:rPr>
        <w:t>一</w:t>
      </w:r>
      <w:r>
        <w:rPr>
          <w:rFonts w:eastAsia="楷体_GB2312"/>
          <w:color w:val="000000" w:themeColor="text1"/>
          <w:szCs w:val="32"/>
          <w14:textFill>
            <w14:solidFill>
              <w14:schemeClr w14:val="tx1"/>
            </w14:solidFill>
          </w14:textFill>
        </w:rPr>
        <w:t>条</w:t>
      </w:r>
      <w:r>
        <w:rPr>
          <w:rFonts w:eastAsia="楷体_GB2312"/>
          <w:color w:val="000000" w:themeColor="text1"/>
          <w:sz w:val="30"/>
          <w:szCs w:val="32"/>
          <w14:textFill>
            <w14:solidFill>
              <w14:schemeClr w14:val="tx1"/>
            </w14:solidFill>
          </w14:textFill>
        </w:rPr>
        <w:t xml:space="preserve">  </w:t>
      </w:r>
      <w:r>
        <w:rPr>
          <w:color w:val="000000" w:themeColor="text1"/>
          <w:spacing w:val="-4"/>
          <w:szCs w:val="32"/>
          <w14:textFill>
            <w14:solidFill>
              <w14:schemeClr w14:val="tx1"/>
            </w14:solidFill>
          </w14:textFill>
        </w:rPr>
        <w:t>新建建筑位于已建永久性建筑附近，由于历史原因，已建永久性建筑未按规定退界时，新建建筑不仅要符合自身退界距离，而且与已建永久性建筑的间距要符合第四章的规定。</w:t>
      </w:r>
    </w:p>
    <w:p w14:paraId="4ACC9B1C">
      <w:pPr>
        <w:spacing w:line="580" w:lineRule="exact"/>
        <w:ind w:firstLine="612"/>
        <w:rPr>
          <w:color w:val="000000" w:themeColor="text1"/>
          <w:spacing w:val="-4"/>
          <w:szCs w:val="32"/>
          <w14:textFill>
            <w14:solidFill>
              <w14:schemeClr w14:val="tx1"/>
            </w14:solidFill>
          </w14:textFill>
        </w:rPr>
      </w:pPr>
      <w:r>
        <w:rPr>
          <w:rFonts w:eastAsia="楷体_GB2312"/>
          <w:color w:val="000000" w:themeColor="text1"/>
          <w:szCs w:val="32"/>
          <w14:textFill>
            <w14:solidFill>
              <w14:schemeClr w14:val="tx1"/>
            </w14:solidFill>
          </w14:textFill>
        </w:rPr>
        <w:t>第三十</w:t>
      </w:r>
      <w:r>
        <w:rPr>
          <w:rFonts w:hint="eastAsia" w:eastAsia="楷体_GB2312"/>
          <w:color w:val="000000" w:themeColor="text1"/>
          <w:szCs w:val="32"/>
          <w14:textFill>
            <w14:solidFill>
              <w14:schemeClr w14:val="tx1"/>
            </w14:solidFill>
          </w14:textFill>
        </w:rPr>
        <w:t>二</w:t>
      </w:r>
      <w:r>
        <w:rPr>
          <w:rFonts w:eastAsia="楷体_GB2312"/>
          <w:color w:val="000000" w:themeColor="text1"/>
          <w:szCs w:val="32"/>
          <w14:textFill>
            <w14:solidFill>
              <w14:schemeClr w14:val="tx1"/>
            </w14:solidFill>
          </w14:textFill>
        </w:rPr>
        <w:t>条</w:t>
      </w:r>
      <w:r>
        <w:rPr>
          <w:color w:val="000000" w:themeColor="text1"/>
          <w:spacing w:val="-4"/>
          <w:szCs w:val="32"/>
          <w14:textFill>
            <w14:solidFill>
              <w14:schemeClr w14:val="tx1"/>
            </w14:solidFill>
          </w14:textFill>
        </w:rPr>
        <w:t xml:space="preserve">  在城市道路两侧建设的各类建筑按照城市规划要求退让道路红线。后退道路红线的最小距离按表5</w:t>
      </w:r>
      <w:r>
        <w:rPr>
          <w:rFonts w:hint="eastAsia"/>
          <w:color w:val="000000" w:themeColor="text1"/>
          <w:spacing w:val="-4"/>
          <w:szCs w:val="32"/>
          <w14:textFill>
            <w14:solidFill>
              <w14:schemeClr w14:val="tx1"/>
            </w14:solidFill>
          </w14:textFill>
        </w:rPr>
        <w:t>—</w:t>
      </w:r>
      <w:r>
        <w:rPr>
          <w:color w:val="000000" w:themeColor="text1"/>
          <w:spacing w:val="-4"/>
          <w:szCs w:val="32"/>
          <w14:textFill>
            <w14:solidFill>
              <w14:schemeClr w14:val="tx1"/>
            </w14:solidFill>
          </w14:textFill>
        </w:rPr>
        <w:t>2控制。</w:t>
      </w:r>
    </w:p>
    <w:p w14:paraId="26675744">
      <w:pPr>
        <w:spacing w:line="594" w:lineRule="exact"/>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表5</w:t>
      </w:r>
      <w:r>
        <w:rPr>
          <w:rFonts w:hint="eastAsia"/>
          <w:color w:val="000000" w:themeColor="text1"/>
          <w:sz w:val="28"/>
          <w:szCs w:val="28"/>
          <w14:textFill>
            <w14:solidFill>
              <w14:schemeClr w14:val="tx1"/>
            </w14:solidFill>
          </w14:textFill>
        </w:rPr>
        <w:t>—</w:t>
      </w:r>
      <w:r>
        <w:rPr>
          <w:color w:val="000000" w:themeColor="text1"/>
          <w:sz w:val="28"/>
          <w:szCs w:val="28"/>
          <w14:textFill>
            <w14:solidFill>
              <w14:schemeClr w14:val="tx1"/>
            </w14:solidFill>
          </w14:textFill>
        </w:rPr>
        <w:t>2  各类建筑后退道路红线的最小距离</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0"/>
        <w:gridCol w:w="857"/>
        <w:gridCol w:w="1043"/>
        <w:gridCol w:w="985"/>
        <w:gridCol w:w="1143"/>
        <w:gridCol w:w="1157"/>
        <w:gridCol w:w="928"/>
      </w:tblGrid>
      <w:tr w14:paraId="08BBA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2170" w:type="dxa"/>
            <w:vAlign w:val="center"/>
          </w:tcPr>
          <w:p w14:paraId="658B9A3A">
            <w:pPr>
              <w:spacing w:line="280" w:lineRule="exact"/>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道路宽度</w:t>
            </w:r>
          </w:p>
        </w:tc>
        <w:tc>
          <w:tcPr>
            <w:tcW w:w="857" w:type="dxa"/>
            <w:vAlign w:val="center"/>
          </w:tcPr>
          <w:p w14:paraId="37A88AB2">
            <w:pPr>
              <w:spacing w:line="280" w:lineRule="exact"/>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70米及以上</w:t>
            </w:r>
          </w:p>
        </w:tc>
        <w:tc>
          <w:tcPr>
            <w:tcW w:w="1043" w:type="dxa"/>
            <w:vAlign w:val="center"/>
          </w:tcPr>
          <w:p w14:paraId="57DDB085">
            <w:pPr>
              <w:spacing w:line="280" w:lineRule="exact"/>
              <w:jc w:val="center"/>
              <w:rPr>
                <w:color w:val="000000" w:themeColor="text1"/>
                <w:sz w:val="21"/>
                <w:szCs w:val="21"/>
                <w14:textFill>
                  <w14:solidFill>
                    <w14:schemeClr w14:val="tx1"/>
                  </w14:solidFill>
                </w14:textFill>
              </w:rPr>
            </w:pPr>
            <w:r>
              <w:rPr>
                <w:color w:val="000000" w:themeColor="text1"/>
                <w:sz w:val="18"/>
                <w:szCs w:val="18"/>
                <w14:textFill>
                  <w14:solidFill>
                    <w14:schemeClr w14:val="tx1"/>
                  </w14:solidFill>
                </w14:textFill>
              </w:rPr>
              <w:t>≥</w:t>
            </w:r>
            <w:r>
              <w:rPr>
                <w:color w:val="000000" w:themeColor="text1"/>
                <w:sz w:val="21"/>
                <w:szCs w:val="21"/>
                <w14:textFill>
                  <w14:solidFill>
                    <w14:schemeClr w14:val="tx1"/>
                  </w14:solidFill>
                </w14:textFill>
              </w:rPr>
              <w:t>60米且&lt;70米</w:t>
            </w:r>
          </w:p>
        </w:tc>
        <w:tc>
          <w:tcPr>
            <w:tcW w:w="985" w:type="dxa"/>
            <w:vAlign w:val="center"/>
          </w:tcPr>
          <w:p w14:paraId="6EC9C0B2">
            <w:pPr>
              <w:spacing w:line="280" w:lineRule="exact"/>
              <w:jc w:val="center"/>
              <w:rPr>
                <w:color w:val="000000" w:themeColor="text1"/>
                <w:sz w:val="21"/>
                <w:szCs w:val="21"/>
                <w14:textFill>
                  <w14:solidFill>
                    <w14:schemeClr w14:val="tx1"/>
                  </w14:solidFill>
                </w14:textFill>
              </w:rPr>
            </w:pPr>
            <w:r>
              <w:rPr>
                <w:color w:val="000000" w:themeColor="text1"/>
                <w:sz w:val="18"/>
                <w:szCs w:val="18"/>
                <w14:textFill>
                  <w14:solidFill>
                    <w14:schemeClr w14:val="tx1"/>
                  </w14:solidFill>
                </w14:textFill>
              </w:rPr>
              <w:t>≥</w:t>
            </w:r>
            <w:r>
              <w:rPr>
                <w:color w:val="000000" w:themeColor="text1"/>
                <w:sz w:val="21"/>
                <w:szCs w:val="21"/>
                <w14:textFill>
                  <w14:solidFill>
                    <w14:schemeClr w14:val="tx1"/>
                  </w14:solidFill>
                </w14:textFill>
              </w:rPr>
              <w:t>30米且&lt;60米</w:t>
            </w:r>
          </w:p>
        </w:tc>
        <w:tc>
          <w:tcPr>
            <w:tcW w:w="1143" w:type="dxa"/>
            <w:vAlign w:val="center"/>
          </w:tcPr>
          <w:p w14:paraId="4CF25976">
            <w:pPr>
              <w:spacing w:line="280" w:lineRule="exact"/>
              <w:jc w:val="center"/>
              <w:rPr>
                <w:color w:val="000000" w:themeColor="text1"/>
                <w:sz w:val="21"/>
                <w:szCs w:val="21"/>
                <w14:textFill>
                  <w14:solidFill>
                    <w14:schemeClr w14:val="tx1"/>
                  </w14:solidFill>
                </w14:textFill>
              </w:rPr>
            </w:pPr>
            <w:r>
              <w:rPr>
                <w:color w:val="000000" w:themeColor="text1"/>
                <w:sz w:val="18"/>
                <w:szCs w:val="18"/>
                <w14:textFill>
                  <w14:solidFill>
                    <w14:schemeClr w14:val="tx1"/>
                  </w14:solidFill>
                </w14:textFill>
              </w:rPr>
              <w:t>≥</w:t>
            </w:r>
            <w:r>
              <w:rPr>
                <w:color w:val="000000" w:themeColor="text1"/>
                <w:sz w:val="21"/>
                <w:szCs w:val="21"/>
                <w14:textFill>
                  <w14:solidFill>
                    <w14:schemeClr w14:val="tx1"/>
                  </w14:solidFill>
                </w14:textFill>
              </w:rPr>
              <w:t>24米且&lt;30米</w:t>
            </w:r>
          </w:p>
        </w:tc>
        <w:tc>
          <w:tcPr>
            <w:tcW w:w="1157" w:type="dxa"/>
            <w:vAlign w:val="center"/>
          </w:tcPr>
          <w:p w14:paraId="085ED3D2">
            <w:pPr>
              <w:spacing w:line="280" w:lineRule="exact"/>
              <w:jc w:val="center"/>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24米以下</w:t>
            </w:r>
          </w:p>
        </w:tc>
        <w:tc>
          <w:tcPr>
            <w:tcW w:w="928" w:type="dxa"/>
            <w:vAlign w:val="center"/>
          </w:tcPr>
          <w:p w14:paraId="38F0CB7F">
            <w:pPr>
              <w:spacing w:line="280" w:lineRule="exact"/>
              <w:ind w:firstLine="95" w:firstLineChars="50"/>
              <w:rPr>
                <w:color w:val="000000" w:themeColor="text1"/>
                <w:spacing w:val="-10"/>
                <w:sz w:val="21"/>
                <w:szCs w:val="21"/>
                <w14:textFill>
                  <w14:solidFill>
                    <w14:schemeClr w14:val="tx1"/>
                  </w14:solidFill>
                </w14:textFill>
              </w:rPr>
            </w:pPr>
            <w:r>
              <w:rPr>
                <w:color w:val="000000" w:themeColor="text1"/>
                <w:spacing w:val="-10"/>
                <w:sz w:val="21"/>
                <w:szCs w:val="21"/>
                <w14:textFill>
                  <w14:solidFill>
                    <w14:schemeClr w14:val="tx1"/>
                  </w14:solidFill>
                </w14:textFill>
              </w:rPr>
              <w:t>湖滨路</w:t>
            </w:r>
          </w:p>
        </w:tc>
      </w:tr>
      <w:tr w14:paraId="28000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2170" w:type="dxa"/>
          </w:tcPr>
          <w:p w14:paraId="22129D5F">
            <w:pPr>
              <w:spacing w:line="280" w:lineRule="exact"/>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基本退距（多低层建筑红线后退道路红线距离）</w:t>
            </w:r>
          </w:p>
        </w:tc>
        <w:tc>
          <w:tcPr>
            <w:tcW w:w="857" w:type="dxa"/>
            <w:vAlign w:val="center"/>
          </w:tcPr>
          <w:p w14:paraId="3F2C15C3">
            <w:pPr>
              <w:spacing w:line="280" w:lineRule="exact"/>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10米</w:t>
            </w:r>
          </w:p>
        </w:tc>
        <w:tc>
          <w:tcPr>
            <w:tcW w:w="1043" w:type="dxa"/>
            <w:vAlign w:val="center"/>
          </w:tcPr>
          <w:p w14:paraId="194BA1EC">
            <w:pPr>
              <w:spacing w:line="280" w:lineRule="exact"/>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8米</w:t>
            </w:r>
          </w:p>
        </w:tc>
        <w:tc>
          <w:tcPr>
            <w:tcW w:w="985" w:type="dxa"/>
            <w:vAlign w:val="center"/>
          </w:tcPr>
          <w:p w14:paraId="058FAA89">
            <w:pPr>
              <w:spacing w:line="280" w:lineRule="exact"/>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5米</w:t>
            </w:r>
          </w:p>
        </w:tc>
        <w:tc>
          <w:tcPr>
            <w:tcW w:w="1143" w:type="dxa"/>
            <w:vAlign w:val="center"/>
          </w:tcPr>
          <w:p w14:paraId="738E0E67">
            <w:pPr>
              <w:spacing w:line="280" w:lineRule="exact"/>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4米</w:t>
            </w:r>
          </w:p>
        </w:tc>
        <w:tc>
          <w:tcPr>
            <w:tcW w:w="1157" w:type="dxa"/>
            <w:vAlign w:val="center"/>
          </w:tcPr>
          <w:p w14:paraId="2BCB6DF2">
            <w:pPr>
              <w:spacing w:line="280" w:lineRule="exact"/>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3米</w:t>
            </w:r>
          </w:p>
        </w:tc>
        <w:tc>
          <w:tcPr>
            <w:tcW w:w="928" w:type="dxa"/>
            <w:vAlign w:val="center"/>
          </w:tcPr>
          <w:p w14:paraId="36459F60">
            <w:pPr>
              <w:spacing w:line="280" w:lineRule="exact"/>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8米</w:t>
            </w:r>
          </w:p>
        </w:tc>
      </w:tr>
      <w:tr w14:paraId="385FA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jc w:val="center"/>
        </w:trPr>
        <w:tc>
          <w:tcPr>
            <w:tcW w:w="2170" w:type="dxa"/>
          </w:tcPr>
          <w:p w14:paraId="23AB7986">
            <w:pPr>
              <w:spacing w:line="280" w:lineRule="exact"/>
              <w:jc w:val="center"/>
              <w:rPr>
                <w:color w:val="000000" w:themeColor="text1"/>
                <w:sz w:val="24"/>
                <w14:textFill>
                  <w14:solidFill>
                    <w14:schemeClr w14:val="tx1"/>
                  </w14:solidFill>
                </w14:textFill>
              </w:rPr>
            </w:pPr>
            <w:r>
              <w:rPr>
                <w:color w:val="000000" w:themeColor="text1"/>
                <w:sz w:val="18"/>
                <w:szCs w:val="18"/>
                <w14:textFill>
                  <w14:solidFill>
                    <w14:schemeClr w14:val="tx1"/>
                  </w14:solidFill>
                </w14:textFill>
              </w:rPr>
              <w:t>高层建筑红线后退道路红线距离</w:t>
            </w:r>
          </w:p>
        </w:tc>
        <w:tc>
          <w:tcPr>
            <w:tcW w:w="6113" w:type="dxa"/>
            <w:gridSpan w:val="6"/>
            <w:vAlign w:val="center"/>
          </w:tcPr>
          <w:p w14:paraId="0461D61C">
            <w:pPr>
              <w:spacing w:line="280" w:lineRule="exact"/>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在基本退距的标准上再退5米</w:t>
            </w:r>
          </w:p>
        </w:tc>
      </w:tr>
      <w:tr w14:paraId="1F72F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jc w:val="center"/>
        </w:trPr>
        <w:tc>
          <w:tcPr>
            <w:tcW w:w="2170" w:type="dxa"/>
          </w:tcPr>
          <w:p w14:paraId="49A856DF">
            <w:pPr>
              <w:spacing w:line="280" w:lineRule="exact"/>
              <w:jc w:val="center"/>
              <w:rPr>
                <w:color w:val="000000" w:themeColor="text1"/>
                <w:sz w:val="24"/>
                <w14:textFill>
                  <w14:solidFill>
                    <w14:schemeClr w14:val="tx1"/>
                  </w14:solidFill>
                </w14:textFill>
              </w:rPr>
            </w:pPr>
            <w:r>
              <w:rPr>
                <w:color w:val="000000" w:themeColor="text1"/>
                <w:sz w:val="18"/>
                <w:szCs w:val="18"/>
                <w14:textFill>
                  <w14:solidFill>
                    <w14:schemeClr w14:val="tx1"/>
                  </w14:solidFill>
                </w14:textFill>
              </w:rPr>
              <w:t>超高层建筑红线后退道路红线距离</w:t>
            </w:r>
          </w:p>
        </w:tc>
        <w:tc>
          <w:tcPr>
            <w:tcW w:w="6113" w:type="dxa"/>
            <w:gridSpan w:val="6"/>
            <w:vAlign w:val="center"/>
          </w:tcPr>
          <w:p w14:paraId="5A1980E7">
            <w:pPr>
              <w:spacing w:line="280" w:lineRule="exact"/>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在基本退距的标准上再退10米</w:t>
            </w:r>
          </w:p>
        </w:tc>
      </w:tr>
    </w:tbl>
    <w:p w14:paraId="18F67AE2">
      <w:pPr>
        <w:pStyle w:val="8"/>
        <w:snapToGrid w:val="0"/>
        <w:spacing w:line="300" w:lineRule="exact"/>
        <w:ind w:left="640" w:firstLine="420" w:firstLineChars="200"/>
        <w:rPr>
          <w:rFonts w:eastAsia="楷体_GB2312"/>
          <w:color w:val="000000" w:themeColor="text1"/>
          <w:szCs w:val="21"/>
          <w14:textFill>
            <w14:solidFill>
              <w14:schemeClr w14:val="tx1"/>
            </w14:solidFill>
          </w14:textFill>
        </w:rPr>
      </w:pPr>
      <w:r>
        <w:rPr>
          <w:rFonts w:eastAsia="楷体_GB2312"/>
          <w:color w:val="000000" w:themeColor="text1"/>
          <w:szCs w:val="21"/>
          <w14:textFill>
            <w14:solidFill>
              <w14:schemeClr w14:val="tx1"/>
            </w14:solidFill>
          </w14:textFill>
        </w:rPr>
        <w:t>注：</w:t>
      </w:r>
      <w:r>
        <w:rPr>
          <w:color w:val="000000" w:themeColor="text1"/>
          <w:szCs w:val="21"/>
          <w14:textFill>
            <w14:solidFill>
              <w14:schemeClr w14:val="tx1"/>
            </w14:solidFill>
          </w14:textFill>
        </w:rPr>
        <w:t>①</w:t>
      </w:r>
      <w:r>
        <w:rPr>
          <w:rFonts w:eastAsia="楷体_GB2312"/>
          <w:color w:val="000000" w:themeColor="text1"/>
          <w:szCs w:val="21"/>
          <w14:textFill>
            <w14:solidFill>
              <w14:schemeClr w14:val="tx1"/>
            </w14:solidFill>
          </w14:textFill>
        </w:rPr>
        <w:t>高层建筑高度24米以下的裙房后退道路红线距离按多层控制。</w:t>
      </w:r>
    </w:p>
    <w:p w14:paraId="42D4F496">
      <w:pPr>
        <w:pStyle w:val="8"/>
        <w:snapToGrid w:val="0"/>
        <w:spacing w:line="300" w:lineRule="exact"/>
        <w:ind w:left="640" w:firstLine="840" w:firstLineChars="400"/>
        <w:rPr>
          <w:color w:val="000000" w:themeColor="text1"/>
          <w:sz w:val="28"/>
          <w:szCs w:val="28"/>
          <w14:textFill>
            <w14:solidFill>
              <w14:schemeClr w14:val="tx1"/>
            </w14:solidFill>
          </w14:textFill>
        </w:rPr>
      </w:pPr>
      <w:r>
        <w:rPr>
          <w:color w:val="000000" w:themeColor="text1"/>
          <w:szCs w:val="21"/>
          <w14:textFill>
            <w14:solidFill>
              <w14:schemeClr w14:val="tx1"/>
            </w14:solidFill>
          </w14:textFill>
        </w:rPr>
        <w:t>②</w:t>
      </w:r>
      <w:r>
        <w:rPr>
          <w:rFonts w:eastAsia="楷体_GB2312"/>
          <w:color w:val="000000" w:themeColor="text1"/>
          <w:szCs w:val="21"/>
          <w14:textFill>
            <w14:solidFill>
              <w14:schemeClr w14:val="tx1"/>
            </w14:solidFill>
          </w14:textFill>
        </w:rPr>
        <w:t>地下建（构）筑物外墙后退道路红线的距离不小于3米。</w:t>
      </w:r>
    </w:p>
    <w:p w14:paraId="7EB7F914">
      <w:pPr>
        <w:spacing w:line="580" w:lineRule="exact"/>
        <w:ind w:firstLine="615"/>
        <w:rPr>
          <w:color w:val="000000" w:themeColor="text1"/>
          <w:spacing w:val="-4"/>
          <w:szCs w:val="32"/>
          <w14:textFill>
            <w14:solidFill>
              <w14:schemeClr w14:val="tx1"/>
            </w14:solidFill>
          </w14:textFill>
        </w:rPr>
      </w:pPr>
      <w:r>
        <w:rPr>
          <w:rFonts w:eastAsia="楷体_GB2312"/>
          <w:color w:val="000000" w:themeColor="text1"/>
          <w:szCs w:val="32"/>
          <w14:textFill>
            <w14:solidFill>
              <w14:schemeClr w14:val="tx1"/>
            </w14:solidFill>
          </w14:textFill>
        </w:rPr>
        <w:t>第三十</w:t>
      </w:r>
      <w:r>
        <w:rPr>
          <w:rFonts w:hint="eastAsia" w:eastAsia="楷体_GB2312"/>
          <w:color w:val="000000" w:themeColor="text1"/>
          <w:szCs w:val="32"/>
          <w14:textFill>
            <w14:solidFill>
              <w14:schemeClr w14:val="tx1"/>
            </w14:solidFill>
          </w14:textFill>
        </w:rPr>
        <w:t>三</w:t>
      </w:r>
      <w:r>
        <w:rPr>
          <w:rFonts w:eastAsia="楷体_GB2312"/>
          <w:color w:val="000000" w:themeColor="text1"/>
          <w:szCs w:val="32"/>
          <w14:textFill>
            <w14:solidFill>
              <w14:schemeClr w14:val="tx1"/>
            </w14:solidFill>
          </w14:textFill>
        </w:rPr>
        <w:t>条</w:t>
      </w:r>
      <w:r>
        <w:rPr>
          <w:color w:val="000000" w:themeColor="text1"/>
          <w:spacing w:val="-4"/>
          <w:szCs w:val="32"/>
          <w14:textFill>
            <w14:solidFill>
              <w14:schemeClr w14:val="tx1"/>
            </w14:solidFill>
          </w14:textFill>
        </w:rPr>
        <w:t xml:space="preserve">  新建影剧院、游乐场、体育馆、展览馆、文化馆、博物馆、图书馆、科技馆、大型商场（建筑面积5000平方米以上）等有大量人流、车流集聚的多低层建筑（含高层建筑裙房），其临城市道路的主要出入口后退道路红线的距离，不得小于</w:t>
      </w:r>
      <w:r>
        <w:rPr>
          <w:color w:val="000000" w:themeColor="text1"/>
          <w:szCs w:val="32"/>
          <w14:textFill>
            <w14:solidFill>
              <w14:schemeClr w14:val="tx1"/>
            </w14:solidFill>
          </w14:textFill>
        </w:rPr>
        <w:t>15米</w:t>
      </w:r>
      <w:r>
        <w:rPr>
          <w:color w:val="000000" w:themeColor="text1"/>
          <w:spacing w:val="-4"/>
          <w:szCs w:val="32"/>
          <w14:textFill>
            <w14:solidFill>
              <w14:schemeClr w14:val="tx1"/>
            </w14:solidFill>
          </w14:textFill>
        </w:rPr>
        <w:t>，并设置临时停车场、出租车临时等候及下客区域。</w:t>
      </w:r>
    </w:p>
    <w:p w14:paraId="72DB6541">
      <w:pPr>
        <w:spacing w:line="580" w:lineRule="exact"/>
        <w:ind w:firstLine="615"/>
        <w:rPr>
          <w:color w:val="000000" w:themeColor="text1"/>
          <w:spacing w:val="-4"/>
          <w:szCs w:val="32"/>
          <w14:textFill>
            <w14:solidFill>
              <w14:schemeClr w14:val="tx1"/>
            </w14:solidFill>
          </w14:textFill>
        </w:rPr>
      </w:pPr>
      <w:r>
        <w:rPr>
          <w:rFonts w:eastAsia="楷体_GB2312"/>
          <w:color w:val="000000" w:themeColor="text1"/>
          <w:szCs w:val="32"/>
          <w14:textFill>
            <w14:solidFill>
              <w14:schemeClr w14:val="tx1"/>
            </w14:solidFill>
          </w14:textFill>
        </w:rPr>
        <w:t>第三十</w:t>
      </w:r>
      <w:r>
        <w:rPr>
          <w:rFonts w:hint="eastAsia" w:eastAsia="楷体_GB2312"/>
          <w:color w:val="000000" w:themeColor="text1"/>
          <w:szCs w:val="32"/>
          <w14:textFill>
            <w14:solidFill>
              <w14:schemeClr w14:val="tx1"/>
            </w14:solidFill>
          </w14:textFill>
        </w:rPr>
        <w:t>四</w:t>
      </w:r>
      <w:r>
        <w:rPr>
          <w:rFonts w:eastAsia="楷体_GB2312"/>
          <w:color w:val="000000" w:themeColor="text1"/>
          <w:szCs w:val="32"/>
          <w14:textFill>
            <w14:solidFill>
              <w14:schemeClr w14:val="tx1"/>
            </w14:solidFill>
          </w14:textFill>
        </w:rPr>
        <w:t>条</w:t>
      </w:r>
      <w:r>
        <w:rPr>
          <w:color w:val="000000" w:themeColor="text1"/>
          <w:spacing w:val="-4"/>
          <w:szCs w:val="32"/>
          <w14:textFill>
            <w14:solidFill>
              <w14:schemeClr w14:val="tx1"/>
            </w14:solidFill>
          </w14:textFill>
        </w:rPr>
        <w:t xml:space="preserve">  计入建筑面积的地面建筑物不得超出建筑红线，落地构筑物也不得超出建筑红线。底层为商业的建筑物，非落地飘窗离地高度大于3.3米时可外挑，外挑尺寸不得大于0.6米。雨</w:t>
      </w:r>
      <w:r>
        <w:rPr>
          <w:rFonts w:hint="eastAsia"/>
          <w:color w:val="000000" w:themeColor="text1"/>
          <w:spacing w:val="-4"/>
          <w:szCs w:val="32"/>
          <w14:textFill>
            <w14:solidFill>
              <w14:schemeClr w14:val="tx1"/>
            </w14:solidFill>
          </w14:textFill>
        </w:rPr>
        <w:t>篷</w:t>
      </w:r>
      <w:r>
        <w:rPr>
          <w:color w:val="000000" w:themeColor="text1"/>
          <w:spacing w:val="-4"/>
          <w:szCs w:val="32"/>
          <w14:textFill>
            <w14:solidFill>
              <w14:schemeClr w14:val="tx1"/>
            </w14:solidFill>
          </w14:textFill>
        </w:rPr>
        <w:t>外挑后超出建筑红线的尺寸不得大于1.5米，外挑部分净高不小于4米，且底层不得落柱。</w:t>
      </w:r>
    </w:p>
    <w:p w14:paraId="65C86B84">
      <w:pPr>
        <w:spacing w:line="580" w:lineRule="exact"/>
        <w:ind w:firstLine="640" w:firstLineChars="200"/>
        <w:rPr>
          <w:rFonts w:eastAsia="黑体"/>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第三十</w:t>
      </w:r>
      <w:r>
        <w:rPr>
          <w:rFonts w:hint="eastAsia" w:eastAsia="楷体_GB2312"/>
          <w:color w:val="000000" w:themeColor="text1"/>
          <w:szCs w:val="32"/>
          <w14:textFill>
            <w14:solidFill>
              <w14:schemeClr w14:val="tx1"/>
            </w14:solidFill>
          </w14:textFill>
        </w:rPr>
        <w:t>五</w:t>
      </w:r>
      <w:r>
        <w:rPr>
          <w:rFonts w:eastAsia="楷体_GB2312"/>
          <w:color w:val="000000" w:themeColor="text1"/>
          <w:szCs w:val="32"/>
          <w14:textFill>
            <w14:solidFill>
              <w14:schemeClr w14:val="tx1"/>
            </w14:solidFill>
          </w14:textFill>
        </w:rPr>
        <w:t>条</w:t>
      </w:r>
      <w:r>
        <w:rPr>
          <w:color w:val="000000" w:themeColor="text1"/>
          <w:spacing w:val="-4"/>
          <w:szCs w:val="32"/>
          <w14:textFill>
            <w14:solidFill>
              <w14:schemeClr w14:val="tx1"/>
            </w14:solidFill>
          </w14:textFill>
        </w:rPr>
        <w:t xml:space="preserve">  地下室机动车进出口坡道起坡顶点后退道路红线的距离不小于7.5米。</w:t>
      </w:r>
    </w:p>
    <w:p w14:paraId="54D19F5D">
      <w:pPr>
        <w:spacing w:line="580" w:lineRule="exact"/>
        <w:jc w:val="center"/>
        <w:rPr>
          <w:rFonts w:eastAsia="黑体"/>
          <w:color w:val="000000" w:themeColor="text1"/>
          <w:szCs w:val="32"/>
          <w14:textFill>
            <w14:solidFill>
              <w14:schemeClr w14:val="tx1"/>
            </w14:solidFill>
          </w14:textFill>
        </w:rPr>
      </w:pPr>
    </w:p>
    <w:p w14:paraId="08DB88A8">
      <w:pPr>
        <w:spacing w:line="580" w:lineRule="exact"/>
        <w:jc w:val="center"/>
        <w:rPr>
          <w:rFonts w:eastAsia="黑体"/>
          <w:color w:val="000000" w:themeColor="text1"/>
          <w:szCs w:val="32"/>
          <w14:textFill>
            <w14:solidFill>
              <w14:schemeClr w14:val="tx1"/>
            </w14:solidFill>
          </w14:textFill>
        </w:rPr>
      </w:pPr>
      <w:r>
        <w:rPr>
          <w:rFonts w:eastAsia="黑体"/>
          <w:color w:val="000000" w:themeColor="text1"/>
          <w:szCs w:val="32"/>
          <w14:textFill>
            <w14:solidFill>
              <w14:schemeClr w14:val="tx1"/>
            </w14:solidFill>
          </w14:textFill>
        </w:rPr>
        <w:t>第六章   商业商务区建筑规划管理</w:t>
      </w:r>
    </w:p>
    <w:p w14:paraId="69164EA6">
      <w:pPr>
        <w:spacing w:line="580" w:lineRule="exact"/>
        <w:jc w:val="center"/>
        <w:rPr>
          <w:rFonts w:eastAsia="黑体"/>
          <w:color w:val="000000" w:themeColor="text1"/>
          <w:sz w:val="36"/>
          <w:szCs w:val="36"/>
          <w14:textFill>
            <w14:solidFill>
              <w14:schemeClr w14:val="tx1"/>
            </w14:solidFill>
          </w14:textFill>
        </w:rPr>
      </w:pPr>
      <w:r>
        <w:rPr>
          <w:rFonts w:eastAsia="黑体"/>
          <w:color w:val="000000" w:themeColor="text1"/>
          <w:sz w:val="36"/>
          <w:szCs w:val="36"/>
          <w14:textFill>
            <w14:solidFill>
              <w14:schemeClr w14:val="tx1"/>
            </w14:solidFill>
          </w14:textFill>
        </w:rPr>
        <w:t xml:space="preserve">  </w:t>
      </w:r>
    </w:p>
    <w:p w14:paraId="17D42A4C">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第三十</w:t>
      </w:r>
      <w:r>
        <w:rPr>
          <w:rFonts w:hint="eastAsia" w:eastAsia="楷体_GB2312"/>
          <w:color w:val="000000" w:themeColor="text1"/>
          <w:szCs w:val="32"/>
          <w14:textFill>
            <w14:solidFill>
              <w14:schemeClr w14:val="tx1"/>
            </w14:solidFill>
          </w14:textFill>
        </w:rPr>
        <w:t>六</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商业商务区以国土空间规划确定的范围为准。</w:t>
      </w:r>
    </w:p>
    <w:p w14:paraId="41675FFB">
      <w:pPr>
        <w:snapToGrid w:val="0"/>
        <w:spacing w:line="580" w:lineRule="exact"/>
        <w:ind w:firstLine="640" w:firstLineChars="200"/>
        <w:rPr>
          <w:color w:val="000000" w:themeColor="text1"/>
          <w:spacing w:val="-4"/>
          <w:szCs w:val="32"/>
          <w14:textFill>
            <w14:solidFill>
              <w14:schemeClr w14:val="tx1"/>
            </w14:solidFill>
          </w14:textFill>
        </w:rPr>
      </w:pPr>
      <w:r>
        <w:rPr>
          <w:rFonts w:eastAsia="楷体_GB2312"/>
          <w:color w:val="000000" w:themeColor="text1"/>
          <w:szCs w:val="32"/>
          <w14:textFill>
            <w14:solidFill>
              <w14:schemeClr w14:val="tx1"/>
            </w14:solidFill>
          </w14:textFill>
        </w:rPr>
        <w:t>第三十</w:t>
      </w:r>
      <w:r>
        <w:rPr>
          <w:rFonts w:hint="eastAsia" w:eastAsia="楷体_GB2312"/>
          <w:color w:val="000000" w:themeColor="text1"/>
          <w:szCs w:val="32"/>
          <w14:textFill>
            <w14:solidFill>
              <w14:schemeClr w14:val="tx1"/>
            </w14:solidFill>
          </w14:textFill>
        </w:rPr>
        <w:t>七</w:t>
      </w:r>
      <w:r>
        <w:rPr>
          <w:rFonts w:eastAsia="楷体_GB2312"/>
          <w:color w:val="000000" w:themeColor="text1"/>
          <w:szCs w:val="32"/>
          <w14:textFill>
            <w14:solidFill>
              <w14:schemeClr w14:val="tx1"/>
            </w14:solidFill>
          </w14:textFill>
        </w:rPr>
        <w:t xml:space="preserve">条 </w:t>
      </w:r>
      <w:r>
        <w:rPr>
          <w:color w:val="000000" w:themeColor="text1"/>
          <w:spacing w:val="-4"/>
          <w:szCs w:val="32"/>
          <w14:textFill>
            <w14:solidFill>
              <w14:schemeClr w14:val="tx1"/>
            </w14:solidFill>
          </w14:textFill>
        </w:rPr>
        <w:t xml:space="preserve"> 商业商务区的建设项目以国土空间详细规划为依据，在满足规划确定的路网前提下，根据建设项目的用途和目的，综合考虑其经济效益、社会效益和环境效益，合理利用城市土地和空间，提倡土地的整合开发。</w:t>
      </w:r>
    </w:p>
    <w:p w14:paraId="35D9E6C4">
      <w:pPr>
        <w:snapToGrid w:val="0"/>
        <w:spacing w:line="580" w:lineRule="exact"/>
        <w:ind w:firstLine="640" w:firstLineChars="200"/>
        <w:rPr>
          <w:color w:val="000000" w:themeColor="text1"/>
          <w:spacing w:val="-4"/>
          <w:szCs w:val="32"/>
          <w14:textFill>
            <w14:solidFill>
              <w14:schemeClr w14:val="tx1"/>
            </w14:solidFill>
          </w14:textFill>
        </w:rPr>
      </w:pPr>
      <w:r>
        <w:rPr>
          <w:rFonts w:eastAsia="楷体_GB2312"/>
          <w:color w:val="000000" w:themeColor="text1"/>
          <w:szCs w:val="32"/>
          <w14:textFill>
            <w14:solidFill>
              <w14:schemeClr w14:val="tx1"/>
            </w14:solidFill>
          </w14:textFill>
        </w:rPr>
        <w:t>第三十</w:t>
      </w:r>
      <w:r>
        <w:rPr>
          <w:rFonts w:hint="eastAsia" w:eastAsia="楷体_GB2312"/>
          <w:color w:val="000000" w:themeColor="text1"/>
          <w:szCs w:val="32"/>
          <w14:textFill>
            <w14:solidFill>
              <w14:schemeClr w14:val="tx1"/>
            </w14:solidFill>
          </w14:textFill>
        </w:rPr>
        <w:t>八</w:t>
      </w:r>
      <w:r>
        <w:rPr>
          <w:rFonts w:eastAsia="楷体_GB2312"/>
          <w:color w:val="000000" w:themeColor="text1"/>
          <w:szCs w:val="32"/>
          <w14:textFill>
            <w14:solidFill>
              <w14:schemeClr w14:val="tx1"/>
            </w14:solidFill>
          </w14:textFill>
        </w:rPr>
        <w:t>条</w:t>
      </w:r>
      <w:r>
        <w:rPr>
          <w:color w:val="000000" w:themeColor="text1"/>
          <w:spacing w:val="-4"/>
          <w:szCs w:val="32"/>
          <w14:textFill>
            <w14:solidFill>
              <w14:schemeClr w14:val="tx1"/>
            </w14:solidFill>
          </w14:textFill>
        </w:rPr>
        <w:t xml:space="preserve">  建筑布局及高度不应影响相邻地块现状建筑物的最低日照要求。   </w:t>
      </w:r>
    </w:p>
    <w:p w14:paraId="0376CB18">
      <w:pPr>
        <w:snapToGrid w:val="0"/>
        <w:spacing w:line="580" w:lineRule="exact"/>
        <w:ind w:firstLine="640" w:firstLineChars="200"/>
        <w:rPr>
          <w:color w:val="000000" w:themeColor="text1"/>
          <w:spacing w:val="-4"/>
          <w:szCs w:val="32"/>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三十九</w:t>
      </w:r>
      <w:r>
        <w:rPr>
          <w:rFonts w:eastAsia="楷体_GB2312"/>
          <w:color w:val="000000" w:themeColor="text1"/>
          <w:szCs w:val="32"/>
          <w14:textFill>
            <w14:solidFill>
              <w14:schemeClr w14:val="tx1"/>
            </w14:solidFill>
          </w14:textFill>
        </w:rPr>
        <w:t>条</w:t>
      </w:r>
      <w:r>
        <w:rPr>
          <w:color w:val="000000" w:themeColor="text1"/>
          <w:spacing w:val="-4"/>
          <w:szCs w:val="32"/>
          <w14:textFill>
            <w14:solidFill>
              <w14:schemeClr w14:val="tx1"/>
            </w14:solidFill>
          </w14:textFill>
        </w:rPr>
        <w:t xml:space="preserve">  商业商务区的商业综合体后退临街道路红线按第三十</w:t>
      </w:r>
      <w:r>
        <w:rPr>
          <w:rFonts w:hint="eastAsia"/>
          <w:color w:val="000000" w:themeColor="text1"/>
          <w:spacing w:val="-4"/>
          <w:szCs w:val="32"/>
          <w14:textFill>
            <w14:solidFill>
              <w14:schemeClr w14:val="tx1"/>
            </w14:solidFill>
          </w14:textFill>
        </w:rPr>
        <w:t>二</w:t>
      </w:r>
      <w:r>
        <w:rPr>
          <w:color w:val="000000" w:themeColor="text1"/>
          <w:spacing w:val="-4"/>
          <w:szCs w:val="32"/>
          <w14:textFill>
            <w14:solidFill>
              <w14:schemeClr w14:val="tx1"/>
            </w14:solidFill>
          </w14:textFill>
        </w:rPr>
        <w:t>条多层建筑后退标准和第三十</w:t>
      </w:r>
      <w:r>
        <w:rPr>
          <w:rFonts w:hint="eastAsia"/>
          <w:color w:val="000000" w:themeColor="text1"/>
          <w:spacing w:val="-4"/>
          <w:szCs w:val="32"/>
          <w14:textFill>
            <w14:solidFill>
              <w14:schemeClr w14:val="tx1"/>
            </w14:solidFill>
          </w14:textFill>
        </w:rPr>
        <w:t>三</w:t>
      </w:r>
      <w:r>
        <w:rPr>
          <w:color w:val="000000" w:themeColor="text1"/>
          <w:spacing w:val="-4"/>
          <w:szCs w:val="32"/>
          <w14:textFill>
            <w14:solidFill>
              <w14:schemeClr w14:val="tx1"/>
            </w14:solidFill>
          </w14:textFill>
        </w:rPr>
        <w:t>条执行。</w:t>
      </w:r>
    </w:p>
    <w:p w14:paraId="7F59FBAE">
      <w:pPr>
        <w:snapToGrid w:val="0"/>
        <w:spacing w:line="580" w:lineRule="exact"/>
        <w:ind w:firstLine="640" w:firstLineChars="200"/>
        <w:rPr>
          <w:color w:val="000000" w:themeColor="text1"/>
          <w:spacing w:val="-4"/>
          <w:szCs w:val="32"/>
          <w14:textFill>
            <w14:solidFill>
              <w14:schemeClr w14:val="tx1"/>
            </w14:solidFill>
          </w14:textFill>
        </w:rPr>
      </w:pPr>
      <w:r>
        <w:rPr>
          <w:rFonts w:eastAsia="楷体_GB2312"/>
          <w:color w:val="000000" w:themeColor="text1"/>
          <w:szCs w:val="32"/>
          <w14:textFill>
            <w14:solidFill>
              <w14:schemeClr w14:val="tx1"/>
            </w14:solidFill>
          </w14:textFill>
        </w:rPr>
        <w:t>第四十条</w:t>
      </w:r>
      <w:r>
        <w:rPr>
          <w:color w:val="000000" w:themeColor="text1"/>
          <w:spacing w:val="-4"/>
          <w:szCs w:val="32"/>
          <w14:textFill>
            <w14:solidFill>
              <w14:schemeClr w14:val="tx1"/>
            </w14:solidFill>
          </w14:textFill>
        </w:rPr>
        <w:t xml:space="preserve">  同一建筑在同时满足建筑间距和后退红线等多重控制要求的情况下，按最大的控制距离控制。</w:t>
      </w:r>
    </w:p>
    <w:p w14:paraId="3A19499B">
      <w:pPr>
        <w:pStyle w:val="2"/>
        <w:snapToGrid w:val="0"/>
        <w:spacing w:line="580" w:lineRule="exact"/>
        <w:ind w:firstLine="640" w:firstLineChars="200"/>
        <w:jc w:val="left"/>
        <w:rPr>
          <w:rFonts w:eastAsia="仿宋_GB2312"/>
          <w:b w:val="0"/>
          <w:color w:val="000000" w:themeColor="text1"/>
          <w:spacing w:val="-4"/>
          <w:sz w:val="32"/>
          <w:szCs w:val="32"/>
          <w14:textFill>
            <w14:solidFill>
              <w14:schemeClr w14:val="tx1"/>
            </w14:solidFill>
          </w14:textFill>
        </w:rPr>
      </w:pPr>
      <w:r>
        <w:rPr>
          <w:rFonts w:eastAsia="楷体_GB2312"/>
          <w:b w:val="0"/>
          <w:color w:val="000000" w:themeColor="text1"/>
          <w:sz w:val="32"/>
          <w:szCs w:val="32"/>
          <w14:textFill>
            <w14:solidFill>
              <w14:schemeClr w14:val="tx1"/>
            </w14:solidFill>
          </w14:textFill>
        </w:rPr>
        <w:t>第四十</w:t>
      </w:r>
      <w:r>
        <w:rPr>
          <w:rFonts w:hint="eastAsia" w:eastAsia="楷体_GB2312"/>
          <w:b w:val="0"/>
          <w:color w:val="000000" w:themeColor="text1"/>
          <w:sz w:val="32"/>
          <w:szCs w:val="32"/>
          <w14:textFill>
            <w14:solidFill>
              <w14:schemeClr w14:val="tx1"/>
            </w14:solidFill>
          </w14:textFill>
        </w:rPr>
        <w:t>一</w:t>
      </w:r>
      <w:r>
        <w:rPr>
          <w:rFonts w:eastAsia="楷体_GB2312"/>
          <w:b w:val="0"/>
          <w:color w:val="000000" w:themeColor="text1"/>
          <w:sz w:val="32"/>
          <w:szCs w:val="32"/>
          <w14:textFill>
            <w14:solidFill>
              <w14:schemeClr w14:val="tx1"/>
            </w14:solidFill>
          </w14:textFill>
        </w:rPr>
        <w:t xml:space="preserve">条 </w:t>
      </w:r>
      <w:r>
        <w:rPr>
          <w:rFonts w:eastAsia="仿宋_GB2312"/>
          <w:b w:val="0"/>
          <w:color w:val="000000" w:themeColor="text1"/>
          <w:spacing w:val="-4"/>
          <w:sz w:val="32"/>
          <w:szCs w:val="32"/>
          <w14:textFill>
            <w14:solidFill>
              <w14:schemeClr w14:val="tx1"/>
            </w14:solidFill>
          </w14:textFill>
        </w:rPr>
        <w:t xml:space="preserve"> 相邻地块可设置通道连接，连接方式分为空中廊道式和地下通道式两类，分别按以下规定控制：</w:t>
      </w:r>
    </w:p>
    <w:p w14:paraId="7729A1D6">
      <w:pPr>
        <w:snapToGrid w:val="0"/>
        <w:spacing w:line="580" w:lineRule="exact"/>
        <w:ind w:firstLine="624" w:firstLineChars="200"/>
        <w:rPr>
          <w:color w:val="000000" w:themeColor="text1"/>
          <w:spacing w:val="-4"/>
          <w:szCs w:val="32"/>
          <w14:textFill>
            <w14:solidFill>
              <w14:schemeClr w14:val="tx1"/>
            </w14:solidFill>
          </w14:textFill>
        </w:rPr>
      </w:pPr>
      <w:r>
        <w:rPr>
          <w:color w:val="000000" w:themeColor="text1"/>
          <w:spacing w:val="-4"/>
          <w:szCs w:val="32"/>
          <w14:textFill>
            <w14:solidFill>
              <w14:schemeClr w14:val="tx1"/>
            </w14:solidFill>
          </w14:textFill>
        </w:rPr>
        <w:t>（一）商业建筑修建空中廊道，空中廊道的宽度不得小于3米，廊道</w:t>
      </w:r>
      <w:r>
        <w:rPr>
          <w:color w:val="000000" w:themeColor="text1"/>
          <w:szCs w:val="32"/>
          <w14:textFill>
            <w14:solidFill>
              <w14:schemeClr w14:val="tx1"/>
            </w14:solidFill>
          </w14:textFill>
        </w:rPr>
        <w:t>下部</w:t>
      </w:r>
      <w:r>
        <w:rPr>
          <w:color w:val="000000" w:themeColor="text1"/>
          <w:spacing w:val="-4"/>
          <w:szCs w:val="32"/>
          <w14:textFill>
            <w14:solidFill>
              <w14:schemeClr w14:val="tx1"/>
            </w14:solidFill>
          </w14:textFill>
        </w:rPr>
        <w:t>的净空高度不得小于4.8米。廊道上及梯道下，均不得设置经营性设施以及其他与人行交通无关的设施。</w:t>
      </w:r>
    </w:p>
    <w:p w14:paraId="1332897A">
      <w:pPr>
        <w:snapToGrid w:val="0"/>
        <w:spacing w:line="580" w:lineRule="exact"/>
        <w:ind w:firstLine="624" w:firstLineChars="200"/>
        <w:rPr>
          <w:color w:val="000000" w:themeColor="text1"/>
          <w:spacing w:val="-4"/>
          <w:szCs w:val="32"/>
          <w14:textFill>
            <w14:solidFill>
              <w14:schemeClr w14:val="tx1"/>
            </w14:solidFill>
          </w14:textFill>
        </w:rPr>
      </w:pPr>
      <w:r>
        <w:rPr>
          <w:color w:val="000000" w:themeColor="text1"/>
          <w:spacing w:val="-4"/>
          <w:szCs w:val="32"/>
          <w14:textFill>
            <w14:solidFill>
              <w14:schemeClr w14:val="tx1"/>
            </w14:solidFill>
          </w14:textFill>
        </w:rPr>
        <w:t>（二）地下空间可连通，地下通道净宽不大于7米；当地下通道穿越规划步行街时，要预留城市管网走廊空间，且保证地下连接通道顶板标高距规划地面标高的距离不小于2米。</w:t>
      </w:r>
    </w:p>
    <w:p w14:paraId="14D0D52E">
      <w:pPr>
        <w:snapToGrid w:val="0"/>
        <w:spacing w:line="580" w:lineRule="exact"/>
        <w:ind w:firstLine="624" w:firstLineChars="200"/>
        <w:rPr>
          <w:color w:val="000000" w:themeColor="text1"/>
          <w:spacing w:val="-4"/>
          <w:szCs w:val="32"/>
          <w14:textFill>
            <w14:solidFill>
              <w14:schemeClr w14:val="tx1"/>
            </w14:solidFill>
          </w14:textFill>
        </w:rPr>
      </w:pPr>
      <w:r>
        <w:rPr>
          <w:color w:val="000000" w:themeColor="text1"/>
          <w:spacing w:val="-4"/>
          <w:szCs w:val="32"/>
          <w14:textFill>
            <w14:solidFill>
              <w14:schemeClr w14:val="tx1"/>
            </w14:solidFill>
          </w14:textFill>
        </w:rPr>
        <w:t>（三）空中廊道或地下通道的范围从建筑外墙连接处计算起止点，廊（通）道面积不计入项目容积率及建筑密度。</w:t>
      </w:r>
    </w:p>
    <w:p w14:paraId="2A8F009B">
      <w:pPr>
        <w:spacing w:line="580" w:lineRule="exact"/>
        <w:rPr>
          <w:rFonts w:eastAsia="黑体"/>
          <w:color w:val="000000" w:themeColor="text1"/>
          <w:szCs w:val="32"/>
          <w14:textFill>
            <w14:solidFill>
              <w14:schemeClr w14:val="tx1"/>
            </w14:solidFill>
          </w14:textFill>
        </w:rPr>
      </w:pPr>
    </w:p>
    <w:p w14:paraId="4B170B4E">
      <w:pPr>
        <w:spacing w:line="580" w:lineRule="exact"/>
        <w:jc w:val="center"/>
        <w:rPr>
          <w:rFonts w:eastAsia="黑体"/>
          <w:color w:val="000000" w:themeColor="text1"/>
          <w:szCs w:val="32"/>
          <w14:textFill>
            <w14:solidFill>
              <w14:schemeClr w14:val="tx1"/>
            </w14:solidFill>
          </w14:textFill>
        </w:rPr>
      </w:pPr>
      <w:r>
        <w:rPr>
          <w:rFonts w:eastAsia="黑体"/>
          <w:color w:val="000000" w:themeColor="text1"/>
          <w:szCs w:val="32"/>
          <w14:textFill>
            <w14:solidFill>
              <w14:schemeClr w14:val="tx1"/>
            </w14:solidFill>
          </w14:textFill>
        </w:rPr>
        <w:t>第七章   绿化管理</w:t>
      </w:r>
    </w:p>
    <w:p w14:paraId="4E1996BD">
      <w:pPr>
        <w:pStyle w:val="6"/>
        <w:spacing w:line="580" w:lineRule="exact"/>
        <w:ind w:left="502" w:leftChars="157" w:firstLine="89" w:firstLineChars="32"/>
        <w:rPr>
          <w:rFonts w:eastAsia="黑体"/>
          <w:color w:val="000000" w:themeColor="text1"/>
          <w:sz w:val="28"/>
          <w14:textFill>
            <w14:solidFill>
              <w14:schemeClr w14:val="tx1"/>
            </w14:solidFill>
          </w14:textFill>
        </w:rPr>
      </w:pPr>
    </w:p>
    <w:p w14:paraId="46B89D9D">
      <w:pPr>
        <w:spacing w:line="580" w:lineRule="exact"/>
        <w:ind w:firstLine="640" w:firstLineChars="200"/>
        <w:rPr>
          <w:color w:val="000000" w:themeColor="text1"/>
          <w:spacing w:val="-4"/>
          <w:szCs w:val="32"/>
          <w14:textFill>
            <w14:solidFill>
              <w14:schemeClr w14:val="tx1"/>
            </w14:solidFill>
          </w14:textFill>
        </w:rPr>
      </w:pPr>
      <w:r>
        <w:rPr>
          <w:rFonts w:eastAsia="楷体_GB2312"/>
          <w:color w:val="000000" w:themeColor="text1"/>
          <w:szCs w:val="32"/>
          <w14:textFill>
            <w14:solidFill>
              <w14:schemeClr w14:val="tx1"/>
            </w14:solidFill>
          </w14:textFill>
        </w:rPr>
        <w:t>第四十</w:t>
      </w:r>
      <w:r>
        <w:rPr>
          <w:rFonts w:hint="eastAsia" w:eastAsia="楷体_GB2312"/>
          <w:color w:val="000000" w:themeColor="text1"/>
          <w:szCs w:val="32"/>
          <w14:textFill>
            <w14:solidFill>
              <w14:schemeClr w14:val="tx1"/>
            </w14:solidFill>
          </w14:textFill>
        </w:rPr>
        <w:t>二</w:t>
      </w:r>
      <w:r>
        <w:rPr>
          <w:rFonts w:eastAsia="楷体_GB2312"/>
          <w:color w:val="000000" w:themeColor="text1"/>
          <w:szCs w:val="32"/>
          <w14:textFill>
            <w14:solidFill>
              <w14:schemeClr w14:val="tx1"/>
            </w14:solidFill>
          </w14:textFill>
        </w:rPr>
        <w:t xml:space="preserve">条  </w:t>
      </w:r>
      <w:r>
        <w:rPr>
          <w:color w:val="000000" w:themeColor="text1"/>
          <w:spacing w:val="-4"/>
          <w:szCs w:val="32"/>
          <w14:textFill>
            <w14:solidFill>
              <w14:schemeClr w14:val="tx1"/>
            </w14:solidFill>
          </w14:textFill>
        </w:rPr>
        <w:t>城市各类建设项目的绿地率，按表7</w:t>
      </w:r>
      <w:r>
        <w:rPr>
          <w:rFonts w:hint="eastAsia"/>
          <w:color w:val="000000" w:themeColor="text1"/>
          <w:spacing w:val="-4"/>
          <w:szCs w:val="32"/>
          <w14:textFill>
            <w14:solidFill>
              <w14:schemeClr w14:val="tx1"/>
            </w14:solidFill>
          </w14:textFill>
        </w:rPr>
        <w:t>—</w:t>
      </w:r>
      <w:r>
        <w:rPr>
          <w:color w:val="000000" w:themeColor="text1"/>
          <w:spacing w:val="-4"/>
          <w:szCs w:val="32"/>
          <w14:textFill>
            <w14:solidFill>
              <w14:schemeClr w14:val="tx1"/>
            </w14:solidFill>
          </w14:textFill>
        </w:rPr>
        <w:t>1规定控制。</w:t>
      </w:r>
    </w:p>
    <w:p w14:paraId="364FEF0E">
      <w:pPr>
        <w:pStyle w:val="2"/>
      </w:pPr>
    </w:p>
    <w:p w14:paraId="20F9642F">
      <w:pPr>
        <w:rPr>
          <w:rFonts w:hint="eastAsia"/>
        </w:rPr>
      </w:pPr>
    </w:p>
    <w:p w14:paraId="3383586B">
      <w:pPr>
        <w:spacing w:line="500" w:lineRule="exact"/>
        <w:jc w:val="center"/>
        <w:rPr>
          <w:color w:val="000000" w:themeColor="text1"/>
          <w:sz w:val="28"/>
          <w14:textFill>
            <w14:solidFill>
              <w14:schemeClr w14:val="tx1"/>
            </w14:solidFill>
          </w14:textFill>
        </w:rPr>
      </w:pPr>
      <w:r>
        <w:rPr>
          <w:color w:val="000000" w:themeColor="text1"/>
          <w:sz w:val="28"/>
          <w14:textFill>
            <w14:solidFill>
              <w14:schemeClr w14:val="tx1"/>
            </w14:solidFill>
          </w14:textFill>
        </w:rPr>
        <w:t>表7</w:t>
      </w:r>
      <w:r>
        <w:rPr>
          <w:rFonts w:hint="eastAsia"/>
          <w:color w:val="000000" w:themeColor="text1"/>
          <w:sz w:val="28"/>
          <w14:textFill>
            <w14:solidFill>
              <w14:schemeClr w14:val="tx1"/>
            </w14:solidFill>
          </w14:textFill>
        </w:rPr>
        <w:t>—</w:t>
      </w:r>
      <w:r>
        <w:rPr>
          <w:color w:val="000000" w:themeColor="text1"/>
          <w:sz w:val="28"/>
          <w14:textFill>
            <w14:solidFill>
              <w14:schemeClr w14:val="tx1"/>
            </w14:solidFill>
          </w14:textFill>
        </w:rPr>
        <w:t>1</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2"/>
        <w:gridCol w:w="1903"/>
        <w:gridCol w:w="1903"/>
        <w:gridCol w:w="1904"/>
      </w:tblGrid>
      <w:tr w14:paraId="45A04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2462" w:type="dxa"/>
            <w:vAlign w:val="center"/>
          </w:tcPr>
          <w:p w14:paraId="50E3C62E">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建设项目分类</w:t>
            </w:r>
          </w:p>
        </w:tc>
        <w:tc>
          <w:tcPr>
            <w:tcW w:w="5710" w:type="dxa"/>
            <w:gridSpan w:val="3"/>
            <w:vAlign w:val="center"/>
          </w:tcPr>
          <w:p w14:paraId="4D36AD39">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绿地率（％）</w:t>
            </w:r>
          </w:p>
        </w:tc>
      </w:tr>
      <w:tr w14:paraId="7758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exact"/>
          <w:jc w:val="center"/>
        </w:trPr>
        <w:tc>
          <w:tcPr>
            <w:tcW w:w="2462" w:type="dxa"/>
            <w:vAlign w:val="center"/>
          </w:tcPr>
          <w:p w14:paraId="31D2D999">
            <w:pPr>
              <w:spacing w:line="420" w:lineRule="exact"/>
              <w:jc w:val="center"/>
              <w:rPr>
                <w:color w:val="000000" w:themeColor="text1"/>
                <w:sz w:val="24"/>
                <w14:textFill>
                  <w14:solidFill>
                    <w14:schemeClr w14:val="tx1"/>
                  </w14:solidFill>
                </w14:textFill>
              </w:rPr>
            </w:pPr>
          </w:p>
        </w:tc>
        <w:tc>
          <w:tcPr>
            <w:tcW w:w="1903" w:type="dxa"/>
            <w:vAlign w:val="center"/>
          </w:tcPr>
          <w:p w14:paraId="00F2942F">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一分区</w:t>
            </w:r>
          </w:p>
        </w:tc>
        <w:tc>
          <w:tcPr>
            <w:tcW w:w="1903" w:type="dxa"/>
            <w:vAlign w:val="center"/>
          </w:tcPr>
          <w:p w14:paraId="752B7B21">
            <w:pPr>
              <w:spacing w:line="420" w:lineRule="exa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二分区</w:t>
            </w:r>
          </w:p>
        </w:tc>
        <w:tc>
          <w:tcPr>
            <w:tcW w:w="1904" w:type="dxa"/>
            <w:vAlign w:val="center"/>
          </w:tcPr>
          <w:p w14:paraId="201F99B4">
            <w:pPr>
              <w:spacing w:line="420" w:lineRule="exa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三分区</w:t>
            </w:r>
          </w:p>
        </w:tc>
      </w:tr>
      <w:tr w14:paraId="0E26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exact"/>
          <w:jc w:val="center"/>
        </w:trPr>
        <w:tc>
          <w:tcPr>
            <w:tcW w:w="2462" w:type="dxa"/>
            <w:vAlign w:val="center"/>
          </w:tcPr>
          <w:p w14:paraId="0F76783D">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居住用地</w:t>
            </w:r>
          </w:p>
        </w:tc>
        <w:tc>
          <w:tcPr>
            <w:tcW w:w="1903" w:type="dxa"/>
            <w:vAlign w:val="center"/>
          </w:tcPr>
          <w:p w14:paraId="4EEF7255">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≥3</w:t>
            </w:r>
            <w:r>
              <w:rPr>
                <w:rFonts w:hint="eastAsia"/>
                <w:color w:val="000000" w:themeColor="text1"/>
                <w:sz w:val="24"/>
                <w14:textFill>
                  <w14:solidFill>
                    <w14:schemeClr w14:val="tx1"/>
                  </w14:solidFill>
                </w14:textFill>
              </w:rPr>
              <w:t>5</w:t>
            </w:r>
          </w:p>
        </w:tc>
        <w:tc>
          <w:tcPr>
            <w:tcW w:w="1903" w:type="dxa"/>
            <w:vAlign w:val="center"/>
          </w:tcPr>
          <w:p w14:paraId="53020D3B">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≥3</w:t>
            </w:r>
            <w:r>
              <w:rPr>
                <w:rFonts w:hint="eastAsia"/>
                <w:color w:val="000000" w:themeColor="text1"/>
                <w:sz w:val="24"/>
                <w14:textFill>
                  <w14:solidFill>
                    <w14:schemeClr w14:val="tx1"/>
                  </w14:solidFill>
                </w14:textFill>
              </w:rPr>
              <w:t>5</w:t>
            </w:r>
          </w:p>
        </w:tc>
        <w:tc>
          <w:tcPr>
            <w:tcW w:w="1904" w:type="dxa"/>
            <w:vAlign w:val="center"/>
          </w:tcPr>
          <w:p w14:paraId="10C26EEC">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≥3</w:t>
            </w:r>
            <w:r>
              <w:rPr>
                <w:rFonts w:hint="eastAsia"/>
                <w:color w:val="000000" w:themeColor="text1"/>
                <w:sz w:val="24"/>
                <w14:textFill>
                  <w14:solidFill>
                    <w14:schemeClr w14:val="tx1"/>
                  </w14:solidFill>
                </w14:textFill>
              </w:rPr>
              <w:t>0</w:t>
            </w:r>
          </w:p>
        </w:tc>
      </w:tr>
      <w:tr w14:paraId="128CD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exact"/>
          <w:jc w:val="center"/>
        </w:trPr>
        <w:tc>
          <w:tcPr>
            <w:tcW w:w="2462" w:type="dxa"/>
            <w:vAlign w:val="center"/>
          </w:tcPr>
          <w:p w14:paraId="6437510E">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商业用地</w:t>
            </w:r>
          </w:p>
        </w:tc>
        <w:tc>
          <w:tcPr>
            <w:tcW w:w="1903" w:type="dxa"/>
            <w:vAlign w:val="center"/>
          </w:tcPr>
          <w:p w14:paraId="392D6B8A">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≥10</w:t>
            </w:r>
          </w:p>
        </w:tc>
        <w:tc>
          <w:tcPr>
            <w:tcW w:w="1903" w:type="dxa"/>
            <w:vAlign w:val="center"/>
          </w:tcPr>
          <w:p w14:paraId="1E8364BA">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≥10</w:t>
            </w:r>
          </w:p>
        </w:tc>
        <w:tc>
          <w:tcPr>
            <w:tcW w:w="1904" w:type="dxa"/>
            <w:vAlign w:val="center"/>
          </w:tcPr>
          <w:p w14:paraId="31BBF403">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≥10</w:t>
            </w:r>
          </w:p>
        </w:tc>
      </w:tr>
      <w:tr w14:paraId="163EB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exact"/>
          <w:jc w:val="center"/>
        </w:trPr>
        <w:tc>
          <w:tcPr>
            <w:tcW w:w="2462" w:type="dxa"/>
            <w:vAlign w:val="center"/>
          </w:tcPr>
          <w:p w14:paraId="4AFC9810">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行政办公、教育、</w:t>
            </w:r>
          </w:p>
          <w:p w14:paraId="54D051EA">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医疗用地</w:t>
            </w:r>
          </w:p>
        </w:tc>
        <w:tc>
          <w:tcPr>
            <w:tcW w:w="1903" w:type="dxa"/>
            <w:vAlign w:val="center"/>
          </w:tcPr>
          <w:p w14:paraId="56E34E54">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≥30</w:t>
            </w:r>
          </w:p>
        </w:tc>
        <w:tc>
          <w:tcPr>
            <w:tcW w:w="1903" w:type="dxa"/>
            <w:vAlign w:val="center"/>
          </w:tcPr>
          <w:p w14:paraId="6940E1ED">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≥30</w:t>
            </w:r>
          </w:p>
        </w:tc>
        <w:tc>
          <w:tcPr>
            <w:tcW w:w="1904" w:type="dxa"/>
            <w:vAlign w:val="center"/>
          </w:tcPr>
          <w:p w14:paraId="79283323">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≥30</w:t>
            </w:r>
          </w:p>
        </w:tc>
      </w:tr>
      <w:tr w14:paraId="271FF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exact"/>
          <w:jc w:val="center"/>
        </w:trPr>
        <w:tc>
          <w:tcPr>
            <w:tcW w:w="2462" w:type="dxa"/>
            <w:vAlign w:val="center"/>
          </w:tcPr>
          <w:p w14:paraId="7E1C7E11">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文化设施用地</w:t>
            </w:r>
          </w:p>
        </w:tc>
        <w:tc>
          <w:tcPr>
            <w:tcW w:w="1903" w:type="dxa"/>
            <w:vAlign w:val="center"/>
          </w:tcPr>
          <w:p w14:paraId="261D53A7">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≥30</w:t>
            </w:r>
          </w:p>
        </w:tc>
        <w:tc>
          <w:tcPr>
            <w:tcW w:w="1903" w:type="dxa"/>
            <w:vAlign w:val="center"/>
          </w:tcPr>
          <w:p w14:paraId="4E1F02B6">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≥30</w:t>
            </w:r>
          </w:p>
        </w:tc>
        <w:tc>
          <w:tcPr>
            <w:tcW w:w="1904" w:type="dxa"/>
            <w:vAlign w:val="center"/>
          </w:tcPr>
          <w:p w14:paraId="16B7E02E">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≥30</w:t>
            </w:r>
          </w:p>
        </w:tc>
      </w:tr>
      <w:tr w14:paraId="24E1A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exact"/>
          <w:jc w:val="center"/>
        </w:trPr>
        <w:tc>
          <w:tcPr>
            <w:tcW w:w="2462" w:type="dxa"/>
            <w:vAlign w:val="center"/>
          </w:tcPr>
          <w:p w14:paraId="0FB7E42A">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体育场馆用地</w:t>
            </w:r>
          </w:p>
        </w:tc>
        <w:tc>
          <w:tcPr>
            <w:tcW w:w="1903" w:type="dxa"/>
            <w:vAlign w:val="center"/>
          </w:tcPr>
          <w:p w14:paraId="1CB8E638">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≥10</w:t>
            </w:r>
          </w:p>
        </w:tc>
        <w:tc>
          <w:tcPr>
            <w:tcW w:w="1903" w:type="dxa"/>
            <w:vAlign w:val="center"/>
          </w:tcPr>
          <w:p w14:paraId="7C64A657">
            <w:pPr>
              <w:spacing w:line="420" w:lineRule="exact"/>
              <w:jc w:val="center"/>
              <w:rPr>
                <w:color w:val="000000" w:themeColor="text1"/>
                <w:sz w:val="24"/>
                <w14:textFill>
                  <w14:solidFill>
                    <w14:schemeClr w14:val="tx1"/>
                  </w14:solidFill>
                </w14:textFill>
              </w:rPr>
            </w:pPr>
          </w:p>
        </w:tc>
        <w:tc>
          <w:tcPr>
            <w:tcW w:w="1904" w:type="dxa"/>
            <w:vAlign w:val="center"/>
          </w:tcPr>
          <w:p w14:paraId="3C4E5A0E">
            <w:pPr>
              <w:spacing w:line="42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≥10</w:t>
            </w:r>
          </w:p>
        </w:tc>
      </w:tr>
    </w:tbl>
    <w:p w14:paraId="6E1E1454">
      <w:pPr>
        <w:spacing w:line="580" w:lineRule="exact"/>
        <w:ind w:firstLine="627" w:firstLineChars="196"/>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第四十</w:t>
      </w:r>
      <w:r>
        <w:rPr>
          <w:rFonts w:hint="eastAsia" w:eastAsia="楷体_GB2312"/>
          <w:color w:val="000000" w:themeColor="text1"/>
          <w:szCs w:val="32"/>
          <w14:textFill>
            <w14:solidFill>
              <w14:schemeClr w14:val="tx1"/>
            </w14:solidFill>
          </w14:textFill>
        </w:rPr>
        <w:t>三</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新建、改建、扩建公共绿地，由园林绿化主管部门现场设置永久性绿线公告栏，明确绿地的性质、位置、面积、四至界限及坐标。临时性公共绿地，由土地权属单位现场设置公告栏，明确临时绿化的用地性质、权属。</w:t>
      </w:r>
    </w:p>
    <w:p w14:paraId="12FED660">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第四十</w:t>
      </w:r>
      <w:r>
        <w:rPr>
          <w:rFonts w:hint="eastAsia" w:eastAsia="楷体_GB2312"/>
          <w:color w:val="000000" w:themeColor="text1"/>
          <w:szCs w:val="32"/>
          <w14:textFill>
            <w14:solidFill>
              <w14:schemeClr w14:val="tx1"/>
            </w14:solidFill>
          </w14:textFill>
        </w:rPr>
        <w:t>四</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地下室、半地下室顶板绿化在保证建筑安全的前提下，栽植中高乔木，覆土深度不小于1米；栽植小乔木，覆土深度不小于0.7米；栽植灌木地被，覆土深度不小于0.4米。</w:t>
      </w:r>
    </w:p>
    <w:p w14:paraId="5572DE17">
      <w:pPr>
        <w:spacing w:line="580" w:lineRule="exact"/>
        <w:ind w:firstLine="640" w:firstLineChars="200"/>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第四十</w:t>
      </w:r>
      <w:r>
        <w:rPr>
          <w:rFonts w:hint="eastAsia" w:eastAsia="楷体_GB2312"/>
          <w:color w:val="000000" w:themeColor="text1"/>
          <w:szCs w:val="32"/>
          <w14:textFill>
            <w14:solidFill>
              <w14:schemeClr w14:val="tx1"/>
            </w14:solidFill>
          </w14:textFill>
        </w:rPr>
        <w:t>五</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居住用地（含其它用地兼容的住宅部分）或居住兼容其他性质用地，</w:t>
      </w:r>
      <w:r>
        <w:rPr>
          <w:rFonts w:hint="eastAsia"/>
          <w:color w:val="000000" w:themeColor="text1"/>
          <w:szCs w:val="32"/>
          <w14:textFill>
            <w14:solidFill>
              <w14:schemeClr w14:val="tx1"/>
            </w14:solidFill>
          </w14:textFill>
        </w:rPr>
        <w:t>鼓励</w:t>
      </w:r>
      <w:r>
        <w:rPr>
          <w:color w:val="000000" w:themeColor="text1"/>
          <w:szCs w:val="32"/>
          <w14:textFill>
            <w14:solidFill>
              <w14:schemeClr w14:val="tx1"/>
            </w14:solidFill>
          </w14:textFill>
        </w:rPr>
        <w:t>设置对外集中绿地。对外集中绿地应设置在小区透景围墙以外，绿地的面积不低于小区绿地总面积的15%，原则上进深不小于8米，临街长度不小于20米。</w:t>
      </w:r>
    </w:p>
    <w:p w14:paraId="32BF018E">
      <w:pPr>
        <w:spacing w:line="580" w:lineRule="exact"/>
        <w:ind w:firstLine="640" w:firstLineChars="200"/>
        <w:rPr>
          <w:rFonts w:eastAsia="楷体_GB2312"/>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第四十</w:t>
      </w:r>
      <w:r>
        <w:rPr>
          <w:rFonts w:hint="eastAsia" w:eastAsia="楷体_GB2312"/>
          <w:color w:val="000000" w:themeColor="text1"/>
          <w:szCs w:val="32"/>
          <w14:textFill>
            <w14:solidFill>
              <w14:schemeClr w14:val="tx1"/>
            </w14:solidFill>
          </w14:textFill>
        </w:rPr>
        <w:t>六</w:t>
      </w:r>
      <w:r>
        <w:rPr>
          <w:rFonts w:eastAsia="楷体_GB2312"/>
          <w:color w:val="000000" w:themeColor="text1"/>
          <w:szCs w:val="32"/>
          <w14:textFill>
            <w14:solidFill>
              <w14:schemeClr w14:val="tx1"/>
            </w14:solidFill>
          </w14:textFill>
        </w:rPr>
        <w:t xml:space="preserve">条 </w:t>
      </w:r>
      <w:r>
        <w:rPr>
          <w:rFonts w:eastAsia="黑体"/>
          <w:color w:val="000000" w:themeColor="text1"/>
          <w:szCs w:val="32"/>
          <w14:textFill>
            <w14:solidFill>
              <w14:schemeClr w14:val="tx1"/>
            </w14:solidFill>
          </w14:textFill>
        </w:rPr>
        <w:t xml:space="preserve"> </w:t>
      </w:r>
      <w:r>
        <w:rPr>
          <w:color w:val="000000" w:themeColor="text1"/>
          <w:szCs w:val="32"/>
          <w14:textFill>
            <w14:solidFill>
              <w14:schemeClr w14:val="tx1"/>
            </w14:solidFill>
          </w14:textFill>
        </w:rPr>
        <w:t>建设项目</w:t>
      </w:r>
      <w:r>
        <w:rPr>
          <w:rFonts w:hint="eastAsia"/>
          <w:color w:val="000000" w:themeColor="text1"/>
          <w:szCs w:val="32"/>
          <w14:textFill>
            <w14:solidFill>
              <w14:schemeClr w14:val="tx1"/>
            </w14:solidFill>
          </w14:textFill>
        </w:rPr>
        <w:t>（不含工业项目）</w:t>
      </w:r>
      <w:r>
        <w:rPr>
          <w:color w:val="000000" w:themeColor="text1"/>
          <w:szCs w:val="32"/>
          <w14:textFill>
            <w14:solidFill>
              <w14:schemeClr w14:val="tx1"/>
            </w14:solidFill>
          </w14:textFill>
        </w:rPr>
        <w:t>临街透景围墙后退用地界线设置，透景围墙外至用地界线</w:t>
      </w:r>
      <w:r>
        <w:rPr>
          <w:rFonts w:hint="eastAsia"/>
          <w:color w:val="000000" w:themeColor="text1"/>
          <w:szCs w:val="32"/>
          <w14:textFill>
            <w14:solidFill>
              <w14:schemeClr w14:val="tx1"/>
            </w14:solidFill>
          </w14:textFill>
        </w:rPr>
        <w:t>可</w:t>
      </w:r>
      <w:r>
        <w:rPr>
          <w:color w:val="000000" w:themeColor="text1"/>
          <w:szCs w:val="32"/>
          <w14:textFill>
            <w14:solidFill>
              <w14:schemeClr w14:val="tx1"/>
            </w14:solidFill>
          </w14:textFill>
        </w:rPr>
        <w:t>全部设置为绿化融入城市公共绿地</w:t>
      </w:r>
      <w:r>
        <w:rPr>
          <w:rFonts w:hint="eastAsia"/>
          <w:color w:val="000000" w:themeColor="text1"/>
          <w:szCs w:val="32"/>
          <w14:textFill>
            <w14:solidFill>
              <w14:schemeClr w14:val="tx1"/>
            </w14:solidFill>
          </w14:textFill>
        </w:rPr>
        <w:t>，也可按五十七条规定部分设置为小区生态停车场，</w:t>
      </w:r>
      <w:r>
        <w:rPr>
          <w:color w:val="000000" w:themeColor="text1"/>
          <w:szCs w:val="32"/>
          <w14:textFill>
            <w14:solidFill>
              <w14:schemeClr w14:val="tx1"/>
            </w14:solidFill>
          </w14:textFill>
        </w:rPr>
        <w:t>小区透景围墙距道路红线不小于3米。建筑高度不超过4米的门卫室、对外公共厕所、不单独占地的市政公用设施、智能快递投递设施，可临小区透景围墙内侧设置。</w:t>
      </w:r>
    </w:p>
    <w:p w14:paraId="64AB7F52">
      <w:pPr>
        <w:snapToGrid w:val="0"/>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第四十</w:t>
      </w:r>
      <w:r>
        <w:rPr>
          <w:rFonts w:hint="eastAsia" w:eastAsia="楷体_GB2312"/>
          <w:color w:val="000000" w:themeColor="text1"/>
          <w:szCs w:val="32"/>
          <w14:textFill>
            <w14:solidFill>
              <w14:schemeClr w14:val="tx1"/>
            </w14:solidFill>
          </w14:textFill>
        </w:rPr>
        <w:t>七</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居住用地透景围墙与道路红线之间的绿地作为城市绿地系统的有效补充，鼓励营造为立体坡地绿化。</w:t>
      </w:r>
    </w:p>
    <w:p w14:paraId="22406BB8">
      <w:pPr>
        <w:snapToGrid w:val="0"/>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第四十</w:t>
      </w:r>
      <w:r>
        <w:rPr>
          <w:rFonts w:hint="eastAsia" w:eastAsia="楷体_GB2312"/>
          <w:color w:val="000000" w:themeColor="text1"/>
          <w:szCs w:val="32"/>
          <w14:textFill>
            <w14:solidFill>
              <w14:schemeClr w14:val="tx1"/>
            </w14:solidFill>
          </w14:textFill>
        </w:rPr>
        <w:t>八</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临街透景围墙后退形成的围墙外绿地、对外集中绿地、捐建的公共绿地必须与建设项目同步规划、同步实施、同步竣工验收，建成后移交园林绿化主管部门统一管理。</w:t>
      </w:r>
    </w:p>
    <w:p w14:paraId="1C714025">
      <w:pPr>
        <w:snapToGrid w:val="0"/>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四十九</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新建、改建、扩建公共绿地时，应对原有树木进行保留。</w:t>
      </w:r>
    </w:p>
    <w:p w14:paraId="3FB69E2A">
      <w:pPr>
        <w:spacing w:line="580" w:lineRule="exact"/>
        <w:ind w:firstLine="627" w:firstLineChars="196"/>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第五十条</w:t>
      </w:r>
      <w:r>
        <w:rPr>
          <w:color w:val="000000" w:themeColor="text1"/>
          <w:szCs w:val="32"/>
          <w14:textFill>
            <w14:solidFill>
              <w14:schemeClr w14:val="tx1"/>
            </w14:solidFill>
          </w14:textFill>
        </w:rPr>
        <w:t xml:space="preserve">  建设项目在进行水体景观设计时，景观用水水源应当优先使用再生水、雨水等非常规水源，原则上不得采用自来水作为水源。无自然水源条件的，原则上不得设置水景观。</w:t>
      </w:r>
    </w:p>
    <w:p w14:paraId="5BDE791D">
      <w:pPr>
        <w:spacing w:line="580" w:lineRule="exact"/>
        <w:ind w:firstLine="627" w:firstLineChars="196"/>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第五十</w:t>
      </w:r>
      <w:r>
        <w:rPr>
          <w:rFonts w:hint="eastAsia" w:eastAsia="楷体_GB2312"/>
          <w:color w:val="000000" w:themeColor="text1"/>
          <w:szCs w:val="32"/>
          <w14:textFill>
            <w14:solidFill>
              <w14:schemeClr w14:val="tx1"/>
            </w14:solidFill>
          </w14:textFill>
        </w:rPr>
        <w:t>一</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在公园绿地、街头绿地以及建设项目对外集中绿地规划设计时，必须将防灾避险功能纳入统筹考虑，建设相应的防灾避险设施，并与建设项目同步规划、同步实施、同步竣工验收。</w:t>
      </w:r>
    </w:p>
    <w:p w14:paraId="00D92ECC">
      <w:pPr>
        <w:spacing w:line="580" w:lineRule="exact"/>
        <w:ind w:firstLine="627" w:firstLineChars="196"/>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第五十</w:t>
      </w:r>
      <w:r>
        <w:rPr>
          <w:rFonts w:hint="eastAsia" w:eastAsia="楷体_GB2312"/>
          <w:color w:val="000000" w:themeColor="text1"/>
          <w:szCs w:val="32"/>
          <w14:textFill>
            <w14:solidFill>
              <w14:schemeClr w14:val="tx1"/>
            </w14:solidFill>
          </w14:textFill>
        </w:rPr>
        <w:t>二</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市政道路护坡、河道堤岸、围墙、棚架、桥梁栏杆外侧等，必须设置种植槽、攀爬藤蔓等多种形式实施立体绿化。</w:t>
      </w:r>
    </w:p>
    <w:p w14:paraId="26E4F2BF">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第五十</w:t>
      </w:r>
      <w:r>
        <w:rPr>
          <w:rFonts w:hint="eastAsia" w:eastAsia="楷体_GB2312"/>
          <w:color w:val="000000" w:themeColor="text1"/>
          <w:szCs w:val="32"/>
          <w14:textFill>
            <w14:solidFill>
              <w14:schemeClr w14:val="tx1"/>
            </w14:solidFill>
          </w14:textFill>
        </w:rPr>
        <w:t>三</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楼层高度在12层以下且不超过40米的新建公共建筑为平屋顶的，宜进行屋顶绿化。在不影响建筑原有使用功能且确保安全的前提下，可设置体育健身场地、停车场。</w:t>
      </w:r>
    </w:p>
    <w:p w14:paraId="38414A6D">
      <w:pPr>
        <w:snapToGrid w:val="0"/>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第五十</w:t>
      </w:r>
      <w:r>
        <w:rPr>
          <w:rFonts w:hint="eastAsia" w:eastAsia="楷体_GB2312"/>
          <w:color w:val="000000" w:themeColor="text1"/>
          <w:szCs w:val="32"/>
          <w14:textFill>
            <w14:solidFill>
              <w14:schemeClr w14:val="tx1"/>
            </w14:solidFill>
          </w14:textFill>
        </w:rPr>
        <w:t>四</w:t>
      </w:r>
      <w:r>
        <w:rPr>
          <w:rFonts w:eastAsia="楷体_GB2312"/>
          <w:color w:val="000000" w:themeColor="text1"/>
          <w:szCs w:val="32"/>
          <w14:textFill>
            <w14:solidFill>
              <w14:schemeClr w14:val="tx1"/>
            </w14:solidFill>
          </w14:textFill>
        </w:rPr>
        <w:t>条</w:t>
      </w:r>
      <w:r>
        <w:rPr>
          <w:rFonts w:hint="eastAsia" w:eastAsia="楷体_GB2312"/>
          <w:color w:val="000000" w:themeColor="text1"/>
          <w:szCs w:val="32"/>
          <w14:textFill>
            <w14:solidFill>
              <w14:schemeClr w14:val="tx1"/>
            </w14:solidFill>
          </w14:textFill>
        </w:rPr>
        <w:t xml:space="preserve">  新建</w:t>
      </w:r>
      <w:r>
        <w:rPr>
          <w:rFonts w:hint="eastAsia"/>
          <w:color w:val="000000" w:themeColor="text1"/>
          <w:szCs w:val="32"/>
          <w14:textFill>
            <w14:solidFill>
              <w14:schemeClr w14:val="tx1"/>
            </w14:solidFill>
          </w14:textFill>
        </w:rPr>
        <w:t>住宅建筑为上人平屋面的，在不影响结构安全、消防安全和公共设施使用前提下，本着“谁受益、谁出资”原则，允许上下对应的顶楼业主作为屋面管理和使用人进行屋面绿化和景观建设，但不得搭建板房或其它房屋建筑，开发企业在报批方案中明确范围和建设要求，并纳入销售展示和告之内容。</w:t>
      </w:r>
    </w:p>
    <w:p w14:paraId="3BD1100D">
      <w:pPr>
        <w:snapToGrid w:val="0"/>
        <w:spacing w:line="580" w:lineRule="exact"/>
        <w:ind w:firstLine="640" w:firstLineChars="200"/>
        <w:rPr>
          <w:color w:val="000000" w:themeColor="text1"/>
          <w:szCs w:val="32"/>
          <w14:textFill>
            <w14:solidFill>
              <w14:schemeClr w14:val="tx1"/>
            </w14:solidFill>
          </w14:textFill>
        </w:rPr>
      </w:pPr>
      <w:r>
        <w:rPr>
          <w:rFonts w:hint="eastAsia" w:eastAsia="楷体_GB2312"/>
          <w:color w:val="000000" w:themeColor="text1"/>
          <w:szCs w:val="32"/>
          <w14:textFill>
            <w14:solidFill>
              <w14:schemeClr w14:val="tx1"/>
            </w14:solidFill>
          </w14:textFill>
        </w:rPr>
        <w:t xml:space="preserve">第五十五条  </w:t>
      </w:r>
      <w:r>
        <w:rPr>
          <w:rFonts w:hint="eastAsia"/>
          <w:color w:val="000000" w:themeColor="text1"/>
          <w:szCs w:val="32"/>
          <w14:textFill>
            <w14:solidFill>
              <w14:schemeClr w14:val="tx1"/>
            </w14:solidFill>
          </w14:textFill>
        </w:rPr>
        <w:t>新建住宅小区底层住户可以在紧邻房屋位置划入部分绿地作为该户独立花园管理和使用，但划入部分不计入小区总绿地率，不得影响消防安全，且在报批方案中明确位置并作出标识，并纳入销售展示和告之内容。独立花园采用通透式围栏，风貌与小区环境协调，其园内绿地率不低于30%，绿植、围墙高度不得大于1.5米，且不得搭建板房或其他房屋建筑。</w:t>
      </w:r>
    </w:p>
    <w:p w14:paraId="5E6199CA">
      <w:pPr>
        <w:snapToGrid w:val="0"/>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第五十</w:t>
      </w:r>
      <w:r>
        <w:rPr>
          <w:rFonts w:hint="eastAsia" w:eastAsia="楷体_GB2312"/>
          <w:color w:val="000000" w:themeColor="text1"/>
          <w:szCs w:val="32"/>
          <w14:textFill>
            <w14:solidFill>
              <w14:schemeClr w14:val="tx1"/>
            </w14:solidFill>
          </w14:textFill>
        </w:rPr>
        <w:t>六</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新建、改建、扩建公共绿地、建设项目附属绿地应编制绿化设计方案（含绿化布局平面图、景观效果图、植物配置图等），乔木、地被植物所占比例大于70%，鼓励采用符合海绵城市规划建设要求的透水性铺装、下沉式绿地、雨水湿地、调节塘、植草沟等渗透截污净化技术。新建公共绿地时，须在公共绿地中设置体现</w:t>
      </w:r>
      <w:r>
        <w:rPr>
          <w:rFonts w:hint="eastAsia"/>
          <w:color w:val="000000" w:themeColor="text1"/>
          <w:szCs w:val="32"/>
          <w14:textFill>
            <w14:solidFill>
              <w14:schemeClr w14:val="tx1"/>
            </w14:solidFill>
          </w14:textFill>
        </w:rPr>
        <w:t>丹棱</w:t>
      </w:r>
      <w:r>
        <w:rPr>
          <w:color w:val="000000" w:themeColor="text1"/>
          <w:szCs w:val="32"/>
          <w14:textFill>
            <w14:solidFill>
              <w14:schemeClr w14:val="tx1"/>
            </w14:solidFill>
          </w14:textFill>
        </w:rPr>
        <w:t>特色的雕塑、建筑小品，园林景观原则上采用川派园林风格。各类绿化设计方案由园林绿化主管部门审定。</w:t>
      </w:r>
    </w:p>
    <w:p w14:paraId="6155B6C5">
      <w:pPr>
        <w:spacing w:line="580" w:lineRule="exact"/>
        <w:jc w:val="center"/>
        <w:rPr>
          <w:rFonts w:eastAsia="黑体"/>
          <w:color w:val="000000" w:themeColor="text1"/>
          <w:sz w:val="36"/>
          <w:szCs w:val="36"/>
          <w14:textFill>
            <w14:solidFill>
              <w14:schemeClr w14:val="tx1"/>
            </w14:solidFill>
          </w14:textFill>
        </w:rPr>
      </w:pPr>
    </w:p>
    <w:p w14:paraId="30517BFC">
      <w:pPr>
        <w:spacing w:line="580" w:lineRule="exact"/>
        <w:jc w:val="center"/>
        <w:rPr>
          <w:rFonts w:eastAsia="黑体"/>
          <w:color w:val="000000" w:themeColor="text1"/>
          <w:szCs w:val="32"/>
          <w14:textFill>
            <w14:solidFill>
              <w14:schemeClr w14:val="tx1"/>
            </w14:solidFill>
          </w14:textFill>
        </w:rPr>
      </w:pPr>
      <w:r>
        <w:rPr>
          <w:rFonts w:eastAsia="黑体"/>
          <w:color w:val="000000" w:themeColor="text1"/>
          <w:szCs w:val="32"/>
          <w14:textFill>
            <w14:solidFill>
              <w14:schemeClr w14:val="tx1"/>
            </w14:solidFill>
          </w14:textFill>
        </w:rPr>
        <w:t>第八章   配套设施管理</w:t>
      </w:r>
    </w:p>
    <w:p w14:paraId="410E32E9">
      <w:pPr>
        <w:spacing w:line="580" w:lineRule="exact"/>
        <w:rPr>
          <w:rFonts w:eastAsia="楷体_GB2312"/>
          <w:color w:val="000000" w:themeColor="text1"/>
          <w:szCs w:val="32"/>
          <w14:textFill>
            <w14:solidFill>
              <w14:schemeClr w14:val="tx1"/>
            </w14:solidFill>
          </w14:textFill>
        </w:rPr>
      </w:pPr>
    </w:p>
    <w:p w14:paraId="58C3EF9B">
      <w:pPr>
        <w:spacing w:line="580" w:lineRule="exact"/>
        <w:ind w:firstLine="640" w:firstLineChars="200"/>
        <w:rPr>
          <w:color w:val="000000" w:themeColor="text1"/>
          <w:sz w:val="28"/>
          <w14:textFill>
            <w14:solidFill>
              <w14:schemeClr w14:val="tx1"/>
            </w14:solidFill>
          </w14:textFill>
        </w:rPr>
      </w:pPr>
      <w:r>
        <w:rPr>
          <w:rFonts w:eastAsia="楷体_GB2312"/>
          <w:color w:val="000000" w:themeColor="text1"/>
          <w:szCs w:val="32"/>
          <w14:textFill>
            <w14:solidFill>
              <w14:schemeClr w14:val="tx1"/>
            </w14:solidFill>
          </w14:textFill>
        </w:rPr>
        <w:t>第五十</w:t>
      </w:r>
      <w:r>
        <w:rPr>
          <w:rFonts w:hint="eastAsia" w:eastAsia="楷体_GB2312"/>
          <w:color w:val="000000" w:themeColor="text1"/>
          <w:szCs w:val="32"/>
          <w14:textFill>
            <w14:solidFill>
              <w14:schemeClr w14:val="tx1"/>
            </w14:solidFill>
          </w14:textFill>
        </w:rPr>
        <w:t>七</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建设项目基地内</w:t>
      </w:r>
      <w:r>
        <w:rPr>
          <w:rFonts w:hint="eastAsia"/>
          <w:color w:val="000000" w:themeColor="text1"/>
          <w:szCs w:val="32"/>
          <w14:textFill>
            <w14:solidFill>
              <w14:schemeClr w14:val="tx1"/>
            </w14:solidFill>
          </w14:textFill>
        </w:rPr>
        <w:t>一、二分区</w:t>
      </w:r>
      <w:r>
        <w:rPr>
          <w:color w:val="000000" w:themeColor="text1"/>
          <w:szCs w:val="32"/>
          <w14:textFill>
            <w14:solidFill>
              <w14:schemeClr w14:val="tx1"/>
            </w14:solidFill>
          </w14:textFill>
        </w:rPr>
        <w:t>须按表8</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1规定配建机动车、非机动车停车场（库）</w:t>
      </w:r>
      <w:r>
        <w:rPr>
          <w:rFonts w:hint="eastAsia"/>
          <w:color w:val="000000" w:themeColor="text1"/>
          <w:szCs w:val="32"/>
          <w14:textFill>
            <w14:solidFill>
              <w14:schemeClr w14:val="tx1"/>
            </w14:solidFill>
          </w14:textFill>
        </w:rPr>
        <w:t>。三分区机动车场（库）根据实际情况具体议定，非机动车参照</w:t>
      </w:r>
      <w:r>
        <w:rPr>
          <w:color w:val="000000" w:themeColor="text1"/>
          <w:szCs w:val="32"/>
          <w14:textFill>
            <w14:solidFill>
              <w14:schemeClr w14:val="tx1"/>
            </w14:solidFill>
          </w14:textFill>
        </w:rPr>
        <w:t>表8</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1</w:t>
      </w:r>
      <w:r>
        <w:rPr>
          <w:rFonts w:hint="eastAsia"/>
          <w:color w:val="000000" w:themeColor="text1"/>
          <w:szCs w:val="32"/>
          <w14:textFill>
            <w14:solidFill>
              <w14:schemeClr w14:val="tx1"/>
            </w14:solidFill>
          </w14:textFill>
        </w:rPr>
        <w:t>配建</w:t>
      </w:r>
      <w:r>
        <w:rPr>
          <w:color w:val="000000" w:themeColor="text1"/>
          <w:szCs w:val="32"/>
          <w14:textFill>
            <w14:solidFill>
              <w14:schemeClr w14:val="tx1"/>
            </w14:solidFill>
          </w14:textFill>
        </w:rPr>
        <w:t>。</w:t>
      </w:r>
    </w:p>
    <w:p w14:paraId="6FCBFAC7">
      <w:pPr>
        <w:spacing w:line="600" w:lineRule="exact"/>
        <w:ind w:firstLine="686" w:firstLineChars="245"/>
        <w:jc w:val="center"/>
        <w:rPr>
          <w:color w:val="000000" w:themeColor="text1"/>
          <w:sz w:val="28"/>
          <w14:textFill>
            <w14:solidFill>
              <w14:schemeClr w14:val="tx1"/>
            </w14:solidFill>
          </w14:textFill>
        </w:rPr>
      </w:pPr>
      <w:r>
        <w:rPr>
          <w:color w:val="000000" w:themeColor="text1"/>
          <w:sz w:val="28"/>
          <w14:textFill>
            <w14:solidFill>
              <w14:schemeClr w14:val="tx1"/>
            </w14:solidFill>
          </w14:textFill>
        </w:rPr>
        <w:t>表8</w:t>
      </w:r>
      <w:r>
        <w:rPr>
          <w:rFonts w:hint="eastAsia"/>
          <w:color w:val="000000" w:themeColor="text1"/>
          <w:sz w:val="28"/>
          <w14:textFill>
            <w14:solidFill>
              <w14:schemeClr w14:val="tx1"/>
            </w14:solidFill>
          </w14:textFill>
        </w:rPr>
        <w:t>—</w:t>
      </w:r>
      <w:r>
        <w:rPr>
          <w:color w:val="000000" w:themeColor="text1"/>
          <w:sz w:val="28"/>
          <w14:textFill>
            <w14:solidFill>
              <w14:schemeClr w14:val="tx1"/>
            </w14:solidFill>
          </w14:textFill>
        </w:rPr>
        <w:t>1  停车位最小控制指标表</w:t>
      </w:r>
    </w:p>
    <w:tbl>
      <w:tblPr>
        <w:tblStyle w:val="14"/>
        <w:tblW w:w="9596" w:type="dxa"/>
        <w:tblInd w:w="-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70" w:type="dxa"/>
          <w:bottom w:w="0" w:type="dxa"/>
          <w:right w:w="170" w:type="dxa"/>
        </w:tblCellMar>
      </w:tblPr>
      <w:tblGrid>
        <w:gridCol w:w="4039"/>
        <w:gridCol w:w="2904"/>
        <w:gridCol w:w="2653"/>
      </w:tblGrid>
      <w:tr w14:paraId="402B9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70" w:type="dxa"/>
            <w:bottom w:w="0" w:type="dxa"/>
            <w:right w:w="170" w:type="dxa"/>
          </w:tblCellMar>
        </w:tblPrEx>
        <w:trPr>
          <w:trHeight w:val="500" w:hRule="atLeast"/>
        </w:trPr>
        <w:tc>
          <w:tcPr>
            <w:tcW w:w="4039" w:type="dxa"/>
            <w:vAlign w:val="center"/>
          </w:tcPr>
          <w:p w14:paraId="7F608C97">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建筑类别</w:t>
            </w:r>
          </w:p>
        </w:tc>
        <w:tc>
          <w:tcPr>
            <w:tcW w:w="2904" w:type="dxa"/>
            <w:vAlign w:val="center"/>
          </w:tcPr>
          <w:p w14:paraId="35FE7711">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小型乘用车位</w:t>
            </w:r>
          </w:p>
        </w:tc>
        <w:tc>
          <w:tcPr>
            <w:tcW w:w="2653" w:type="dxa"/>
            <w:vAlign w:val="center"/>
          </w:tcPr>
          <w:p w14:paraId="7E2A848A">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非机动车位</w:t>
            </w:r>
          </w:p>
        </w:tc>
      </w:tr>
      <w:tr w14:paraId="7C974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70" w:type="dxa"/>
            <w:bottom w:w="0" w:type="dxa"/>
            <w:right w:w="170" w:type="dxa"/>
          </w:tblCellMar>
        </w:tblPrEx>
        <w:trPr>
          <w:trHeight w:val="425" w:hRule="atLeast"/>
        </w:trPr>
        <w:tc>
          <w:tcPr>
            <w:tcW w:w="4039" w:type="dxa"/>
            <w:vAlign w:val="center"/>
          </w:tcPr>
          <w:p w14:paraId="63A3BEB6">
            <w:pPr>
              <w:pStyle w:val="13"/>
              <w:spacing w:before="0" w:beforeAutospacing="0" w:after="0" w:afterAutospacing="0" w:line="324" w:lineRule="atLeast"/>
              <w:rPr>
                <w:rFonts w:ascii="Times New Roman" w:hAnsi="Times New Roman" w:eastAsia="仿宋_GB2312" w:cs="Times New Roman"/>
                <w:color w:val="000000" w:themeColor="text1"/>
                <w:kern w:val="2"/>
                <w14:textFill>
                  <w14:solidFill>
                    <w14:schemeClr w14:val="tx1"/>
                  </w14:solidFill>
                </w14:textFill>
              </w:rPr>
            </w:pPr>
            <w:r>
              <w:rPr>
                <w:rFonts w:ascii="Times New Roman" w:hAnsi="Times New Roman" w:eastAsia="仿宋_GB2312" w:cs="Times New Roman"/>
                <w:color w:val="000000" w:themeColor="text1"/>
                <w:kern w:val="2"/>
                <w14:textFill>
                  <w14:solidFill>
                    <w14:schemeClr w14:val="tx1"/>
                  </w14:solidFill>
                </w14:textFill>
              </w:rPr>
              <w:t>住宅套型建筑面积≥100㎡</w:t>
            </w:r>
          </w:p>
        </w:tc>
        <w:tc>
          <w:tcPr>
            <w:tcW w:w="2904" w:type="dxa"/>
            <w:vAlign w:val="center"/>
          </w:tcPr>
          <w:p w14:paraId="1BD8335F">
            <w:pPr>
              <w:pStyle w:val="13"/>
              <w:spacing w:before="0" w:beforeAutospacing="0" w:after="0" w:afterAutospacing="0" w:line="324" w:lineRule="atLeast"/>
              <w:rPr>
                <w:rFonts w:ascii="Times New Roman" w:hAnsi="Times New Roman" w:eastAsia="仿宋_GB2312" w:cs="Times New Roman"/>
                <w:color w:val="000000" w:themeColor="text1"/>
                <w:kern w:val="2"/>
                <w14:textFill>
                  <w14:solidFill>
                    <w14:schemeClr w14:val="tx1"/>
                  </w14:solidFill>
                </w14:textFill>
              </w:rPr>
            </w:pPr>
            <w:r>
              <w:rPr>
                <w:rFonts w:ascii="Times New Roman" w:hAnsi="Times New Roman" w:eastAsia="仿宋_GB2312" w:cs="Times New Roman"/>
                <w:color w:val="000000" w:themeColor="text1"/>
                <w:kern w:val="2"/>
                <w14:textFill>
                  <w14:solidFill>
                    <w14:schemeClr w14:val="tx1"/>
                  </w14:solidFill>
                </w14:textFill>
              </w:rPr>
              <w:t>0.8车位/100m2建筑面积</w:t>
            </w:r>
          </w:p>
        </w:tc>
        <w:tc>
          <w:tcPr>
            <w:tcW w:w="2653" w:type="dxa"/>
            <w:vAlign w:val="center"/>
          </w:tcPr>
          <w:p w14:paraId="50378287">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0.</w:t>
            </w:r>
            <w:r>
              <w:rPr>
                <w:rFonts w:hint="eastAsia"/>
                <w:color w:val="000000" w:themeColor="text1"/>
                <w:sz w:val="24"/>
                <w14:textFill>
                  <w14:solidFill>
                    <w14:schemeClr w14:val="tx1"/>
                  </w14:solidFill>
                </w14:textFill>
              </w:rPr>
              <w:t>6</w:t>
            </w:r>
            <w:r>
              <w:rPr>
                <w:color w:val="000000" w:themeColor="text1"/>
                <w:sz w:val="24"/>
                <w14:textFill>
                  <w14:solidFill>
                    <w14:schemeClr w14:val="tx1"/>
                  </w14:solidFill>
                </w14:textFill>
              </w:rPr>
              <w:t>辆/每户</w:t>
            </w:r>
          </w:p>
        </w:tc>
      </w:tr>
      <w:tr w14:paraId="74D79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70" w:type="dxa"/>
            <w:bottom w:w="0" w:type="dxa"/>
            <w:right w:w="170" w:type="dxa"/>
          </w:tblCellMar>
        </w:tblPrEx>
        <w:trPr>
          <w:trHeight w:val="425" w:hRule="atLeast"/>
        </w:trPr>
        <w:tc>
          <w:tcPr>
            <w:tcW w:w="4039" w:type="dxa"/>
            <w:vAlign w:val="center"/>
          </w:tcPr>
          <w:p w14:paraId="525875AE">
            <w:pPr>
              <w:pStyle w:val="13"/>
              <w:spacing w:before="0" w:beforeAutospacing="0" w:after="0" w:afterAutospacing="0" w:line="324" w:lineRule="atLeast"/>
              <w:rPr>
                <w:rFonts w:ascii="Times New Roman" w:hAnsi="Times New Roman" w:eastAsia="仿宋_GB2312" w:cs="Times New Roman"/>
                <w:color w:val="000000" w:themeColor="text1"/>
                <w:kern w:val="2"/>
                <w14:textFill>
                  <w14:solidFill>
                    <w14:schemeClr w14:val="tx1"/>
                  </w14:solidFill>
                </w14:textFill>
              </w:rPr>
            </w:pPr>
            <w:r>
              <w:rPr>
                <w:rFonts w:ascii="Times New Roman" w:hAnsi="Times New Roman" w:eastAsia="仿宋_GB2312" w:cs="Times New Roman"/>
                <w:color w:val="000000" w:themeColor="text1"/>
                <w:kern w:val="2"/>
                <w14:textFill>
                  <w14:solidFill>
                    <w14:schemeClr w14:val="tx1"/>
                  </w14:solidFill>
                </w14:textFill>
              </w:rPr>
              <w:t>住宅套型建筑面积＜100㎡</w:t>
            </w:r>
          </w:p>
        </w:tc>
        <w:tc>
          <w:tcPr>
            <w:tcW w:w="2904" w:type="dxa"/>
            <w:vAlign w:val="center"/>
          </w:tcPr>
          <w:p w14:paraId="26A775D8">
            <w:pPr>
              <w:pStyle w:val="13"/>
              <w:spacing w:before="0" w:beforeAutospacing="0" w:after="0" w:afterAutospacing="0" w:line="324" w:lineRule="atLeast"/>
              <w:rPr>
                <w:rFonts w:ascii="Times New Roman" w:hAnsi="Times New Roman" w:eastAsia="仿宋_GB2312" w:cs="Times New Roman"/>
                <w:color w:val="000000" w:themeColor="text1"/>
                <w:kern w:val="2"/>
                <w14:textFill>
                  <w14:solidFill>
                    <w14:schemeClr w14:val="tx1"/>
                  </w14:solidFill>
                </w14:textFill>
              </w:rPr>
            </w:pPr>
            <w:r>
              <w:rPr>
                <w:rFonts w:ascii="Times New Roman" w:hAnsi="Times New Roman" w:eastAsia="仿宋_GB2312" w:cs="Times New Roman"/>
                <w:color w:val="000000" w:themeColor="text1"/>
                <w:kern w:val="2"/>
                <w14:textFill>
                  <w14:solidFill>
                    <w14:schemeClr w14:val="tx1"/>
                  </w14:solidFill>
                </w14:textFill>
              </w:rPr>
              <w:t>0.6车位/100m2建筑面积</w:t>
            </w:r>
          </w:p>
        </w:tc>
        <w:tc>
          <w:tcPr>
            <w:tcW w:w="2653" w:type="dxa"/>
            <w:vAlign w:val="center"/>
          </w:tcPr>
          <w:p w14:paraId="0160ACF3">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0.</w:t>
            </w:r>
            <w:r>
              <w:rPr>
                <w:rFonts w:hint="eastAsia"/>
                <w:color w:val="000000" w:themeColor="text1"/>
                <w:sz w:val="24"/>
                <w14:textFill>
                  <w14:solidFill>
                    <w14:schemeClr w14:val="tx1"/>
                  </w14:solidFill>
                </w14:textFill>
              </w:rPr>
              <w:t>8</w:t>
            </w:r>
            <w:r>
              <w:rPr>
                <w:color w:val="000000" w:themeColor="text1"/>
                <w:sz w:val="24"/>
                <w14:textFill>
                  <w14:solidFill>
                    <w14:schemeClr w14:val="tx1"/>
                  </w14:solidFill>
                </w14:textFill>
              </w:rPr>
              <w:t>辆/每户</w:t>
            </w:r>
          </w:p>
        </w:tc>
      </w:tr>
      <w:tr w14:paraId="5B221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70" w:type="dxa"/>
            <w:bottom w:w="0" w:type="dxa"/>
            <w:right w:w="170" w:type="dxa"/>
          </w:tblCellMar>
        </w:tblPrEx>
        <w:trPr>
          <w:trHeight w:val="438" w:hRule="atLeast"/>
        </w:trPr>
        <w:tc>
          <w:tcPr>
            <w:tcW w:w="4039" w:type="dxa"/>
            <w:vAlign w:val="center"/>
          </w:tcPr>
          <w:p w14:paraId="0D241EF2">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保障性住房、廉租房</w:t>
            </w:r>
          </w:p>
        </w:tc>
        <w:tc>
          <w:tcPr>
            <w:tcW w:w="2904" w:type="dxa"/>
            <w:vAlign w:val="center"/>
          </w:tcPr>
          <w:p w14:paraId="3DC3EC3A">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0.25辆/每户</w:t>
            </w:r>
          </w:p>
        </w:tc>
        <w:tc>
          <w:tcPr>
            <w:tcW w:w="2653" w:type="dxa"/>
            <w:vAlign w:val="center"/>
          </w:tcPr>
          <w:p w14:paraId="204A3D65">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1.0辆/每户</w:t>
            </w:r>
          </w:p>
        </w:tc>
      </w:tr>
      <w:tr w14:paraId="3ED5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70" w:type="dxa"/>
            <w:bottom w:w="0" w:type="dxa"/>
            <w:right w:w="170" w:type="dxa"/>
          </w:tblCellMar>
        </w:tblPrEx>
        <w:trPr>
          <w:trHeight w:val="207" w:hRule="atLeast"/>
        </w:trPr>
        <w:tc>
          <w:tcPr>
            <w:tcW w:w="4039" w:type="dxa"/>
            <w:vAlign w:val="center"/>
          </w:tcPr>
          <w:p w14:paraId="4668B6B3">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行政办公</w:t>
            </w:r>
          </w:p>
        </w:tc>
        <w:tc>
          <w:tcPr>
            <w:tcW w:w="2904" w:type="dxa"/>
            <w:vAlign w:val="center"/>
          </w:tcPr>
          <w:p w14:paraId="3A35DC66">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1.5车位/100 m</w:t>
            </w:r>
            <w:r>
              <w:rPr>
                <w:color w:val="000000" w:themeColor="text1"/>
                <w:sz w:val="24"/>
                <w:vertAlign w:val="superscript"/>
                <w14:textFill>
                  <w14:solidFill>
                    <w14:schemeClr w14:val="tx1"/>
                  </w14:solidFill>
                </w14:textFill>
              </w:rPr>
              <w:t>2</w:t>
            </w:r>
            <w:r>
              <w:rPr>
                <w:color w:val="000000" w:themeColor="text1"/>
                <w:sz w:val="24"/>
                <w14:textFill>
                  <w14:solidFill>
                    <w14:schemeClr w14:val="tx1"/>
                  </w14:solidFill>
                </w14:textFill>
              </w:rPr>
              <w:t>建筑面积</w:t>
            </w:r>
          </w:p>
        </w:tc>
        <w:tc>
          <w:tcPr>
            <w:tcW w:w="2653" w:type="dxa"/>
            <w:vAlign w:val="center"/>
          </w:tcPr>
          <w:p w14:paraId="3F551A0F">
            <w:pPr>
              <w:spacing w:line="360" w:lineRule="exact"/>
              <w:rPr>
                <w:color w:val="000000" w:themeColor="text1"/>
                <w:sz w:val="24"/>
                <w14:textFill>
                  <w14:solidFill>
                    <w14:schemeClr w14:val="tx1"/>
                  </w14:solidFill>
                </w14:textFill>
              </w:rPr>
            </w:pPr>
            <w:r>
              <w:rPr>
                <w:color w:val="000000" w:themeColor="text1"/>
                <w:sz w:val="24"/>
                <w14:textFill>
                  <w14:solidFill>
                    <w14:schemeClr w14:val="tx1"/>
                  </w14:solidFill>
                </w14:textFill>
              </w:rPr>
              <w:t>0.5辆/100 m</w:t>
            </w:r>
            <w:r>
              <w:rPr>
                <w:color w:val="000000" w:themeColor="text1"/>
                <w:sz w:val="24"/>
                <w:vertAlign w:val="superscript"/>
                <w14:textFill>
                  <w14:solidFill>
                    <w14:schemeClr w14:val="tx1"/>
                  </w14:solidFill>
                </w14:textFill>
              </w:rPr>
              <w:t>2</w:t>
            </w:r>
            <w:r>
              <w:rPr>
                <w:color w:val="000000" w:themeColor="text1"/>
                <w:sz w:val="24"/>
                <w14:textFill>
                  <w14:solidFill>
                    <w14:schemeClr w14:val="tx1"/>
                  </w14:solidFill>
                </w14:textFill>
              </w:rPr>
              <w:t>建筑面积</w:t>
            </w:r>
          </w:p>
        </w:tc>
      </w:tr>
      <w:tr w14:paraId="5E35D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70" w:type="dxa"/>
            <w:bottom w:w="0" w:type="dxa"/>
            <w:right w:w="170" w:type="dxa"/>
          </w:tblCellMar>
        </w:tblPrEx>
        <w:trPr>
          <w:trHeight w:val="425" w:hRule="atLeast"/>
        </w:trPr>
        <w:tc>
          <w:tcPr>
            <w:tcW w:w="4039" w:type="dxa"/>
            <w:vAlign w:val="center"/>
          </w:tcPr>
          <w:p w14:paraId="2072F163">
            <w:pPr>
              <w:spacing w:line="360" w:lineRule="exact"/>
              <w:jc w:val="center"/>
              <w:rPr>
                <w:color w:val="000000" w:themeColor="text1"/>
                <w:sz w:val="24"/>
                <w:highlight w:val="yellow"/>
                <w14:textFill>
                  <w14:solidFill>
                    <w14:schemeClr w14:val="tx1"/>
                  </w14:solidFill>
                </w14:textFill>
              </w:rPr>
            </w:pPr>
            <w:r>
              <w:rPr>
                <w:color w:val="000000" w:themeColor="text1"/>
                <w:sz w:val="24"/>
                <w14:textFill>
                  <w14:solidFill>
                    <w14:schemeClr w14:val="tx1"/>
                  </w14:solidFill>
                </w14:textFill>
              </w:rPr>
              <w:t>商业、宾馆</w:t>
            </w:r>
          </w:p>
        </w:tc>
        <w:tc>
          <w:tcPr>
            <w:tcW w:w="2904" w:type="dxa"/>
            <w:vAlign w:val="center"/>
          </w:tcPr>
          <w:p w14:paraId="74A31C48">
            <w:pPr>
              <w:spacing w:line="360" w:lineRule="exact"/>
              <w:jc w:val="center"/>
              <w:rPr>
                <w:color w:val="000000" w:themeColor="text1"/>
                <w:sz w:val="24"/>
                <w:highlight w:val="yellow"/>
                <w14:textFill>
                  <w14:solidFill>
                    <w14:schemeClr w14:val="tx1"/>
                  </w14:solidFill>
                </w14:textFill>
              </w:rPr>
            </w:pPr>
            <w:r>
              <w:rPr>
                <w:color w:val="000000" w:themeColor="text1"/>
                <w:sz w:val="24"/>
                <w14:textFill>
                  <w14:solidFill>
                    <w14:schemeClr w14:val="tx1"/>
                  </w14:solidFill>
                </w14:textFill>
              </w:rPr>
              <w:t>0.8车位/100 m</w:t>
            </w:r>
            <w:r>
              <w:rPr>
                <w:color w:val="000000" w:themeColor="text1"/>
                <w:sz w:val="24"/>
                <w:vertAlign w:val="superscript"/>
                <w14:textFill>
                  <w14:solidFill>
                    <w14:schemeClr w14:val="tx1"/>
                  </w14:solidFill>
                </w14:textFill>
              </w:rPr>
              <w:t>2</w:t>
            </w:r>
            <w:r>
              <w:rPr>
                <w:color w:val="000000" w:themeColor="text1"/>
                <w:sz w:val="24"/>
                <w14:textFill>
                  <w14:solidFill>
                    <w14:schemeClr w14:val="tx1"/>
                  </w14:solidFill>
                </w14:textFill>
              </w:rPr>
              <w:t>建筑面积</w:t>
            </w:r>
          </w:p>
        </w:tc>
        <w:tc>
          <w:tcPr>
            <w:tcW w:w="2653" w:type="dxa"/>
            <w:vAlign w:val="center"/>
          </w:tcPr>
          <w:p w14:paraId="3080F4A3">
            <w:pPr>
              <w:spacing w:line="360" w:lineRule="exact"/>
              <w:rPr>
                <w:color w:val="000000" w:themeColor="text1"/>
                <w:sz w:val="24"/>
                <w:highlight w:val="yellow"/>
                <w14:textFill>
                  <w14:solidFill>
                    <w14:schemeClr w14:val="tx1"/>
                  </w14:solidFill>
                </w14:textFill>
              </w:rPr>
            </w:pPr>
            <w:r>
              <w:rPr>
                <w:color w:val="000000" w:themeColor="text1"/>
                <w:sz w:val="24"/>
                <w14:textFill>
                  <w14:solidFill>
                    <w14:schemeClr w14:val="tx1"/>
                  </w14:solidFill>
                </w14:textFill>
              </w:rPr>
              <w:t>1.0辆/100 m</w:t>
            </w:r>
            <w:r>
              <w:rPr>
                <w:color w:val="000000" w:themeColor="text1"/>
                <w:sz w:val="24"/>
                <w:vertAlign w:val="superscript"/>
                <w14:textFill>
                  <w14:solidFill>
                    <w14:schemeClr w14:val="tx1"/>
                  </w14:solidFill>
                </w14:textFill>
              </w:rPr>
              <w:t>2</w:t>
            </w:r>
            <w:r>
              <w:rPr>
                <w:color w:val="000000" w:themeColor="text1"/>
                <w:sz w:val="24"/>
                <w14:textFill>
                  <w14:solidFill>
                    <w14:schemeClr w14:val="tx1"/>
                  </w14:solidFill>
                </w14:textFill>
              </w:rPr>
              <w:t>建筑面积</w:t>
            </w:r>
          </w:p>
        </w:tc>
      </w:tr>
      <w:tr w14:paraId="47039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70" w:type="dxa"/>
            <w:bottom w:w="0" w:type="dxa"/>
            <w:right w:w="170" w:type="dxa"/>
          </w:tblCellMar>
        </w:tblPrEx>
        <w:trPr>
          <w:trHeight w:val="425" w:hRule="atLeast"/>
        </w:trPr>
        <w:tc>
          <w:tcPr>
            <w:tcW w:w="4039" w:type="dxa"/>
            <w:vAlign w:val="center"/>
          </w:tcPr>
          <w:p w14:paraId="5348639F">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医疗</w:t>
            </w:r>
          </w:p>
        </w:tc>
        <w:tc>
          <w:tcPr>
            <w:tcW w:w="2904" w:type="dxa"/>
            <w:vAlign w:val="center"/>
          </w:tcPr>
          <w:p w14:paraId="1B22B6BC">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0.8车位/100 m</w:t>
            </w:r>
            <w:r>
              <w:rPr>
                <w:color w:val="000000" w:themeColor="text1"/>
                <w:sz w:val="24"/>
                <w:vertAlign w:val="superscript"/>
                <w14:textFill>
                  <w14:solidFill>
                    <w14:schemeClr w14:val="tx1"/>
                  </w14:solidFill>
                </w14:textFill>
              </w:rPr>
              <w:t>2</w:t>
            </w:r>
            <w:r>
              <w:rPr>
                <w:color w:val="000000" w:themeColor="text1"/>
                <w:sz w:val="24"/>
                <w14:textFill>
                  <w14:solidFill>
                    <w14:schemeClr w14:val="tx1"/>
                  </w14:solidFill>
                </w14:textFill>
              </w:rPr>
              <w:t>建筑面积</w:t>
            </w:r>
          </w:p>
        </w:tc>
        <w:tc>
          <w:tcPr>
            <w:tcW w:w="2653" w:type="dxa"/>
            <w:vAlign w:val="center"/>
          </w:tcPr>
          <w:p w14:paraId="1DC91A53">
            <w:pPr>
              <w:spacing w:line="360" w:lineRule="exact"/>
              <w:rPr>
                <w:color w:val="000000" w:themeColor="text1"/>
                <w:sz w:val="24"/>
                <w14:textFill>
                  <w14:solidFill>
                    <w14:schemeClr w14:val="tx1"/>
                  </w14:solidFill>
                </w14:textFill>
              </w:rPr>
            </w:pPr>
            <w:r>
              <w:rPr>
                <w:color w:val="000000" w:themeColor="text1"/>
                <w:sz w:val="24"/>
                <w14:textFill>
                  <w14:solidFill>
                    <w14:schemeClr w14:val="tx1"/>
                  </w14:solidFill>
                </w14:textFill>
              </w:rPr>
              <w:t>1.0辆/100 m</w:t>
            </w:r>
            <w:r>
              <w:rPr>
                <w:color w:val="000000" w:themeColor="text1"/>
                <w:sz w:val="24"/>
                <w:vertAlign w:val="superscript"/>
                <w14:textFill>
                  <w14:solidFill>
                    <w14:schemeClr w14:val="tx1"/>
                  </w14:solidFill>
                </w14:textFill>
              </w:rPr>
              <w:t>2</w:t>
            </w:r>
            <w:r>
              <w:rPr>
                <w:color w:val="000000" w:themeColor="text1"/>
                <w:sz w:val="24"/>
                <w14:textFill>
                  <w14:solidFill>
                    <w14:schemeClr w14:val="tx1"/>
                  </w14:solidFill>
                </w14:textFill>
              </w:rPr>
              <w:t>建筑面积</w:t>
            </w:r>
          </w:p>
        </w:tc>
      </w:tr>
      <w:tr w14:paraId="0D94C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70" w:type="dxa"/>
            <w:bottom w:w="0" w:type="dxa"/>
            <w:right w:w="170" w:type="dxa"/>
          </w:tblCellMar>
        </w:tblPrEx>
        <w:trPr>
          <w:trHeight w:val="440" w:hRule="atLeast"/>
        </w:trPr>
        <w:tc>
          <w:tcPr>
            <w:tcW w:w="4039" w:type="dxa"/>
            <w:vAlign w:val="center"/>
          </w:tcPr>
          <w:p w14:paraId="6F8493AD">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小学、幼儿园</w:t>
            </w:r>
          </w:p>
        </w:tc>
        <w:tc>
          <w:tcPr>
            <w:tcW w:w="2904" w:type="dxa"/>
            <w:vAlign w:val="center"/>
          </w:tcPr>
          <w:p w14:paraId="4C223DB9">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0.</w:t>
            </w:r>
            <w:r>
              <w:rPr>
                <w:rFonts w:hint="eastAsia"/>
                <w:color w:val="000000" w:themeColor="text1"/>
                <w:sz w:val="24"/>
                <w14:textFill>
                  <w14:solidFill>
                    <w14:schemeClr w14:val="tx1"/>
                  </w14:solidFill>
                </w14:textFill>
              </w:rPr>
              <w:t>1</w:t>
            </w:r>
            <w:r>
              <w:rPr>
                <w:color w:val="000000" w:themeColor="text1"/>
                <w:sz w:val="24"/>
                <w14:textFill>
                  <w14:solidFill>
                    <w14:schemeClr w14:val="tx1"/>
                  </w14:solidFill>
                </w14:textFill>
              </w:rPr>
              <w:t>车位/100 m</w:t>
            </w:r>
            <w:r>
              <w:rPr>
                <w:color w:val="000000" w:themeColor="text1"/>
                <w:sz w:val="24"/>
                <w:vertAlign w:val="superscript"/>
                <w14:textFill>
                  <w14:solidFill>
                    <w14:schemeClr w14:val="tx1"/>
                  </w14:solidFill>
                </w14:textFill>
              </w:rPr>
              <w:t>2</w:t>
            </w:r>
            <w:r>
              <w:rPr>
                <w:color w:val="000000" w:themeColor="text1"/>
                <w:sz w:val="24"/>
                <w14:textFill>
                  <w14:solidFill>
                    <w14:schemeClr w14:val="tx1"/>
                  </w14:solidFill>
                </w14:textFill>
              </w:rPr>
              <w:t>建筑面积</w:t>
            </w:r>
          </w:p>
        </w:tc>
        <w:tc>
          <w:tcPr>
            <w:tcW w:w="2653" w:type="dxa"/>
            <w:vAlign w:val="center"/>
          </w:tcPr>
          <w:p w14:paraId="58A6AF02">
            <w:pPr>
              <w:spacing w:line="360" w:lineRule="exa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w:t>
            </w:r>
          </w:p>
        </w:tc>
      </w:tr>
      <w:tr w14:paraId="08776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70" w:type="dxa"/>
            <w:bottom w:w="0" w:type="dxa"/>
            <w:right w:w="170" w:type="dxa"/>
          </w:tblCellMar>
        </w:tblPrEx>
        <w:trPr>
          <w:trHeight w:val="440" w:hRule="atLeast"/>
        </w:trPr>
        <w:tc>
          <w:tcPr>
            <w:tcW w:w="4039" w:type="dxa"/>
            <w:vAlign w:val="center"/>
          </w:tcPr>
          <w:p w14:paraId="1EAB1553">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大学、中学</w:t>
            </w:r>
          </w:p>
        </w:tc>
        <w:tc>
          <w:tcPr>
            <w:tcW w:w="2904" w:type="dxa"/>
            <w:vAlign w:val="center"/>
          </w:tcPr>
          <w:p w14:paraId="245DC48E">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0.</w:t>
            </w:r>
            <w:r>
              <w:rPr>
                <w:rFonts w:hint="eastAsia"/>
                <w:color w:val="000000" w:themeColor="text1"/>
                <w:sz w:val="24"/>
                <w14:textFill>
                  <w14:solidFill>
                    <w14:schemeClr w14:val="tx1"/>
                  </w14:solidFill>
                </w14:textFill>
              </w:rPr>
              <w:t>2</w:t>
            </w:r>
            <w:r>
              <w:rPr>
                <w:color w:val="000000" w:themeColor="text1"/>
                <w:sz w:val="24"/>
                <w14:textFill>
                  <w14:solidFill>
                    <w14:schemeClr w14:val="tx1"/>
                  </w14:solidFill>
                </w14:textFill>
              </w:rPr>
              <w:t>车位/100 m</w:t>
            </w:r>
            <w:r>
              <w:rPr>
                <w:color w:val="000000" w:themeColor="text1"/>
                <w:sz w:val="24"/>
                <w:vertAlign w:val="superscript"/>
                <w14:textFill>
                  <w14:solidFill>
                    <w14:schemeClr w14:val="tx1"/>
                  </w14:solidFill>
                </w14:textFill>
              </w:rPr>
              <w:t>2</w:t>
            </w:r>
            <w:r>
              <w:rPr>
                <w:color w:val="000000" w:themeColor="text1"/>
                <w:sz w:val="24"/>
                <w14:textFill>
                  <w14:solidFill>
                    <w14:schemeClr w14:val="tx1"/>
                  </w14:solidFill>
                </w14:textFill>
              </w:rPr>
              <w:t>建筑面积</w:t>
            </w:r>
          </w:p>
        </w:tc>
        <w:tc>
          <w:tcPr>
            <w:tcW w:w="2653" w:type="dxa"/>
            <w:vAlign w:val="center"/>
          </w:tcPr>
          <w:p w14:paraId="3C4A464A">
            <w:pPr>
              <w:spacing w:line="360" w:lineRule="exact"/>
              <w:rPr>
                <w:color w:val="000000" w:themeColor="text1"/>
                <w:sz w:val="24"/>
                <w14:textFill>
                  <w14:solidFill>
                    <w14:schemeClr w14:val="tx1"/>
                  </w14:solidFill>
                </w14:textFill>
              </w:rPr>
            </w:pPr>
            <w:r>
              <w:rPr>
                <w:color w:val="000000" w:themeColor="text1"/>
                <w:sz w:val="24"/>
                <w14:textFill>
                  <w14:solidFill>
                    <w14:schemeClr w14:val="tx1"/>
                  </w14:solidFill>
                </w14:textFill>
              </w:rPr>
              <w:t>1.0辆/100 m</w:t>
            </w:r>
            <w:r>
              <w:rPr>
                <w:color w:val="000000" w:themeColor="text1"/>
                <w:sz w:val="24"/>
                <w:vertAlign w:val="superscript"/>
                <w14:textFill>
                  <w14:solidFill>
                    <w14:schemeClr w14:val="tx1"/>
                  </w14:solidFill>
                </w14:textFill>
              </w:rPr>
              <w:t>2</w:t>
            </w:r>
            <w:r>
              <w:rPr>
                <w:color w:val="000000" w:themeColor="text1"/>
                <w:sz w:val="24"/>
                <w14:textFill>
                  <w14:solidFill>
                    <w14:schemeClr w14:val="tx1"/>
                  </w14:solidFill>
                </w14:textFill>
              </w:rPr>
              <w:t>建筑面积</w:t>
            </w:r>
          </w:p>
        </w:tc>
      </w:tr>
      <w:tr w14:paraId="13BF5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70" w:type="dxa"/>
            <w:bottom w:w="0" w:type="dxa"/>
            <w:right w:w="170" w:type="dxa"/>
          </w:tblCellMar>
        </w:tblPrEx>
        <w:trPr>
          <w:trHeight w:val="440" w:hRule="atLeast"/>
        </w:trPr>
        <w:tc>
          <w:tcPr>
            <w:tcW w:w="4039" w:type="dxa"/>
            <w:vAlign w:val="center"/>
          </w:tcPr>
          <w:p w14:paraId="67068A8A">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体育场馆、</w:t>
            </w:r>
          </w:p>
          <w:p w14:paraId="00FDC5C6">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大型公共文化设施</w:t>
            </w:r>
          </w:p>
        </w:tc>
        <w:tc>
          <w:tcPr>
            <w:tcW w:w="2904" w:type="dxa"/>
            <w:vAlign w:val="center"/>
          </w:tcPr>
          <w:p w14:paraId="2298F727">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1.5车位/100 m</w:t>
            </w:r>
            <w:r>
              <w:rPr>
                <w:color w:val="000000" w:themeColor="text1"/>
                <w:sz w:val="24"/>
                <w:vertAlign w:val="superscript"/>
                <w14:textFill>
                  <w14:solidFill>
                    <w14:schemeClr w14:val="tx1"/>
                  </w14:solidFill>
                </w14:textFill>
              </w:rPr>
              <w:t>2</w:t>
            </w:r>
            <w:r>
              <w:rPr>
                <w:color w:val="000000" w:themeColor="text1"/>
                <w:sz w:val="24"/>
                <w14:textFill>
                  <w14:solidFill>
                    <w14:schemeClr w14:val="tx1"/>
                  </w14:solidFill>
                </w14:textFill>
              </w:rPr>
              <w:t>建筑面积</w:t>
            </w:r>
          </w:p>
        </w:tc>
        <w:tc>
          <w:tcPr>
            <w:tcW w:w="2653" w:type="dxa"/>
            <w:vAlign w:val="center"/>
          </w:tcPr>
          <w:p w14:paraId="614E4BD0">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1.0辆/100 m</w:t>
            </w:r>
            <w:r>
              <w:rPr>
                <w:color w:val="000000" w:themeColor="text1"/>
                <w:sz w:val="24"/>
                <w:vertAlign w:val="superscript"/>
                <w14:textFill>
                  <w14:solidFill>
                    <w14:schemeClr w14:val="tx1"/>
                  </w14:solidFill>
                </w14:textFill>
              </w:rPr>
              <w:t>2</w:t>
            </w:r>
            <w:r>
              <w:rPr>
                <w:color w:val="000000" w:themeColor="text1"/>
                <w:sz w:val="24"/>
                <w14:textFill>
                  <w14:solidFill>
                    <w14:schemeClr w14:val="tx1"/>
                  </w14:solidFill>
                </w14:textFill>
              </w:rPr>
              <w:t>建筑面积</w:t>
            </w:r>
          </w:p>
        </w:tc>
      </w:tr>
      <w:tr w14:paraId="1681D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70" w:type="dxa"/>
            <w:bottom w:w="0" w:type="dxa"/>
            <w:right w:w="170" w:type="dxa"/>
          </w:tblCellMar>
        </w:tblPrEx>
        <w:trPr>
          <w:trHeight w:val="440" w:hRule="atLeast"/>
        </w:trPr>
        <w:tc>
          <w:tcPr>
            <w:tcW w:w="4039" w:type="dxa"/>
            <w:vAlign w:val="center"/>
          </w:tcPr>
          <w:p w14:paraId="2F409C11">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专业市场</w:t>
            </w:r>
          </w:p>
        </w:tc>
        <w:tc>
          <w:tcPr>
            <w:tcW w:w="2904" w:type="dxa"/>
            <w:vAlign w:val="center"/>
          </w:tcPr>
          <w:p w14:paraId="5CB010F7">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0.6车位/100 m</w:t>
            </w:r>
            <w:r>
              <w:rPr>
                <w:color w:val="000000" w:themeColor="text1"/>
                <w:sz w:val="24"/>
                <w:vertAlign w:val="superscript"/>
                <w14:textFill>
                  <w14:solidFill>
                    <w14:schemeClr w14:val="tx1"/>
                  </w14:solidFill>
                </w14:textFill>
              </w:rPr>
              <w:t>2</w:t>
            </w:r>
            <w:r>
              <w:rPr>
                <w:color w:val="000000" w:themeColor="text1"/>
                <w:sz w:val="24"/>
                <w14:textFill>
                  <w14:solidFill>
                    <w14:schemeClr w14:val="tx1"/>
                  </w14:solidFill>
                </w14:textFill>
              </w:rPr>
              <w:t>建筑面积</w:t>
            </w:r>
          </w:p>
        </w:tc>
        <w:tc>
          <w:tcPr>
            <w:tcW w:w="2653" w:type="dxa"/>
            <w:vAlign w:val="center"/>
          </w:tcPr>
          <w:p w14:paraId="6987B6EF">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0.5辆/100 m</w:t>
            </w:r>
            <w:r>
              <w:rPr>
                <w:color w:val="000000" w:themeColor="text1"/>
                <w:sz w:val="24"/>
                <w:vertAlign w:val="superscript"/>
                <w14:textFill>
                  <w14:solidFill>
                    <w14:schemeClr w14:val="tx1"/>
                  </w14:solidFill>
                </w14:textFill>
              </w:rPr>
              <w:t>2</w:t>
            </w:r>
            <w:r>
              <w:rPr>
                <w:color w:val="000000" w:themeColor="text1"/>
                <w:sz w:val="24"/>
                <w14:textFill>
                  <w14:solidFill>
                    <w14:schemeClr w14:val="tx1"/>
                  </w14:solidFill>
                </w14:textFill>
              </w:rPr>
              <w:t>建筑面积</w:t>
            </w:r>
          </w:p>
        </w:tc>
      </w:tr>
      <w:tr w14:paraId="18998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70" w:type="dxa"/>
            <w:bottom w:w="0" w:type="dxa"/>
            <w:right w:w="170" w:type="dxa"/>
          </w:tblCellMar>
        </w:tblPrEx>
        <w:trPr>
          <w:trHeight w:val="440" w:hRule="atLeast"/>
        </w:trPr>
        <w:tc>
          <w:tcPr>
            <w:tcW w:w="4039" w:type="dxa"/>
            <w:vAlign w:val="center"/>
          </w:tcPr>
          <w:p w14:paraId="0ED052D8">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工业项目</w:t>
            </w:r>
          </w:p>
        </w:tc>
        <w:tc>
          <w:tcPr>
            <w:tcW w:w="2904" w:type="dxa"/>
            <w:vAlign w:val="center"/>
          </w:tcPr>
          <w:p w14:paraId="6906D8CC">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0.1车位/100 m</w:t>
            </w:r>
            <w:r>
              <w:rPr>
                <w:color w:val="000000" w:themeColor="text1"/>
                <w:sz w:val="24"/>
                <w:vertAlign w:val="superscript"/>
                <w14:textFill>
                  <w14:solidFill>
                    <w14:schemeClr w14:val="tx1"/>
                  </w14:solidFill>
                </w14:textFill>
              </w:rPr>
              <w:t>2</w:t>
            </w:r>
            <w:r>
              <w:rPr>
                <w:color w:val="000000" w:themeColor="text1"/>
                <w:sz w:val="24"/>
                <w14:textFill>
                  <w14:solidFill>
                    <w14:schemeClr w14:val="tx1"/>
                  </w14:solidFill>
                </w14:textFill>
              </w:rPr>
              <w:t>建筑面积</w:t>
            </w:r>
          </w:p>
        </w:tc>
        <w:tc>
          <w:tcPr>
            <w:tcW w:w="2653" w:type="dxa"/>
            <w:vAlign w:val="center"/>
          </w:tcPr>
          <w:p w14:paraId="46B7EA04">
            <w:pPr>
              <w:spacing w:line="3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0.5辆/100 m</w:t>
            </w:r>
            <w:r>
              <w:rPr>
                <w:color w:val="000000" w:themeColor="text1"/>
                <w:sz w:val="24"/>
                <w:vertAlign w:val="superscript"/>
                <w14:textFill>
                  <w14:solidFill>
                    <w14:schemeClr w14:val="tx1"/>
                  </w14:solidFill>
                </w14:textFill>
              </w:rPr>
              <w:t>2</w:t>
            </w:r>
            <w:r>
              <w:rPr>
                <w:color w:val="000000" w:themeColor="text1"/>
                <w:sz w:val="24"/>
                <w14:textFill>
                  <w14:solidFill>
                    <w14:schemeClr w14:val="tx1"/>
                  </w14:solidFill>
                </w14:textFill>
              </w:rPr>
              <w:t>建筑面积</w:t>
            </w:r>
          </w:p>
        </w:tc>
      </w:tr>
    </w:tbl>
    <w:p w14:paraId="55156ECF">
      <w:pPr>
        <w:snapToGrid w:val="0"/>
        <w:spacing w:line="300" w:lineRule="exact"/>
        <w:rPr>
          <w:rFonts w:eastAsia="楷体_GB2312"/>
          <w:color w:val="000000" w:themeColor="text1"/>
          <w:sz w:val="21"/>
          <w:szCs w:val="21"/>
          <w14:textFill>
            <w14:solidFill>
              <w14:schemeClr w14:val="tx1"/>
            </w14:solidFill>
          </w14:textFill>
        </w:rPr>
      </w:pPr>
      <w:r>
        <w:rPr>
          <w:rFonts w:eastAsia="楷体_GB2312"/>
          <w:color w:val="000000" w:themeColor="text1"/>
          <w:sz w:val="21"/>
          <w:szCs w:val="21"/>
          <w14:textFill>
            <w14:solidFill>
              <w14:schemeClr w14:val="tx1"/>
            </w14:solidFill>
          </w14:textFill>
        </w:rPr>
        <w:t>注：①</w:t>
      </w:r>
      <w:r>
        <w:rPr>
          <w:rFonts w:hint="eastAsia" w:eastAsia="楷体_GB2312"/>
          <w:color w:val="000000" w:themeColor="text1"/>
          <w:sz w:val="21"/>
          <w:szCs w:val="21"/>
          <w14:textFill>
            <w14:solidFill>
              <w14:schemeClr w14:val="tx1"/>
            </w14:solidFill>
          </w14:textFill>
        </w:rPr>
        <w:t>住宅小区原则不得设置地面机动车停车位。毗邻城市公园、市政广场的小区可在临街</w:t>
      </w:r>
      <w:r>
        <w:rPr>
          <w:rFonts w:eastAsia="楷体_GB2312"/>
          <w:color w:val="000000" w:themeColor="text1"/>
          <w:sz w:val="21"/>
          <w:szCs w:val="21"/>
          <w14:textFill>
            <w14:solidFill>
              <w14:schemeClr w14:val="tx1"/>
            </w14:solidFill>
          </w14:textFill>
        </w:rPr>
        <w:t>透景围墙后退用地界线</w:t>
      </w:r>
      <w:r>
        <w:rPr>
          <w:rFonts w:hint="eastAsia" w:eastAsia="楷体_GB2312"/>
          <w:color w:val="000000" w:themeColor="text1"/>
          <w:sz w:val="21"/>
          <w:szCs w:val="21"/>
          <w14:textFill>
            <w14:solidFill>
              <w14:schemeClr w14:val="tx1"/>
            </w14:solidFill>
          </w14:textFill>
        </w:rPr>
        <w:t>空间</w:t>
      </w:r>
      <w:r>
        <w:rPr>
          <w:rFonts w:eastAsia="楷体_GB2312"/>
          <w:color w:val="000000" w:themeColor="text1"/>
          <w:sz w:val="21"/>
          <w:szCs w:val="21"/>
          <w14:textFill>
            <w14:solidFill>
              <w14:schemeClr w14:val="tx1"/>
            </w14:solidFill>
          </w14:textFill>
        </w:rPr>
        <w:t>设置地面</w:t>
      </w:r>
      <w:r>
        <w:rPr>
          <w:rFonts w:hint="eastAsia" w:eastAsia="楷体_GB2312"/>
          <w:color w:val="000000" w:themeColor="text1"/>
          <w:sz w:val="21"/>
          <w:szCs w:val="21"/>
          <w14:textFill>
            <w14:solidFill>
              <w14:schemeClr w14:val="tx1"/>
            </w14:solidFill>
          </w14:textFill>
        </w:rPr>
        <w:t>生态</w:t>
      </w:r>
      <w:r>
        <w:rPr>
          <w:rFonts w:eastAsia="楷体_GB2312"/>
          <w:color w:val="000000" w:themeColor="text1"/>
          <w:sz w:val="21"/>
          <w:szCs w:val="21"/>
          <w14:textFill>
            <w14:solidFill>
              <w14:schemeClr w14:val="tx1"/>
            </w14:solidFill>
          </w14:textFill>
        </w:rPr>
        <w:t>机动车位</w:t>
      </w:r>
      <w:r>
        <w:rPr>
          <w:rFonts w:hint="eastAsia" w:eastAsia="楷体_GB2312"/>
          <w:color w:val="000000" w:themeColor="text1"/>
          <w:sz w:val="21"/>
          <w:szCs w:val="21"/>
          <w14:textFill>
            <w14:solidFill>
              <w14:schemeClr w14:val="tx1"/>
            </w14:solidFill>
          </w14:textFill>
        </w:rPr>
        <w:t>，停车位数不超过项目要求配建车位的15%，临街</w:t>
      </w:r>
      <w:r>
        <w:rPr>
          <w:rFonts w:eastAsia="楷体_GB2312"/>
          <w:color w:val="000000" w:themeColor="text1"/>
          <w:sz w:val="21"/>
          <w:szCs w:val="21"/>
          <w14:textFill>
            <w14:solidFill>
              <w14:schemeClr w14:val="tx1"/>
            </w14:solidFill>
          </w14:textFill>
        </w:rPr>
        <w:t>透景围墙</w:t>
      </w:r>
      <w:r>
        <w:rPr>
          <w:rFonts w:hint="eastAsia" w:eastAsia="楷体_GB2312"/>
          <w:color w:val="000000" w:themeColor="text1"/>
          <w:sz w:val="21"/>
          <w:szCs w:val="21"/>
          <w14:textFill>
            <w14:solidFill>
              <w14:schemeClr w14:val="tx1"/>
            </w14:solidFill>
          </w14:textFill>
        </w:rPr>
        <w:t>外停车位可兼顾外来访客，停车纳入小区物业管理，为小区公共空间，设置进出口并配备车位充电桩；10亩以下的零星开发用地，按实际情况配建机动车停车位。</w:t>
      </w:r>
    </w:p>
    <w:p w14:paraId="3248E7C5">
      <w:pPr>
        <w:snapToGrid w:val="0"/>
        <w:spacing w:line="300" w:lineRule="exact"/>
        <w:ind w:firstLine="420" w:firstLineChars="200"/>
        <w:rPr>
          <w:rFonts w:eastAsia="楷体_GB2312"/>
          <w:color w:val="000000" w:themeColor="text1"/>
          <w:sz w:val="21"/>
          <w:szCs w:val="21"/>
          <w14:textFill>
            <w14:solidFill>
              <w14:schemeClr w14:val="tx1"/>
            </w14:solidFill>
          </w14:textFill>
        </w:rPr>
      </w:pPr>
      <w:r>
        <w:rPr>
          <w:rFonts w:eastAsia="宋体"/>
          <w:color w:val="000000" w:themeColor="text1"/>
          <w:sz w:val="21"/>
          <w:szCs w:val="21"/>
          <w14:textFill>
            <w14:solidFill>
              <w14:schemeClr w14:val="tx1"/>
            </w14:solidFill>
          </w14:textFill>
        </w:rPr>
        <w:t>②</w:t>
      </w:r>
      <w:r>
        <w:rPr>
          <w:rFonts w:eastAsia="楷体_GB2312"/>
          <w:color w:val="000000" w:themeColor="text1"/>
          <w:sz w:val="21"/>
          <w:szCs w:val="21"/>
          <w14:textFill>
            <w14:solidFill>
              <w14:schemeClr w14:val="tx1"/>
            </w14:solidFill>
          </w14:textFill>
        </w:rPr>
        <w:t>本表小型乘用车位标准尺寸不得小于2.4m×5.3m。建筑物按配建指标计算出的车位数，尾数不足1时按1个车位计算。</w:t>
      </w:r>
    </w:p>
    <w:p w14:paraId="31F051F9">
      <w:pPr>
        <w:snapToGrid w:val="0"/>
        <w:spacing w:line="300" w:lineRule="exact"/>
        <w:ind w:firstLine="420" w:firstLineChars="200"/>
        <w:rPr>
          <w:rFonts w:eastAsia="楷体_GB2312"/>
          <w:color w:val="000000" w:themeColor="text1"/>
          <w:sz w:val="21"/>
          <w:szCs w:val="21"/>
          <w14:textFill>
            <w14:solidFill>
              <w14:schemeClr w14:val="tx1"/>
            </w14:solidFill>
          </w14:textFill>
        </w:rPr>
      </w:pPr>
      <w:r>
        <w:rPr>
          <w:rFonts w:eastAsia="宋体"/>
          <w:color w:val="000000" w:themeColor="text1"/>
          <w:sz w:val="21"/>
          <w:szCs w:val="21"/>
          <w14:textFill>
            <w14:solidFill>
              <w14:schemeClr w14:val="tx1"/>
            </w14:solidFill>
          </w14:textFill>
        </w:rPr>
        <w:t>③</w:t>
      </w:r>
      <w:r>
        <w:rPr>
          <w:rFonts w:eastAsia="楷体_GB2312"/>
          <w:color w:val="000000" w:themeColor="text1"/>
          <w:sz w:val="21"/>
          <w:szCs w:val="21"/>
          <w14:textFill>
            <w14:solidFill>
              <w14:schemeClr w14:val="tx1"/>
            </w14:solidFill>
          </w14:textFill>
        </w:rPr>
        <w:t>住宅项目可设置20%以内的非标准车位，非标准车位不得连续设置，其尺寸不得小于2.2m×4.8m；子母车位中的子车位视为非标准车位, 机械停车位不计入停车位配建指标。住宅项目可设置单独停车楼，停车楼不计算容积率须计算建筑密度。非住宅项目可设置地面机动车停车位，非住宅项目的所有停车位只能用于配套服务。半地下车库视为地面停车位。</w:t>
      </w:r>
    </w:p>
    <w:p w14:paraId="6B859C64">
      <w:pPr>
        <w:snapToGrid w:val="0"/>
        <w:spacing w:line="300" w:lineRule="exact"/>
        <w:ind w:firstLine="420" w:firstLineChars="200"/>
        <w:rPr>
          <w:rFonts w:eastAsia="楷体_GB2312"/>
          <w:color w:val="000000" w:themeColor="text1"/>
          <w:sz w:val="21"/>
          <w:szCs w:val="21"/>
          <w14:textFill>
            <w14:solidFill>
              <w14:schemeClr w14:val="tx1"/>
            </w14:solidFill>
          </w14:textFill>
        </w:rPr>
      </w:pPr>
      <w:r>
        <w:rPr>
          <w:rFonts w:eastAsia="宋体"/>
          <w:color w:val="000000" w:themeColor="text1"/>
          <w:sz w:val="21"/>
          <w:szCs w:val="21"/>
          <w14:textFill>
            <w14:solidFill>
              <w14:schemeClr w14:val="tx1"/>
            </w14:solidFill>
          </w14:textFill>
        </w:rPr>
        <w:t>④</w:t>
      </w:r>
      <w:r>
        <w:rPr>
          <w:rFonts w:eastAsia="楷体_GB2312"/>
          <w:color w:val="000000" w:themeColor="text1"/>
          <w:sz w:val="21"/>
          <w:szCs w:val="21"/>
          <w14:textFill>
            <w14:solidFill>
              <w14:schemeClr w14:val="tx1"/>
            </w14:solidFill>
          </w14:textFill>
        </w:rPr>
        <w:t>住宅项目地下停车库出入口宜临道路设置，配套商业的地下停车库应相对独立，其出入口宜临道路设置。</w:t>
      </w:r>
    </w:p>
    <w:p w14:paraId="7FCD877C">
      <w:pPr>
        <w:snapToGrid w:val="0"/>
        <w:spacing w:line="300" w:lineRule="exact"/>
        <w:ind w:firstLine="420" w:firstLineChars="200"/>
        <w:rPr>
          <w:rFonts w:eastAsia="楷体_GB2312"/>
          <w:color w:val="000000" w:themeColor="text1"/>
          <w:sz w:val="21"/>
          <w:szCs w:val="21"/>
          <w14:textFill>
            <w14:solidFill>
              <w14:schemeClr w14:val="tx1"/>
            </w14:solidFill>
          </w14:textFill>
        </w:rPr>
      </w:pPr>
      <w:r>
        <w:rPr>
          <w:rFonts w:eastAsia="宋体"/>
          <w:color w:val="000000" w:themeColor="text1"/>
          <w:sz w:val="21"/>
          <w:szCs w:val="21"/>
          <w14:textFill>
            <w14:solidFill>
              <w14:schemeClr w14:val="tx1"/>
            </w14:solidFill>
          </w14:textFill>
        </w:rPr>
        <w:t>⑤</w:t>
      </w:r>
      <w:r>
        <w:rPr>
          <w:rFonts w:eastAsia="楷体_GB2312"/>
          <w:color w:val="000000" w:themeColor="text1"/>
          <w:sz w:val="21"/>
          <w:szCs w:val="21"/>
          <w14:textFill>
            <w14:solidFill>
              <w14:schemeClr w14:val="tx1"/>
            </w14:solidFill>
          </w14:textFill>
        </w:rPr>
        <w:t>非机动车停放充电场所设置应符合消防安全技术标准要求。地下非机动车位面积按1.8平方米/辆计算，地面非机动车位面积按1.5平方米/辆计算。住宅小区非机动车停放必须设置非机动车库或非机动车棚，不得露天设置</w:t>
      </w:r>
      <w:r>
        <w:rPr>
          <w:rFonts w:hint="eastAsia" w:eastAsia="楷体_GB2312"/>
          <w:color w:val="000000" w:themeColor="text1"/>
          <w:sz w:val="21"/>
          <w:szCs w:val="21"/>
          <w14:textFill>
            <w14:solidFill>
              <w14:schemeClr w14:val="tx1"/>
            </w14:solidFill>
          </w14:textFill>
        </w:rPr>
        <w:t>，鼓励设置地面非机动车库（棚），地面非机动车库（棚）不计入容积率</w:t>
      </w:r>
      <w:r>
        <w:rPr>
          <w:rFonts w:eastAsia="楷体_GB2312"/>
          <w:color w:val="000000" w:themeColor="text1"/>
          <w:sz w:val="21"/>
          <w:szCs w:val="21"/>
          <w14:textFill>
            <w14:solidFill>
              <w14:schemeClr w14:val="tx1"/>
            </w14:solidFill>
          </w14:textFill>
        </w:rPr>
        <w:t>。非机动车</w:t>
      </w:r>
      <w:r>
        <w:rPr>
          <w:rFonts w:hint="eastAsia" w:eastAsia="楷体_GB2312"/>
          <w:color w:val="000000" w:themeColor="text1"/>
          <w:sz w:val="21"/>
          <w:szCs w:val="21"/>
          <w14:textFill>
            <w14:solidFill>
              <w14:schemeClr w14:val="tx1"/>
            </w14:solidFill>
          </w14:textFill>
        </w:rPr>
        <w:t>库（棚）</w:t>
      </w:r>
      <w:r>
        <w:rPr>
          <w:rFonts w:eastAsia="楷体_GB2312"/>
          <w:color w:val="000000" w:themeColor="text1"/>
          <w:sz w:val="21"/>
          <w:szCs w:val="21"/>
          <w14:textFill>
            <w14:solidFill>
              <w14:schemeClr w14:val="tx1"/>
            </w14:solidFill>
          </w14:textFill>
        </w:rPr>
        <w:t>应设置充电设备，并方便停放，非机动车位不得设置在地下二层及以下的空间</w:t>
      </w:r>
      <w:r>
        <w:rPr>
          <w:rFonts w:hint="eastAsia" w:eastAsia="楷体_GB2312"/>
          <w:color w:val="000000" w:themeColor="text1"/>
          <w:sz w:val="21"/>
          <w:szCs w:val="21"/>
          <w14:textFill>
            <w14:solidFill>
              <w14:schemeClr w14:val="tx1"/>
            </w14:solidFill>
          </w14:textFill>
        </w:rPr>
        <w:t>，设置在底下一层时不得临近上部住房单元对应的地下室出入口</w:t>
      </w:r>
      <w:r>
        <w:rPr>
          <w:rFonts w:eastAsia="楷体_GB2312"/>
          <w:color w:val="000000" w:themeColor="text1"/>
          <w:sz w:val="21"/>
          <w:szCs w:val="21"/>
          <w14:textFill>
            <w14:solidFill>
              <w14:schemeClr w14:val="tx1"/>
            </w14:solidFill>
          </w14:textFill>
        </w:rPr>
        <w:t>。</w:t>
      </w:r>
      <w:r>
        <w:rPr>
          <w:rFonts w:hint="eastAsia" w:eastAsia="楷体_GB2312"/>
          <w:color w:val="000000" w:themeColor="text1"/>
          <w:sz w:val="21"/>
          <w:szCs w:val="21"/>
          <w14:textFill>
            <w14:solidFill>
              <w14:schemeClr w14:val="tx1"/>
            </w14:solidFill>
          </w14:textFill>
        </w:rPr>
        <w:t xml:space="preserve"> </w:t>
      </w:r>
    </w:p>
    <w:p w14:paraId="0AD39444">
      <w:pPr>
        <w:spacing w:line="580" w:lineRule="exact"/>
        <w:ind w:firstLine="640" w:firstLineChars="200"/>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第五十</w:t>
      </w:r>
      <w:r>
        <w:rPr>
          <w:rFonts w:hint="eastAsia" w:eastAsia="楷体_GB2312"/>
          <w:color w:val="000000" w:themeColor="text1"/>
          <w:szCs w:val="32"/>
          <w14:textFill>
            <w14:solidFill>
              <w14:schemeClr w14:val="tx1"/>
            </w14:solidFill>
          </w14:textFill>
        </w:rPr>
        <w:t>八</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新建的城市公共停车场（库）、公共建筑停车场（库）、住宅小区和商业项目机动停车场（库），按总停车位的15%以上规划建设充电桩，配备充电桩的停车位应相对集中布置。新建住宅小区其余配建停车位应100%预留充电设施建设安装条件和配电变电设施增容空间，将管线和桥架等供电设施建设到车位。</w:t>
      </w:r>
      <w:r>
        <w:rPr>
          <w:rFonts w:hint="eastAsia"/>
          <w:color w:val="000000" w:themeColor="text1"/>
          <w:szCs w:val="32"/>
          <w14:textFill>
            <w14:solidFill>
              <w14:schemeClr w14:val="tx1"/>
            </w14:solidFill>
          </w14:textFill>
        </w:rPr>
        <w:t>新建充电桩停车位同步规划消防安全设施设备设计。</w:t>
      </w:r>
    </w:p>
    <w:p w14:paraId="71EB9DB0">
      <w:pPr>
        <w:spacing w:line="580" w:lineRule="exact"/>
        <w:ind w:firstLine="640" w:firstLineChars="200"/>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五十九</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新建影剧院、游乐场、体育馆、医院、商场、大学、中学、小学、独立设置的幼儿园</w:t>
      </w:r>
      <w:r>
        <w:rPr>
          <w:rFonts w:hint="eastAsia"/>
          <w:color w:val="000000" w:themeColor="text1"/>
          <w:szCs w:val="32"/>
          <w14:textFill>
            <w14:solidFill>
              <w14:schemeClr w14:val="tx1"/>
            </w14:solidFill>
          </w14:textFill>
        </w:rPr>
        <w:t>宜</w:t>
      </w:r>
      <w:r>
        <w:rPr>
          <w:color w:val="000000" w:themeColor="text1"/>
          <w:szCs w:val="32"/>
          <w14:textFill>
            <w14:solidFill>
              <w14:schemeClr w14:val="tx1"/>
            </w14:solidFill>
          </w14:textFill>
        </w:rPr>
        <w:t>在主出入口附近的自身用地范围内设置</w:t>
      </w:r>
      <w:r>
        <w:rPr>
          <w:rFonts w:hint="eastAsia"/>
          <w:color w:val="000000" w:themeColor="text1"/>
          <w:szCs w:val="32"/>
          <w14:textFill>
            <w14:solidFill>
              <w14:schemeClr w14:val="tx1"/>
            </w14:solidFill>
          </w14:textFill>
        </w:rPr>
        <w:t>统筹考虑</w:t>
      </w:r>
      <w:r>
        <w:rPr>
          <w:color w:val="000000" w:themeColor="text1"/>
          <w:szCs w:val="32"/>
          <w14:textFill>
            <w14:solidFill>
              <w14:schemeClr w14:val="tx1"/>
            </w14:solidFill>
          </w14:textFill>
        </w:rPr>
        <w:t>对外机动车临时停车场地和学生临时接送场地。</w:t>
      </w:r>
    </w:p>
    <w:p w14:paraId="770D507C">
      <w:pPr>
        <w:spacing w:line="580" w:lineRule="exact"/>
        <w:ind w:firstLine="640" w:firstLineChars="200"/>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六十</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新建室外停车场采用树荫式停车场（位），当用地全部为生态现浇植草坪，每一个车位栽植1株胸径不小于15cm的乔木时，按室外停车场用地面积的20%计入绿地率。</w:t>
      </w:r>
    </w:p>
    <w:p w14:paraId="54D5A672">
      <w:pPr>
        <w:spacing w:line="580" w:lineRule="exact"/>
        <w:ind w:firstLine="640" w:firstLineChars="200"/>
        <w:rPr>
          <w:strike/>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六十一</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w:t>
      </w:r>
      <w:r>
        <w:rPr>
          <w:rFonts w:hint="eastAsia"/>
          <w:color w:val="000000" w:themeColor="text1"/>
          <w:szCs w:val="32"/>
          <w14:textFill>
            <w14:solidFill>
              <w14:schemeClr w14:val="tx1"/>
            </w14:solidFill>
          </w14:textFill>
        </w:rPr>
        <w:t>规划和自然资源部门应统筹规划城市幼儿园、</w:t>
      </w:r>
      <w:r>
        <w:rPr>
          <w:color w:val="000000" w:themeColor="text1"/>
          <w:szCs w:val="32"/>
          <w14:textFill>
            <w14:solidFill>
              <w14:schemeClr w14:val="tx1"/>
            </w14:solidFill>
          </w14:textFill>
        </w:rPr>
        <w:t>居住区</w:t>
      </w:r>
      <w:r>
        <w:rPr>
          <w:rFonts w:hint="eastAsia"/>
          <w:color w:val="000000" w:themeColor="text1"/>
          <w:szCs w:val="32"/>
          <w14:textFill>
            <w14:solidFill>
              <w14:schemeClr w14:val="tx1"/>
            </w14:solidFill>
          </w14:textFill>
        </w:rPr>
        <w:t>社区综合服务用房、养老服务设施，其作为居住区配套基础设施纳入开发地块规划条件时，明确建设位置、</w:t>
      </w:r>
      <w:r>
        <w:rPr>
          <w:color w:val="000000" w:themeColor="text1"/>
          <w:szCs w:val="32"/>
          <w14:textFill>
            <w14:solidFill>
              <w14:schemeClr w14:val="tx1"/>
            </w14:solidFill>
          </w14:textFill>
        </w:rPr>
        <w:t>用地面积、建设规模等要求，建筑面积不计入开发项目容积率指标，其产权归政府所有</w:t>
      </w:r>
      <w:r>
        <w:rPr>
          <w:rFonts w:hint="eastAsia"/>
          <w:color w:val="000000" w:themeColor="text1"/>
          <w:szCs w:val="32"/>
          <w14:textFill>
            <w14:solidFill>
              <w14:schemeClr w14:val="tx1"/>
            </w14:solidFill>
          </w14:textFill>
        </w:rPr>
        <w:t>，且</w:t>
      </w:r>
      <w:r>
        <w:rPr>
          <w:color w:val="000000" w:themeColor="text1"/>
          <w:szCs w:val="32"/>
          <w14:textFill>
            <w14:solidFill>
              <w14:schemeClr w14:val="tx1"/>
            </w14:solidFill>
          </w14:textFill>
        </w:rPr>
        <w:t>与住宅小区同步规划、同步设计、同步建设、同步验收，建成后无偿移交政府。</w:t>
      </w:r>
    </w:p>
    <w:p w14:paraId="235F57EE">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六十二</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城市居住区幼儿园配建标准为每平方公里不低于600个学位，原则上每平方公里设置</w:t>
      </w:r>
      <w:r>
        <w:rPr>
          <w:rFonts w:hint="eastAsia"/>
          <w:color w:val="000000" w:themeColor="text1"/>
          <w:szCs w:val="32"/>
          <w14:textFill>
            <w14:solidFill>
              <w14:schemeClr w14:val="tx1"/>
            </w14:solidFill>
          </w14:textFill>
        </w:rPr>
        <w:t>两</w:t>
      </w:r>
      <w:r>
        <w:rPr>
          <w:color w:val="000000" w:themeColor="text1"/>
          <w:szCs w:val="32"/>
          <w14:textFill>
            <w14:solidFill>
              <w14:schemeClr w14:val="tx1"/>
            </w14:solidFill>
          </w14:textFill>
        </w:rPr>
        <w:t>处各12班的幼儿园，规模按生均建设用地面积不低于18平方米、生均建筑面积不低于12平方米控制。</w:t>
      </w:r>
    </w:p>
    <w:p w14:paraId="1BBD0A3F">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第六十</w:t>
      </w:r>
      <w:r>
        <w:rPr>
          <w:rFonts w:hint="eastAsia" w:eastAsia="楷体_GB2312"/>
          <w:color w:val="000000" w:themeColor="text1"/>
          <w:szCs w:val="32"/>
          <w14:textFill>
            <w14:solidFill>
              <w14:schemeClr w14:val="tx1"/>
            </w14:solidFill>
          </w14:textFill>
        </w:rPr>
        <w:t>三</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城市居住区社区综合服务用房配建标准每平方公里不低于1000平方米建筑面积，原则上每平方公里不低于一处。社区综合服务用房应优先在底层或二层临街设置，其底层面积不得低于300平方米，且有独立的对外通道。社区综合服务用房的功能包括:</w:t>
      </w:r>
      <w:r>
        <w:rPr>
          <w:rFonts w:eastAsia="楷体_GB2312"/>
          <w:color w:val="000000" w:themeColor="text1"/>
          <w:kern w:val="24"/>
          <w:sz w:val="28"/>
          <w:szCs w:val="28"/>
          <w14:textFill>
            <w14:solidFill>
              <w14:schemeClr w14:val="tx1"/>
            </w14:solidFill>
          </w14:textFill>
        </w:rPr>
        <w:t xml:space="preserve"> </w:t>
      </w:r>
      <w:r>
        <w:rPr>
          <w:color w:val="000000" w:themeColor="text1"/>
          <w:szCs w:val="32"/>
          <w14:textFill>
            <w14:solidFill>
              <w14:schemeClr w14:val="tx1"/>
            </w14:solidFill>
          </w14:textFill>
        </w:rPr>
        <w:t>社区服务大厅、党群服务室、社区文化活动室、社区图书室、社区警务室、社区卫生服务站、社区日间照料中心等。</w:t>
      </w:r>
    </w:p>
    <w:p w14:paraId="3E3EE2FC">
      <w:pPr>
        <w:spacing w:line="580" w:lineRule="exact"/>
        <w:ind w:firstLine="640" w:firstLineChars="200"/>
        <w:rPr>
          <w:rFonts w:eastAsia="楷体_GB2312"/>
          <w:strike/>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第六十</w:t>
      </w:r>
      <w:r>
        <w:rPr>
          <w:rFonts w:hint="eastAsia" w:eastAsia="楷体_GB2312"/>
          <w:color w:val="000000" w:themeColor="text1"/>
          <w:szCs w:val="32"/>
          <w14:textFill>
            <w14:solidFill>
              <w14:schemeClr w14:val="tx1"/>
            </w14:solidFill>
          </w14:textFill>
        </w:rPr>
        <w:t>四</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新建住宅小区</w:t>
      </w:r>
      <w:r>
        <w:rPr>
          <w:rFonts w:hint="eastAsia"/>
          <w:color w:val="000000" w:themeColor="text1"/>
          <w:szCs w:val="32"/>
          <w14:textFill>
            <w14:solidFill>
              <w14:schemeClr w14:val="tx1"/>
            </w14:solidFill>
          </w14:textFill>
        </w:rPr>
        <w:t>宜</w:t>
      </w:r>
      <w:r>
        <w:rPr>
          <w:color w:val="000000" w:themeColor="text1"/>
          <w:szCs w:val="32"/>
          <w14:textFill>
            <w14:solidFill>
              <w14:schemeClr w14:val="tx1"/>
            </w14:solidFill>
          </w14:textFill>
        </w:rPr>
        <w:t>配建养老服务设施</w:t>
      </w:r>
      <w:r>
        <w:rPr>
          <w:rFonts w:hint="eastAsia"/>
          <w:color w:val="000000" w:themeColor="text1"/>
          <w:szCs w:val="32"/>
          <w14:textFill>
            <w14:solidFill>
              <w14:schemeClr w14:val="tx1"/>
            </w14:solidFill>
          </w14:textFill>
        </w:rPr>
        <w:t>，配建标准</w:t>
      </w:r>
      <w:r>
        <w:rPr>
          <w:color w:val="000000" w:themeColor="text1"/>
          <w:szCs w:val="32"/>
          <w14:textFill>
            <w14:solidFill>
              <w14:schemeClr w14:val="tx1"/>
            </w14:solidFill>
          </w14:textFill>
        </w:rPr>
        <w:t>按每百户不低于20平方米建筑面积，且单个养老服务设施面积应不少于</w:t>
      </w:r>
      <w:r>
        <w:rPr>
          <w:rFonts w:hint="eastAsia"/>
          <w:color w:val="000000" w:themeColor="text1"/>
          <w:szCs w:val="32"/>
          <w14:textFill>
            <w14:solidFill>
              <w14:schemeClr w14:val="tx1"/>
            </w14:solidFill>
          </w14:textFill>
        </w:rPr>
        <w:t>15</w:t>
      </w:r>
      <w:r>
        <w:rPr>
          <w:color w:val="000000" w:themeColor="text1"/>
          <w:szCs w:val="32"/>
          <w14:textFill>
            <w14:solidFill>
              <w14:schemeClr w14:val="tx1"/>
            </w14:solidFill>
          </w14:textFill>
        </w:rPr>
        <w:t>0平方米。养老服务设施应临市政道路设置，所处楼层应在建筑临街面的一层（不得设置在建筑的地下室、半地下室或夹层），具有独立的出入口、无障碍设施等完备的使用功能。</w:t>
      </w:r>
    </w:p>
    <w:p w14:paraId="0D96BE0F">
      <w:pPr>
        <w:spacing w:line="580" w:lineRule="exact"/>
        <w:ind w:firstLine="640" w:firstLineChars="200"/>
        <w:rPr>
          <w:rFonts w:eastAsia="楷体_GB2312"/>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第六十</w:t>
      </w:r>
      <w:r>
        <w:rPr>
          <w:rFonts w:hint="eastAsia" w:eastAsia="楷体_GB2312"/>
          <w:color w:val="000000" w:themeColor="text1"/>
          <w:szCs w:val="32"/>
          <w14:textFill>
            <w14:solidFill>
              <w14:schemeClr w14:val="tx1"/>
            </w14:solidFill>
          </w14:textFill>
        </w:rPr>
        <w:t>五</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城市居住区菜市场配建标准原则上每2平方公里不低于一处，占地面积不低于4000平方米。规划和自然资源主管部门将菜市场配建要求纳入房地产开发项目规划条件，在土地出让中予以明确，由取得土地的建设单位按要求进行建设</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菜市场不得分割销售，不得改变其使用性质，产权归建设单位所有。菜市场应当与房地产开发项目的商业和居住功能分离。菜市场总建筑面积不低于3000平方米，底层面积不得低于1500平方米，且不得设置于地下室或半地下室。菜市场建筑层高不得低于5.4米。菜市场应与开发项目同时设计、同时建设、同时验收、同时投入使用。</w:t>
      </w:r>
    </w:p>
    <w:p w14:paraId="6B05F720">
      <w:pPr>
        <w:tabs>
          <w:tab w:val="left" w:pos="6128"/>
        </w:tabs>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第六十</w:t>
      </w:r>
      <w:r>
        <w:rPr>
          <w:rFonts w:hint="eastAsia" w:eastAsia="楷体_GB2312"/>
          <w:color w:val="000000" w:themeColor="text1"/>
          <w:szCs w:val="32"/>
          <w14:textFill>
            <w14:solidFill>
              <w14:schemeClr w14:val="tx1"/>
            </w14:solidFill>
          </w14:textFill>
        </w:rPr>
        <w:t>六</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新建住宅小区必须按规定配建物业管理用房（包括物业服务用房、业主委员会议事活动用房、图书阅览室、快递末端综合服务房、通讯综合接入设备房、门卫室等）</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物业管理用房设置在一、二层，原则上不得设置在地下室或半地下室。物业管理用房可分处设置，但每处建筑面积不得小于50平方米。物业管理用房面积按计入容积率的总建筑面积的3‰配置，最小面积不得小于50平方米，当面积达到600平方米可不再增加。</w:t>
      </w:r>
    </w:p>
    <w:p w14:paraId="5EE670DF">
      <w:pPr>
        <w:tabs>
          <w:tab w:val="left" w:pos="6128"/>
        </w:tabs>
        <w:spacing w:line="56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第六十</w:t>
      </w:r>
      <w:r>
        <w:rPr>
          <w:rFonts w:hint="eastAsia" w:eastAsia="楷体_GB2312"/>
          <w:color w:val="000000" w:themeColor="text1"/>
          <w:szCs w:val="32"/>
          <w14:textFill>
            <w14:solidFill>
              <w14:schemeClr w14:val="tx1"/>
            </w14:solidFill>
          </w14:textFill>
        </w:rPr>
        <w:t>七</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鼓励采用邻里中心形式集中规划建设居住区城市公共服务设施</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邻里中心</w:t>
      </w:r>
      <w:r>
        <w:rPr>
          <w:rFonts w:hint="eastAsia"/>
          <w:color w:val="000000" w:themeColor="text1"/>
          <w:szCs w:val="32"/>
          <w14:textFill>
            <w14:solidFill>
              <w14:schemeClr w14:val="tx1"/>
            </w14:solidFill>
          </w14:textFill>
        </w:rPr>
        <w:t>按5-15分钟生活圈分类设置，</w:t>
      </w:r>
      <w:r>
        <w:rPr>
          <w:color w:val="000000" w:themeColor="text1"/>
          <w:szCs w:val="32"/>
          <w14:textFill>
            <w14:solidFill>
              <w14:schemeClr w14:val="tx1"/>
            </w14:solidFill>
          </w14:textFill>
        </w:rPr>
        <w:t>当邻里中心涵盖社区综合服务、文化服务、卫生服务、养老服务、托幼托育服务、体育健身等必备功能，满足周边市民需求时，相应的城市公共服务配套设施可不再单独设置。邻里中心配备托儿所规模按照每平方公里不低于150个托位、生均建设用地面积不低于12平方米、每托位建筑面积不低于12平方米控制。</w:t>
      </w:r>
    </w:p>
    <w:p w14:paraId="49850ABB">
      <w:pPr>
        <w:spacing w:line="580" w:lineRule="exact"/>
        <w:ind w:firstLine="640" w:firstLineChars="200"/>
        <w:rPr>
          <w:color w:val="000000" w:themeColor="text1"/>
          <w:sz w:val="28"/>
          <w14:textFill>
            <w14:solidFill>
              <w14:schemeClr w14:val="tx1"/>
            </w14:solidFill>
          </w14:textFill>
        </w:rPr>
      </w:pPr>
      <w:r>
        <w:rPr>
          <w:rFonts w:eastAsia="楷体_GB2312"/>
          <w:color w:val="000000" w:themeColor="text1"/>
          <w:szCs w:val="32"/>
          <w14:textFill>
            <w14:solidFill>
              <w14:schemeClr w14:val="tx1"/>
            </w14:solidFill>
          </w14:textFill>
        </w:rPr>
        <w:t>第六十</w:t>
      </w:r>
      <w:r>
        <w:rPr>
          <w:rFonts w:hint="eastAsia" w:eastAsia="楷体_GB2312"/>
          <w:color w:val="000000" w:themeColor="text1"/>
          <w:szCs w:val="32"/>
          <w14:textFill>
            <w14:solidFill>
              <w14:schemeClr w14:val="tx1"/>
            </w14:solidFill>
          </w14:textFill>
        </w:rPr>
        <w:t>八</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新建住宅小区必须按室外户均用地面积不低于0.9平方米或室内户均建筑面积不低于0.3平方米标准配建室外体育健身活动场地（包括老年儿童活动场地）和室内健身设施。健身活动场地可分处设置，但每处用地面积不得小于50平方米，并应与住宅小区同步规划、同步建设、同步交付使用，体育健身设施配建标准应符合表8</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2的要求。</w:t>
      </w:r>
    </w:p>
    <w:p w14:paraId="0FF97B1B">
      <w:pPr>
        <w:spacing w:line="500" w:lineRule="exact"/>
        <w:jc w:val="center"/>
        <w:rPr>
          <w:color w:val="000000" w:themeColor="text1"/>
          <w:sz w:val="28"/>
          <w14:textFill>
            <w14:solidFill>
              <w14:schemeClr w14:val="tx1"/>
            </w14:solidFill>
          </w14:textFill>
        </w:rPr>
      </w:pPr>
      <w:r>
        <w:rPr>
          <w:color w:val="000000" w:themeColor="text1"/>
          <w:sz w:val="28"/>
          <w14:textFill>
            <w14:solidFill>
              <w14:schemeClr w14:val="tx1"/>
            </w14:solidFill>
          </w14:textFill>
        </w:rPr>
        <w:t>表8</w:t>
      </w:r>
      <w:r>
        <w:rPr>
          <w:rFonts w:hint="eastAsia"/>
          <w:color w:val="000000" w:themeColor="text1"/>
          <w:sz w:val="28"/>
          <w14:textFill>
            <w14:solidFill>
              <w14:schemeClr w14:val="tx1"/>
            </w14:solidFill>
          </w14:textFill>
        </w:rPr>
        <w:t>—</w:t>
      </w:r>
      <w:r>
        <w:rPr>
          <w:color w:val="000000" w:themeColor="text1"/>
          <w:sz w:val="28"/>
          <w14:textFill>
            <w14:solidFill>
              <w14:schemeClr w14:val="tx1"/>
            </w14:solidFill>
          </w14:textFill>
        </w:rPr>
        <w:t>2  体育健身设施配建标准表</w:t>
      </w:r>
    </w:p>
    <w:tbl>
      <w:tblPr>
        <w:tblStyle w:val="14"/>
        <w:tblW w:w="87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70" w:type="dxa"/>
          <w:bottom w:w="0" w:type="dxa"/>
          <w:right w:w="170" w:type="dxa"/>
        </w:tblCellMar>
      </w:tblPr>
      <w:tblGrid>
        <w:gridCol w:w="2327"/>
        <w:gridCol w:w="6450"/>
      </w:tblGrid>
      <w:tr w14:paraId="2C199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70" w:type="dxa"/>
            <w:bottom w:w="0" w:type="dxa"/>
            <w:right w:w="170" w:type="dxa"/>
          </w:tblCellMar>
        </w:tblPrEx>
        <w:trPr>
          <w:trHeight w:val="371" w:hRule="atLeast"/>
        </w:trPr>
        <w:tc>
          <w:tcPr>
            <w:tcW w:w="2327" w:type="dxa"/>
            <w:vAlign w:val="center"/>
          </w:tcPr>
          <w:p w14:paraId="70F4861C">
            <w:pPr>
              <w:spacing w:line="30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项目用地面积（亩）</w:t>
            </w:r>
          </w:p>
        </w:tc>
        <w:tc>
          <w:tcPr>
            <w:tcW w:w="6450" w:type="dxa"/>
            <w:vAlign w:val="center"/>
          </w:tcPr>
          <w:p w14:paraId="6FC9CF10">
            <w:pPr>
              <w:spacing w:line="30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体育健身设施基本配置</w:t>
            </w:r>
          </w:p>
        </w:tc>
      </w:tr>
      <w:tr w14:paraId="4C8F3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70" w:type="dxa"/>
            <w:bottom w:w="0" w:type="dxa"/>
            <w:right w:w="170" w:type="dxa"/>
          </w:tblCellMar>
        </w:tblPrEx>
        <w:trPr>
          <w:trHeight w:val="380" w:hRule="atLeast"/>
        </w:trPr>
        <w:tc>
          <w:tcPr>
            <w:tcW w:w="2327" w:type="dxa"/>
            <w:vAlign w:val="center"/>
          </w:tcPr>
          <w:p w14:paraId="6C130B94">
            <w:pPr>
              <w:spacing w:line="30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25以下（含）</w:t>
            </w:r>
          </w:p>
        </w:tc>
        <w:tc>
          <w:tcPr>
            <w:tcW w:w="6450" w:type="dxa"/>
            <w:vAlign w:val="center"/>
          </w:tcPr>
          <w:p w14:paraId="31B01E82">
            <w:pPr>
              <w:spacing w:line="300" w:lineRule="exact"/>
              <w:rPr>
                <w:color w:val="000000" w:themeColor="text1"/>
                <w:sz w:val="24"/>
                <w14:textFill>
                  <w14:solidFill>
                    <w14:schemeClr w14:val="tx1"/>
                  </w14:solidFill>
                </w14:textFill>
              </w:rPr>
            </w:pPr>
            <w:r>
              <w:rPr>
                <w:color w:val="000000" w:themeColor="text1"/>
                <w:sz w:val="24"/>
                <w14:textFill>
                  <w14:solidFill>
                    <w14:schemeClr w14:val="tx1"/>
                  </w14:solidFill>
                </w14:textFill>
              </w:rPr>
              <w:t>4组体育健身设施，1组儿童活动设施，1个乒乓球台。</w:t>
            </w:r>
          </w:p>
        </w:tc>
      </w:tr>
      <w:tr w14:paraId="75970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70" w:type="dxa"/>
            <w:bottom w:w="0" w:type="dxa"/>
            <w:right w:w="170" w:type="dxa"/>
          </w:tblCellMar>
        </w:tblPrEx>
        <w:trPr>
          <w:trHeight w:val="752" w:hRule="atLeast"/>
        </w:trPr>
        <w:tc>
          <w:tcPr>
            <w:tcW w:w="2327" w:type="dxa"/>
            <w:vAlign w:val="center"/>
          </w:tcPr>
          <w:p w14:paraId="2C52DE70">
            <w:pPr>
              <w:spacing w:line="30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25</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50（含）</w:t>
            </w:r>
          </w:p>
        </w:tc>
        <w:tc>
          <w:tcPr>
            <w:tcW w:w="6450" w:type="dxa"/>
            <w:vAlign w:val="center"/>
          </w:tcPr>
          <w:p w14:paraId="022C3918">
            <w:pPr>
              <w:spacing w:line="300" w:lineRule="exact"/>
              <w:rPr>
                <w:color w:val="000000" w:themeColor="text1"/>
                <w:sz w:val="24"/>
                <w14:textFill>
                  <w14:solidFill>
                    <w14:schemeClr w14:val="tx1"/>
                  </w14:solidFill>
                </w14:textFill>
              </w:rPr>
            </w:pPr>
            <w:r>
              <w:rPr>
                <w:color w:val="000000" w:themeColor="text1"/>
                <w:sz w:val="24"/>
                <w14:textFill>
                  <w14:solidFill>
                    <w14:schemeClr w14:val="tx1"/>
                  </w14:solidFill>
                </w14:textFill>
              </w:rPr>
              <w:t>8组体育健身设施，2组儿童活动设施，2个乒乓球台，1个三人制篮球场。</w:t>
            </w:r>
          </w:p>
        </w:tc>
      </w:tr>
      <w:tr w14:paraId="620F0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70" w:type="dxa"/>
            <w:bottom w:w="0" w:type="dxa"/>
            <w:right w:w="170" w:type="dxa"/>
          </w:tblCellMar>
        </w:tblPrEx>
        <w:trPr>
          <w:trHeight w:val="752" w:hRule="atLeast"/>
        </w:trPr>
        <w:tc>
          <w:tcPr>
            <w:tcW w:w="2327" w:type="dxa"/>
            <w:vAlign w:val="center"/>
          </w:tcPr>
          <w:p w14:paraId="3F34F465">
            <w:pPr>
              <w:spacing w:line="30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50</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100（含）</w:t>
            </w:r>
          </w:p>
        </w:tc>
        <w:tc>
          <w:tcPr>
            <w:tcW w:w="6450" w:type="dxa"/>
            <w:vAlign w:val="center"/>
          </w:tcPr>
          <w:p w14:paraId="6D90AB78">
            <w:pPr>
              <w:spacing w:line="300" w:lineRule="exact"/>
              <w:rPr>
                <w:color w:val="000000" w:themeColor="text1"/>
                <w:sz w:val="24"/>
                <w14:textFill>
                  <w14:solidFill>
                    <w14:schemeClr w14:val="tx1"/>
                  </w14:solidFill>
                </w14:textFill>
              </w:rPr>
            </w:pPr>
            <w:r>
              <w:rPr>
                <w:color w:val="000000" w:themeColor="text1"/>
                <w:sz w:val="24"/>
                <w14:textFill>
                  <w14:solidFill>
                    <w14:schemeClr w14:val="tx1"/>
                  </w14:solidFill>
                </w14:textFill>
              </w:rPr>
              <w:t>12组体育健身设施，3组儿童活动设施，3个乒乓球台，1个标准篮球场，1个标准羽毛球场。</w:t>
            </w:r>
          </w:p>
        </w:tc>
      </w:tr>
      <w:tr w14:paraId="20B8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70" w:type="dxa"/>
            <w:bottom w:w="0" w:type="dxa"/>
            <w:right w:w="170" w:type="dxa"/>
          </w:tblCellMar>
        </w:tblPrEx>
        <w:trPr>
          <w:trHeight w:val="1141" w:hRule="atLeast"/>
        </w:trPr>
        <w:tc>
          <w:tcPr>
            <w:tcW w:w="2327" w:type="dxa"/>
            <w:vAlign w:val="center"/>
          </w:tcPr>
          <w:p w14:paraId="748763B0">
            <w:pPr>
              <w:spacing w:line="30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100以上</w:t>
            </w:r>
          </w:p>
        </w:tc>
        <w:tc>
          <w:tcPr>
            <w:tcW w:w="6450" w:type="dxa"/>
            <w:vAlign w:val="center"/>
          </w:tcPr>
          <w:p w14:paraId="09085BDD">
            <w:pPr>
              <w:spacing w:line="300" w:lineRule="exact"/>
              <w:rPr>
                <w:color w:val="000000" w:themeColor="text1"/>
                <w:sz w:val="24"/>
                <w14:textFill>
                  <w14:solidFill>
                    <w14:schemeClr w14:val="tx1"/>
                  </w14:solidFill>
                </w14:textFill>
              </w:rPr>
            </w:pPr>
            <w:r>
              <w:rPr>
                <w:color w:val="000000" w:themeColor="text1"/>
                <w:sz w:val="24"/>
                <w14:textFill>
                  <w14:solidFill>
                    <w14:schemeClr w14:val="tx1"/>
                  </w14:solidFill>
                </w14:textFill>
              </w:rPr>
              <w:t>16组体育健身设施，4组儿童活动设施，1个标准篮球场、2个标准羽毛球场（或标准网球场和标准羽毛球场各1个），4个乒乓球台，1个五人制足球场（25米</w:t>
            </w:r>
            <w:r>
              <w:rPr>
                <w:rFonts w:ascii="Arial" w:hAnsi="Arial" w:cs="Arial"/>
                <w:color w:val="000000" w:themeColor="text1"/>
                <w:sz w:val="24"/>
                <w14:textFill>
                  <w14:solidFill>
                    <w14:schemeClr w14:val="tx1"/>
                  </w14:solidFill>
                </w14:textFill>
              </w:rPr>
              <w:t>×</w:t>
            </w:r>
            <w:r>
              <w:rPr>
                <w:color w:val="000000" w:themeColor="text1"/>
                <w:sz w:val="24"/>
                <w14:textFill>
                  <w14:solidFill>
                    <w14:schemeClr w14:val="tx1"/>
                  </w14:solidFill>
                </w14:textFill>
              </w:rPr>
              <w:t>15米以上）。</w:t>
            </w:r>
          </w:p>
        </w:tc>
      </w:tr>
    </w:tbl>
    <w:p w14:paraId="70EC5AFD">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六十九</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城市居住区的垃圾中转站配建标准为每</w:t>
      </w:r>
      <w:r>
        <w:rPr>
          <w:rFonts w:hint="eastAsia"/>
          <w:color w:val="000000" w:themeColor="text1"/>
          <w:szCs w:val="32"/>
          <w14:textFill>
            <w14:solidFill>
              <w14:schemeClr w14:val="tx1"/>
            </w14:solidFill>
          </w14:textFill>
        </w:rPr>
        <w:t>5</w:t>
      </w:r>
      <w:r>
        <w:rPr>
          <w:color w:val="000000" w:themeColor="text1"/>
          <w:szCs w:val="32"/>
          <w14:textFill>
            <w14:solidFill>
              <w14:schemeClr w14:val="tx1"/>
            </w14:solidFill>
          </w14:textFill>
        </w:rPr>
        <w:t>平方公里独立设置一个，宜结合公园绿地选址建设。</w:t>
      </w:r>
    </w:p>
    <w:p w14:paraId="366B9FDC">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 xml:space="preserve">新建住宅小区应设置垃圾收集点。新建建筑面积达到10万平方米和新建农贸市场，必须单独设置对外服务的公共厕所（建筑面积不低于60平方米）及管理用房（含不低于15平方米环卫工人休息室）。 </w:t>
      </w:r>
    </w:p>
    <w:p w14:paraId="59E08FD0">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垃圾收集房、对外公厕及管理用房</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应设置在地面，并选择对居民影响较小的独立区域，其建筑面积不计入容积率。对外公共厕所及其管理用房应纳入地块规划条件，与居住小区同时设计、同时建设、同时验收，建成后</w:t>
      </w:r>
      <w:r>
        <w:rPr>
          <w:rFonts w:hint="eastAsia"/>
          <w:color w:val="000000" w:themeColor="text1"/>
          <w:szCs w:val="32"/>
          <w14:textFill>
            <w14:solidFill>
              <w14:schemeClr w14:val="tx1"/>
            </w14:solidFill>
          </w14:textFill>
        </w:rPr>
        <w:t>可</w:t>
      </w:r>
      <w:r>
        <w:rPr>
          <w:color w:val="000000" w:themeColor="text1"/>
          <w:szCs w:val="32"/>
          <w14:textFill>
            <w14:solidFill>
              <w14:schemeClr w14:val="tx1"/>
            </w14:solidFill>
          </w14:textFill>
        </w:rPr>
        <w:t>无偿移交城市管理部门。</w:t>
      </w:r>
    </w:p>
    <w:p w14:paraId="16FA170D">
      <w:pPr>
        <w:spacing w:line="580" w:lineRule="exact"/>
        <w:ind w:firstLine="627" w:firstLineChars="196"/>
        <w:rPr>
          <w:color w:val="000000" w:themeColor="text1"/>
          <w:sz w:val="28"/>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七十</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新建住宅小区应设置对内公共厕所，规模符合表8</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3的要求。</w:t>
      </w:r>
    </w:p>
    <w:p w14:paraId="13530433">
      <w:pPr>
        <w:spacing w:line="500" w:lineRule="exact"/>
        <w:jc w:val="center"/>
        <w:rPr>
          <w:color w:val="000000" w:themeColor="text1"/>
          <w:sz w:val="28"/>
          <w14:textFill>
            <w14:solidFill>
              <w14:schemeClr w14:val="tx1"/>
            </w14:solidFill>
          </w14:textFill>
        </w:rPr>
      </w:pPr>
      <w:r>
        <w:rPr>
          <w:color w:val="000000" w:themeColor="text1"/>
          <w:sz w:val="28"/>
          <w14:textFill>
            <w14:solidFill>
              <w14:schemeClr w14:val="tx1"/>
            </w14:solidFill>
          </w14:textFill>
        </w:rPr>
        <w:t>表8</w:t>
      </w:r>
      <w:r>
        <w:rPr>
          <w:rFonts w:hint="eastAsia"/>
          <w:color w:val="000000" w:themeColor="text1"/>
          <w:sz w:val="28"/>
          <w14:textFill>
            <w14:solidFill>
              <w14:schemeClr w14:val="tx1"/>
            </w14:solidFill>
          </w14:textFill>
        </w:rPr>
        <w:t>—</w:t>
      </w:r>
      <w:r>
        <w:rPr>
          <w:color w:val="000000" w:themeColor="text1"/>
          <w:sz w:val="28"/>
          <w14:textFill>
            <w14:solidFill>
              <w14:schemeClr w14:val="tx1"/>
            </w14:solidFill>
          </w14:textFill>
        </w:rPr>
        <w:t>3  公共厕所控制指标</w:t>
      </w:r>
    </w:p>
    <w:tbl>
      <w:tblPr>
        <w:tblStyle w:val="14"/>
        <w:tblW w:w="83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274"/>
        <w:gridCol w:w="2925"/>
        <w:gridCol w:w="3195"/>
      </w:tblGrid>
      <w:tr w14:paraId="74B1A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3" w:hRule="atLeast"/>
          <w:jc w:val="center"/>
        </w:trPr>
        <w:tc>
          <w:tcPr>
            <w:tcW w:w="2274" w:type="dxa"/>
            <w:vMerge w:val="restart"/>
            <w:vAlign w:val="center"/>
          </w:tcPr>
          <w:p w14:paraId="72D4CE06">
            <w:pPr>
              <w:spacing w:line="0" w:lineRule="atLeas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项目用地面积（亩）</w:t>
            </w:r>
          </w:p>
        </w:tc>
        <w:tc>
          <w:tcPr>
            <w:tcW w:w="6120" w:type="dxa"/>
            <w:gridSpan w:val="2"/>
          </w:tcPr>
          <w:p w14:paraId="68F0B08B">
            <w:pPr>
              <w:spacing w:line="0" w:lineRule="atLeas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公共厕所</w:t>
            </w:r>
          </w:p>
        </w:tc>
      </w:tr>
      <w:tr w14:paraId="12B1D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02" w:hRule="atLeast"/>
          <w:jc w:val="center"/>
        </w:trPr>
        <w:tc>
          <w:tcPr>
            <w:tcW w:w="2274" w:type="dxa"/>
            <w:vMerge w:val="continue"/>
            <w:vAlign w:val="center"/>
          </w:tcPr>
          <w:p w14:paraId="5D9854F7">
            <w:pPr>
              <w:spacing w:line="0" w:lineRule="atLeast"/>
              <w:jc w:val="center"/>
              <w:rPr>
                <w:color w:val="000000" w:themeColor="text1"/>
                <w:sz w:val="24"/>
                <w14:textFill>
                  <w14:solidFill>
                    <w14:schemeClr w14:val="tx1"/>
                  </w14:solidFill>
                </w14:textFill>
              </w:rPr>
            </w:pPr>
          </w:p>
        </w:tc>
        <w:tc>
          <w:tcPr>
            <w:tcW w:w="2925" w:type="dxa"/>
          </w:tcPr>
          <w:p w14:paraId="3800635E">
            <w:pPr>
              <w:spacing w:line="0" w:lineRule="atLeas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建筑面积参考指标</w:t>
            </w:r>
            <w:r>
              <w:rPr>
                <w:color w:val="000000" w:themeColor="text1"/>
                <w:szCs w:val="21"/>
                <w14:textFill>
                  <w14:solidFill>
                    <w14:schemeClr w14:val="tx1"/>
                  </w14:solidFill>
                </w14:textFill>
              </w:rPr>
              <w:t>（</w:t>
            </w:r>
            <w:r>
              <w:rPr>
                <w:color w:val="000000" w:themeColor="text1"/>
                <w:sz w:val="24"/>
                <w14:textFill>
                  <w14:solidFill>
                    <w14:schemeClr w14:val="tx1"/>
                  </w14:solidFill>
                </w14:textFill>
              </w:rPr>
              <w:t>m</w:t>
            </w:r>
            <w:r>
              <w:rPr>
                <w:color w:val="000000" w:themeColor="text1"/>
                <w:sz w:val="24"/>
                <w:vertAlign w:val="superscript"/>
                <w14:textFill>
                  <w14:solidFill>
                    <w14:schemeClr w14:val="tx1"/>
                  </w14:solidFill>
                </w14:textFill>
              </w:rPr>
              <w:t>2</w:t>
            </w:r>
            <w:r>
              <w:rPr>
                <w:color w:val="000000" w:themeColor="text1"/>
                <w:szCs w:val="21"/>
                <w14:textFill>
                  <w14:solidFill>
                    <w14:schemeClr w14:val="tx1"/>
                  </w14:solidFill>
                </w14:textFill>
              </w:rPr>
              <w:t>）</w:t>
            </w:r>
          </w:p>
        </w:tc>
        <w:tc>
          <w:tcPr>
            <w:tcW w:w="3195" w:type="dxa"/>
            <w:vAlign w:val="center"/>
          </w:tcPr>
          <w:p w14:paraId="01F0EC9C">
            <w:pPr>
              <w:spacing w:line="0" w:lineRule="atLeas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最低配置标准</w:t>
            </w:r>
          </w:p>
        </w:tc>
      </w:tr>
      <w:tr w14:paraId="3910A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274" w:type="dxa"/>
            <w:vAlign w:val="center"/>
          </w:tcPr>
          <w:p w14:paraId="4CE6B852">
            <w:pPr>
              <w:spacing w:line="64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&lt;</w:t>
            </w:r>
            <w:r>
              <w:rPr>
                <w:rFonts w:hint="eastAsia"/>
                <w:color w:val="000000" w:themeColor="text1"/>
                <w:sz w:val="24"/>
                <w14:textFill>
                  <w14:solidFill>
                    <w14:schemeClr w14:val="tx1"/>
                  </w14:solidFill>
                </w14:textFill>
              </w:rPr>
              <w:t>50</w:t>
            </w:r>
          </w:p>
        </w:tc>
        <w:tc>
          <w:tcPr>
            <w:tcW w:w="2925" w:type="dxa"/>
          </w:tcPr>
          <w:p w14:paraId="4A39FCC0">
            <w:pPr>
              <w:spacing w:line="64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4</w:t>
            </w:r>
            <w:r>
              <w:rPr>
                <w:color w:val="000000" w:themeColor="text1"/>
                <w:sz w:val="24"/>
                <w14:textFill>
                  <w14:solidFill>
                    <w14:schemeClr w14:val="tx1"/>
                  </w14:solidFill>
                </w14:textFill>
              </w:rPr>
              <w:t>0</w:t>
            </w:r>
          </w:p>
        </w:tc>
        <w:tc>
          <w:tcPr>
            <w:tcW w:w="3195" w:type="dxa"/>
          </w:tcPr>
          <w:p w14:paraId="2DA23F39">
            <w:pPr>
              <w:spacing w:line="0" w:lineRule="atLeas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一处，男女各两个蹲位</w:t>
            </w:r>
          </w:p>
          <w:p w14:paraId="44602FA5">
            <w:pPr>
              <w:spacing w:line="0" w:lineRule="atLeas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（含残疾人蹲位）</w:t>
            </w:r>
          </w:p>
        </w:tc>
      </w:tr>
      <w:tr w14:paraId="703C5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274" w:type="dxa"/>
          </w:tcPr>
          <w:p w14:paraId="4DF522AC">
            <w:pPr>
              <w:spacing w:line="64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≥50</w:t>
            </w:r>
          </w:p>
        </w:tc>
        <w:tc>
          <w:tcPr>
            <w:tcW w:w="2925" w:type="dxa"/>
          </w:tcPr>
          <w:p w14:paraId="504010A7">
            <w:pPr>
              <w:spacing w:line="64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≥60</w:t>
            </w:r>
          </w:p>
        </w:tc>
        <w:tc>
          <w:tcPr>
            <w:tcW w:w="3195" w:type="dxa"/>
          </w:tcPr>
          <w:p w14:paraId="44CBAD49">
            <w:pPr>
              <w:spacing w:line="0" w:lineRule="atLeas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两处，每处男女各三个蹲位</w:t>
            </w:r>
          </w:p>
          <w:p w14:paraId="54C3A275">
            <w:pPr>
              <w:spacing w:line="0" w:lineRule="atLeas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（含残疾人蹲位）</w:t>
            </w:r>
          </w:p>
        </w:tc>
      </w:tr>
    </w:tbl>
    <w:p w14:paraId="5561C56B">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七十一</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建筑面积在0.5</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1万平方米的公共建筑（包括交通枢纽、大型商业建筑、医院、文化场馆、旅游娱乐场所等），应设置不少于6平方米的独立母婴室；建筑面积在1万平方米以上的公共建筑，应设置不少于10平方米的独立母婴室。</w:t>
      </w:r>
    </w:p>
    <w:p w14:paraId="22DF8A0A">
      <w:pPr>
        <w:spacing w:line="580" w:lineRule="exact"/>
        <w:ind w:firstLine="640" w:firstLineChars="200"/>
        <w:rPr>
          <w:rFonts w:eastAsia="黑体"/>
          <w:color w:val="000000" w:themeColor="text1"/>
          <w:sz w:val="36"/>
          <w:szCs w:val="36"/>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七十二</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新建住宅小区内排水管网按雨、污水分流进行设计，与城市雨、污水管道实现有效对接。商业建筑必须设置纵横贯通的排烟通道和污水管网设施。市政污水管网覆盖的区域，不得新建化粪池，住宅阳台设置排水系统时应接入排污管道。所有建设项目的地下管网规划设计由</w:t>
      </w:r>
      <w:r>
        <w:rPr>
          <w:rFonts w:hint="eastAsia"/>
          <w:color w:val="000000" w:themeColor="text1"/>
          <w:szCs w:val="32"/>
          <w14:textFill>
            <w14:solidFill>
              <w14:schemeClr w14:val="tx1"/>
            </w14:solidFill>
          </w14:textFill>
        </w:rPr>
        <w:t>县</w:t>
      </w:r>
      <w:r>
        <w:rPr>
          <w:color w:val="000000" w:themeColor="text1"/>
          <w:szCs w:val="32"/>
          <w14:textFill>
            <w14:solidFill>
              <w14:schemeClr w14:val="tx1"/>
            </w14:solidFill>
          </w14:textFill>
        </w:rPr>
        <w:t>杆管办进行专项审查审批。</w:t>
      </w:r>
    </w:p>
    <w:p w14:paraId="74BF783F">
      <w:pPr>
        <w:spacing w:line="580" w:lineRule="exact"/>
        <w:jc w:val="center"/>
        <w:rPr>
          <w:rFonts w:eastAsia="黑体"/>
          <w:color w:val="000000" w:themeColor="text1"/>
          <w:szCs w:val="32"/>
          <w14:textFill>
            <w14:solidFill>
              <w14:schemeClr w14:val="tx1"/>
            </w14:solidFill>
          </w14:textFill>
        </w:rPr>
      </w:pPr>
    </w:p>
    <w:p w14:paraId="70750830">
      <w:pPr>
        <w:spacing w:line="580" w:lineRule="exact"/>
        <w:jc w:val="center"/>
        <w:rPr>
          <w:rFonts w:eastAsia="黑体"/>
          <w:color w:val="000000" w:themeColor="text1"/>
          <w:szCs w:val="32"/>
          <w14:textFill>
            <w14:solidFill>
              <w14:schemeClr w14:val="tx1"/>
            </w14:solidFill>
          </w14:textFill>
        </w:rPr>
      </w:pPr>
      <w:r>
        <w:rPr>
          <w:rFonts w:eastAsia="黑体"/>
          <w:color w:val="000000" w:themeColor="text1"/>
          <w:szCs w:val="32"/>
          <w14:textFill>
            <w14:solidFill>
              <w14:schemeClr w14:val="tx1"/>
            </w14:solidFill>
          </w14:textFill>
        </w:rPr>
        <w:t>第九章  建筑设计</w:t>
      </w:r>
    </w:p>
    <w:p w14:paraId="54C80AA7">
      <w:pPr>
        <w:spacing w:line="580" w:lineRule="exact"/>
        <w:jc w:val="center"/>
        <w:rPr>
          <w:rFonts w:eastAsia="黑体"/>
          <w:color w:val="000000" w:themeColor="text1"/>
          <w:sz w:val="36"/>
          <w:szCs w:val="36"/>
          <w14:textFill>
            <w14:solidFill>
              <w14:schemeClr w14:val="tx1"/>
            </w14:solidFill>
          </w14:textFill>
        </w:rPr>
      </w:pPr>
    </w:p>
    <w:p w14:paraId="194D9431">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第七十</w:t>
      </w:r>
      <w:r>
        <w:rPr>
          <w:rFonts w:hint="eastAsia" w:eastAsia="楷体_GB2312"/>
          <w:color w:val="000000" w:themeColor="text1"/>
          <w:szCs w:val="32"/>
          <w14:textFill>
            <w14:solidFill>
              <w14:schemeClr w14:val="tx1"/>
            </w14:solidFill>
          </w14:textFill>
        </w:rPr>
        <w:t>三</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建筑层高要求：</w:t>
      </w:r>
    </w:p>
    <w:p w14:paraId="503AE860">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（一）住宅建筑层高控制在</w:t>
      </w:r>
      <w:r>
        <w:rPr>
          <w:rFonts w:hint="eastAsia"/>
          <w:color w:val="000000" w:themeColor="text1"/>
          <w:szCs w:val="32"/>
          <w14:textFill>
            <w14:solidFill>
              <w14:schemeClr w14:val="tx1"/>
            </w14:solidFill>
          </w14:textFill>
        </w:rPr>
        <w:t>3.0米—</w:t>
      </w:r>
      <w:r>
        <w:rPr>
          <w:color w:val="000000" w:themeColor="text1"/>
          <w:szCs w:val="32"/>
          <w14:textFill>
            <w14:solidFill>
              <w14:schemeClr w14:val="tx1"/>
            </w14:solidFill>
          </w14:textFill>
        </w:rPr>
        <w:t>3.6米范围内，四层及以下住宅客厅（起居室）、顶楼跃层式住宅客厅（起居室）层高可为户内通高并控制在2层以内。</w:t>
      </w:r>
    </w:p>
    <w:p w14:paraId="7EF19D23">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（二）商业建筑首层层高不得超过6.1米，二层及以上层高不得大于5.4米；酒店用房层高不得大于4.9米；商业用房的门厅、中庭、大型宴会厅、电影厅等几层通高的除外。</w:t>
      </w:r>
    </w:p>
    <w:p w14:paraId="162647FF">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（三）办公类建设项目办公用房标准层分隔的，层高不得大于4.2米; 办公用房标准层不分隔的，层高不得大于4.6米。</w:t>
      </w:r>
    </w:p>
    <w:p w14:paraId="55A4B3EA">
      <w:pPr>
        <w:widowControl/>
        <w:spacing w:line="580" w:lineRule="exact"/>
        <w:ind w:firstLine="640" w:firstLineChars="200"/>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第七十</w:t>
      </w:r>
      <w:r>
        <w:rPr>
          <w:rFonts w:hint="eastAsia" w:eastAsia="楷体_GB2312"/>
          <w:color w:val="000000" w:themeColor="text1"/>
          <w:szCs w:val="32"/>
          <w14:textFill>
            <w14:solidFill>
              <w14:schemeClr w14:val="tx1"/>
            </w14:solidFill>
          </w14:textFill>
        </w:rPr>
        <w:t>四</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住宅阳台及非公共活动空间（包括但不限于各类形式的入户花园、空中花园、设备平台、构造板、结构板、抗震板等）的水平投影面积不得大于该套住宅套型建筑面积的25%，其中入户花园和设备平台的水平投影面积不得大于该套住宅套型总建筑面积的10%；构造板、结构板、抗震板等非公共活动空间的水平投影面积不得大于该套住宅套型建筑面积的5%。阳台进深（围护结构外围至外墙边缘距离）不得大于</w:t>
      </w:r>
      <w:r>
        <w:rPr>
          <w:rFonts w:hint="eastAsia"/>
          <w:color w:val="000000" w:themeColor="text1"/>
          <w:szCs w:val="32"/>
          <w14:textFill>
            <w14:solidFill>
              <w14:schemeClr w14:val="tx1"/>
            </w14:solidFill>
          </w14:textFill>
        </w:rPr>
        <w:t>3.0</w:t>
      </w:r>
      <w:r>
        <w:rPr>
          <w:color w:val="000000" w:themeColor="text1"/>
          <w:szCs w:val="32"/>
          <w14:textFill>
            <w14:solidFill>
              <w14:schemeClr w14:val="tx1"/>
            </w14:solidFill>
          </w14:textFill>
        </w:rPr>
        <w:t>米。临城市干道的阳台必须作公建化处理，鼓励设计为弧形或流线型，丰富建筑外观，不得设置开放式阳台，不得设置错层阳台、错层露台，不得隔层设置阳台。</w:t>
      </w:r>
    </w:p>
    <w:p w14:paraId="2A96ED47">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第七十</w:t>
      </w:r>
      <w:r>
        <w:rPr>
          <w:rFonts w:hint="eastAsia" w:eastAsia="楷体_GB2312"/>
          <w:color w:val="000000" w:themeColor="text1"/>
          <w:szCs w:val="32"/>
          <w14:textFill>
            <w14:solidFill>
              <w14:schemeClr w14:val="tx1"/>
            </w14:solidFill>
          </w14:textFill>
        </w:rPr>
        <w:t>五</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四层及以下住宅建筑允许适当设置露台，露台的水平投影面积不得大于该住宅套型建筑面积的10%，四层以上住宅建筑不得设置露台；四层及以下住宅建筑底层允许适当设置下沉天井，下沉天井的水平投影总面积不得大于该住宅本层套型建筑面积的10%。露台和下沉天井不得临城市道路设置。</w:t>
      </w:r>
    </w:p>
    <w:p w14:paraId="7B198B64">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第七十</w:t>
      </w:r>
      <w:r>
        <w:rPr>
          <w:rFonts w:hint="eastAsia" w:eastAsia="楷体_GB2312"/>
          <w:color w:val="000000" w:themeColor="text1"/>
          <w:szCs w:val="32"/>
          <w14:textFill>
            <w14:solidFill>
              <w14:schemeClr w14:val="tx1"/>
            </w14:solidFill>
          </w14:textFill>
        </w:rPr>
        <w:t>六</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住宅建筑外墙的飘窗数量不得超过该套住宅客厅和卧室总数量，飘窗窗台与室内楼地面高差不得小于0.45米，飘窗凸出主体外墙不得大于0.7米。当设置转角飘窗时，飘窗总长度不得超过主体外墙的1/2。飘窗必须沿窗内侧设置防护栏杆。  </w:t>
      </w:r>
    </w:p>
    <w:p w14:paraId="1E0569ED">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第七十</w:t>
      </w:r>
      <w:r>
        <w:rPr>
          <w:rFonts w:hint="eastAsia" w:eastAsia="楷体_GB2312"/>
          <w:color w:val="000000" w:themeColor="text1"/>
          <w:szCs w:val="32"/>
          <w14:textFill>
            <w14:solidFill>
              <w14:schemeClr w14:val="tx1"/>
            </w14:solidFill>
          </w14:textFill>
        </w:rPr>
        <w:t>七</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在结构连接薄弱位置确需用结构板或结构梁进行拉结强化的，结构板、结构梁应规范合理设置，不得错层、隔层设置结构板。高层建筑的非规则平面楼面凹入或开洞尺寸不得大于楼面宽度的一半。</w:t>
      </w:r>
    </w:p>
    <w:p w14:paraId="50BD6078">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第七十</w:t>
      </w:r>
      <w:r>
        <w:rPr>
          <w:rFonts w:hint="eastAsia" w:eastAsia="楷体_GB2312"/>
          <w:color w:val="000000" w:themeColor="text1"/>
          <w:szCs w:val="32"/>
          <w14:textFill>
            <w14:solidFill>
              <w14:schemeClr w14:val="tx1"/>
            </w14:solidFill>
          </w14:textFill>
        </w:rPr>
        <w:t>八</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高层住宅建筑底层宜设置架空层。架空层除必要的入口、门厅外，应设置绿化、地面铺装、休息座椅、健身设施等，作为小区住户开敞式公共活动空间，建筑面积不计入项目容积率。架空层配套设施和装修应与建筑同步规划、同步建设、同步交付使用，严禁改作他用或出租出售。</w:t>
      </w:r>
    </w:p>
    <w:p w14:paraId="0C2ABE5A">
      <w:pPr>
        <w:spacing w:line="580" w:lineRule="exact"/>
        <w:ind w:firstLine="640" w:firstLineChars="200"/>
        <w:rPr>
          <w:rFonts w:eastAsia="黑体"/>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七十九</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地下室、半地下室建筑顶板的板面标高不超过相邻城市道路</w:t>
      </w:r>
      <w:r>
        <w:rPr>
          <w:rFonts w:hint="eastAsia"/>
          <w:color w:val="000000" w:themeColor="text1"/>
          <w:szCs w:val="32"/>
          <w14:textFill>
            <w14:solidFill>
              <w14:schemeClr w14:val="tx1"/>
            </w14:solidFill>
          </w14:textFill>
        </w:rPr>
        <w:t>2</w:t>
      </w:r>
      <w:r>
        <w:rPr>
          <w:color w:val="000000" w:themeColor="text1"/>
          <w:szCs w:val="32"/>
          <w14:textFill>
            <w14:solidFill>
              <w14:schemeClr w14:val="tx1"/>
            </w14:solidFill>
          </w14:textFill>
        </w:rPr>
        <w:t>.5米时，该层建筑面积不计入地块容积率。顶板的板面标高超出相邻城市道路</w:t>
      </w:r>
      <w:r>
        <w:rPr>
          <w:rFonts w:hint="eastAsia"/>
          <w:color w:val="000000" w:themeColor="text1"/>
          <w:szCs w:val="32"/>
          <w14:textFill>
            <w14:solidFill>
              <w14:schemeClr w14:val="tx1"/>
            </w14:solidFill>
          </w14:textFill>
        </w:rPr>
        <w:t>2</w:t>
      </w:r>
      <w:r>
        <w:rPr>
          <w:color w:val="000000" w:themeColor="text1"/>
          <w:szCs w:val="32"/>
          <w14:textFill>
            <w14:solidFill>
              <w14:schemeClr w14:val="tx1"/>
            </w14:solidFill>
          </w14:textFill>
        </w:rPr>
        <w:t>.5米</w:t>
      </w:r>
      <w:r>
        <w:rPr>
          <w:rFonts w:hint="eastAsia"/>
          <w:color w:val="000000" w:themeColor="text1"/>
          <w:szCs w:val="32"/>
          <w14:textFill>
            <w14:solidFill>
              <w14:schemeClr w14:val="tx1"/>
            </w14:solidFill>
          </w14:textFill>
        </w:rPr>
        <w:t>时</w:t>
      </w:r>
      <w:r>
        <w:rPr>
          <w:color w:val="000000" w:themeColor="text1"/>
          <w:szCs w:val="32"/>
          <w14:textFill>
            <w14:solidFill>
              <w14:schemeClr w14:val="tx1"/>
            </w14:solidFill>
          </w14:textFill>
        </w:rPr>
        <w:t>，该层建筑面积计入地块容积率</w:t>
      </w:r>
      <w:r>
        <w:rPr>
          <w:rFonts w:hint="eastAsia"/>
          <w:color w:val="000000" w:themeColor="text1"/>
          <w:szCs w:val="32"/>
          <w14:textFill>
            <w14:solidFill>
              <w14:schemeClr w14:val="tx1"/>
            </w14:solidFill>
          </w14:textFill>
        </w:rPr>
        <w:t>，但场地高差较大的坡地建筑，当符合地下室计算埋深（室内地平面低于室外地面的高度超过室内净高的1/2）部分的外墙长度不少于地下室全部外墙长度的1/3时，该层</w:t>
      </w:r>
      <w:r>
        <w:rPr>
          <w:color w:val="000000" w:themeColor="text1"/>
          <w:szCs w:val="32"/>
          <w14:textFill>
            <w14:solidFill>
              <w14:schemeClr w14:val="tx1"/>
            </w14:solidFill>
          </w14:textFill>
        </w:rPr>
        <w:t>建筑面积</w:t>
      </w:r>
      <w:r>
        <w:rPr>
          <w:rFonts w:hint="eastAsia"/>
          <w:color w:val="000000" w:themeColor="text1"/>
          <w:szCs w:val="32"/>
          <w14:textFill>
            <w14:solidFill>
              <w14:schemeClr w14:val="tx1"/>
            </w14:solidFill>
          </w14:textFill>
        </w:rPr>
        <w:t>不</w:t>
      </w:r>
      <w:r>
        <w:rPr>
          <w:color w:val="000000" w:themeColor="text1"/>
          <w:szCs w:val="32"/>
          <w14:textFill>
            <w14:solidFill>
              <w14:schemeClr w14:val="tx1"/>
            </w14:solidFill>
          </w14:textFill>
        </w:rPr>
        <w:t>计入容积率。</w:t>
      </w:r>
    </w:p>
    <w:p w14:paraId="5ED5459B">
      <w:pPr>
        <w:spacing w:line="580" w:lineRule="exact"/>
        <w:ind w:firstLine="640" w:firstLineChars="200"/>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八十</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空调室外机及附属设施要结合立面设计统一隐蔽设置，冷凝水采用有组织排水，且保证冷凝水管的有效隐蔽，空调室外机搁板尺寸不大于1.5米</w:t>
      </w:r>
      <w:r>
        <w:rPr>
          <w:rFonts w:ascii="Arial" w:hAnsi="Arial" w:cs="Arial"/>
          <w:color w:val="000000" w:themeColor="text1"/>
          <w:szCs w:val="32"/>
          <w14:textFill>
            <w14:solidFill>
              <w14:schemeClr w14:val="tx1"/>
            </w14:solidFill>
          </w14:textFill>
        </w:rPr>
        <w:t>×</w:t>
      </w:r>
      <w:r>
        <w:rPr>
          <w:color w:val="000000" w:themeColor="text1"/>
          <w:szCs w:val="32"/>
          <w14:textFill>
            <w14:solidFill>
              <w14:schemeClr w14:val="tx1"/>
            </w14:solidFill>
          </w14:textFill>
        </w:rPr>
        <w:t>0.7米。底层商业用房临街面不得设置空调室外机。</w:t>
      </w:r>
    </w:p>
    <w:p w14:paraId="36DC2D04">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八十一</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新建住宅小区、住宅兼容商业的项目不得设置底商或沿街单层商铺</w:t>
      </w:r>
      <w:r>
        <w:rPr>
          <w:rFonts w:hint="eastAsia"/>
          <w:color w:val="000000" w:themeColor="text1"/>
          <w:szCs w:val="32"/>
          <w14:textFill>
            <w14:solidFill>
              <w14:schemeClr w14:val="tx1"/>
            </w14:solidFill>
          </w14:textFill>
        </w:rPr>
        <w:t>，商业应独立设置</w:t>
      </w:r>
      <w:r>
        <w:rPr>
          <w:color w:val="000000" w:themeColor="text1"/>
          <w:szCs w:val="32"/>
          <w14:textFill>
            <w14:solidFill>
              <w14:schemeClr w14:val="tx1"/>
            </w14:solidFill>
          </w14:textFill>
        </w:rPr>
        <w:t>。建筑间口率不得大于</w:t>
      </w:r>
      <w:r>
        <w:rPr>
          <w:rFonts w:hint="eastAsia"/>
          <w:color w:val="000000" w:themeColor="text1"/>
          <w:szCs w:val="32"/>
          <w14:textFill>
            <w14:solidFill>
              <w14:schemeClr w14:val="tx1"/>
            </w14:solidFill>
          </w14:textFill>
        </w:rPr>
        <w:t>50</w:t>
      </w:r>
      <w:r>
        <w:rPr>
          <w:color w:val="000000" w:themeColor="text1"/>
          <w:szCs w:val="32"/>
          <w14:textFill>
            <w14:solidFill>
              <w14:schemeClr w14:val="tx1"/>
            </w14:solidFill>
          </w14:textFill>
        </w:rPr>
        <w:t>%</w:t>
      </w:r>
      <w:r>
        <w:rPr>
          <w:rFonts w:hint="eastAsia"/>
          <w:color w:val="000000" w:themeColor="text1"/>
          <w:szCs w:val="32"/>
          <w14:textFill>
            <w14:solidFill>
              <w14:schemeClr w14:val="tx1"/>
            </w14:solidFill>
          </w14:textFill>
        </w:rPr>
        <w:t>。</w:t>
      </w:r>
    </w:p>
    <w:p w14:paraId="37B7C6E6">
      <w:pPr>
        <w:spacing w:line="580" w:lineRule="exact"/>
        <w:ind w:firstLine="640" w:firstLineChars="200"/>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八十二</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商业建筑应按照业态和功能进行布局，禁止以任何产权单位、虚拟划线等无实体墙的形式进行分割。</w:t>
      </w:r>
    </w:p>
    <w:p w14:paraId="2056343B">
      <w:pPr>
        <w:spacing w:line="580" w:lineRule="exact"/>
        <w:ind w:firstLine="640" w:firstLineChars="200"/>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第八十</w:t>
      </w:r>
      <w:r>
        <w:rPr>
          <w:rFonts w:hint="eastAsia" w:eastAsia="楷体_GB2312"/>
          <w:color w:val="000000" w:themeColor="text1"/>
          <w:szCs w:val="32"/>
          <w14:textFill>
            <w14:solidFill>
              <w14:schemeClr w14:val="tx1"/>
            </w14:solidFill>
          </w14:textFill>
        </w:rPr>
        <w:t>三</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建设项目设计方案必须进行竖向设计，确保项目用地范围内的道路、广场、室外场地标高与城市道路相衔接。建筑处于平原地形，以相临城市道路的人行道设计高程为参照；建筑处于丘陵地形，根据国土空间详细规划、相临道路、地形地貌综合确定设计高程。</w:t>
      </w:r>
    </w:p>
    <w:p w14:paraId="261E8AA2">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第八十</w:t>
      </w:r>
      <w:r>
        <w:rPr>
          <w:rFonts w:hint="eastAsia" w:eastAsia="楷体_GB2312"/>
          <w:color w:val="000000" w:themeColor="text1"/>
          <w:szCs w:val="32"/>
          <w14:textFill>
            <w14:solidFill>
              <w14:schemeClr w14:val="tx1"/>
            </w14:solidFill>
          </w14:textFill>
        </w:rPr>
        <w:t>四</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建筑室内±0.00标高设置的一般规定：</w:t>
      </w:r>
    </w:p>
    <w:p w14:paraId="7CB94276">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（一）距道路红线18米内临道路商业建筑室内±0.00标高高程与参考面高程差≤0.6米；距道路红线18米外临道路商业建筑±0.00标高高程与参考面高程（垂直方向）坡度小于3%，且高程差＜1.5米。</w:t>
      </w:r>
    </w:p>
    <w:p w14:paraId="6A37B25C">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（二）临道路居住建筑±0.00标高高程与参照面高程差＜1.5米，且与相临人行道间做平缓过渡处理。</w:t>
      </w:r>
    </w:p>
    <w:p w14:paraId="75C2593F">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第八十</w:t>
      </w:r>
      <w:r>
        <w:rPr>
          <w:rFonts w:hint="eastAsia" w:eastAsia="楷体_GB2312"/>
          <w:color w:val="000000" w:themeColor="text1"/>
          <w:szCs w:val="32"/>
          <w14:textFill>
            <w14:solidFill>
              <w14:schemeClr w14:val="tx1"/>
            </w14:solidFill>
          </w14:textFill>
        </w:rPr>
        <w:t>五</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建筑室内±0.00标高设置的其它要求：</w:t>
      </w:r>
    </w:p>
    <w:p w14:paraId="3BE6C052">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（一）在未建成的规划道路两侧布置建筑时</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必须依据上述第八十</w:t>
      </w:r>
      <w:r>
        <w:rPr>
          <w:rFonts w:hint="eastAsia"/>
          <w:color w:val="000000" w:themeColor="text1"/>
          <w:szCs w:val="32"/>
          <w14:textFill>
            <w14:solidFill>
              <w14:schemeClr w14:val="tx1"/>
            </w14:solidFill>
          </w14:textFill>
        </w:rPr>
        <w:t>三条</w:t>
      </w:r>
      <w:r>
        <w:rPr>
          <w:color w:val="000000" w:themeColor="text1"/>
          <w:szCs w:val="32"/>
          <w14:textFill>
            <w14:solidFill>
              <w14:schemeClr w14:val="tx1"/>
            </w14:solidFill>
          </w14:textFill>
        </w:rPr>
        <w:t>、八十</w:t>
      </w:r>
      <w:r>
        <w:rPr>
          <w:rFonts w:hint="eastAsia"/>
          <w:color w:val="000000" w:themeColor="text1"/>
          <w:szCs w:val="32"/>
          <w14:textFill>
            <w14:solidFill>
              <w14:schemeClr w14:val="tx1"/>
            </w14:solidFill>
          </w14:textFill>
        </w:rPr>
        <w:t>四</w:t>
      </w:r>
      <w:r>
        <w:rPr>
          <w:color w:val="000000" w:themeColor="text1"/>
          <w:szCs w:val="32"/>
          <w14:textFill>
            <w14:solidFill>
              <w14:schemeClr w14:val="tx1"/>
            </w14:solidFill>
          </w14:textFill>
        </w:rPr>
        <w:t>条规定</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按建筑相临的规划道路高程计算出拟建工程的室内±0.00标高。</w:t>
      </w:r>
    </w:p>
    <w:p w14:paraId="1E6CDC23">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（二）如因建筑功能使用要求需提高室内±0.00标高设置的，由规划和自然资源主管部门按相关规范另行审批。</w:t>
      </w:r>
    </w:p>
    <w:p w14:paraId="5145F618">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（三）当平原地区出现建筑所处自然地形与周边道路高差＞1.5米时，建筑室内±0.00标高设置由规划和自然资源主管部门按相关规范另行审批。</w:t>
      </w:r>
    </w:p>
    <w:p w14:paraId="03FEC639">
      <w:pPr>
        <w:spacing w:line="580" w:lineRule="exact"/>
        <w:ind w:firstLine="640" w:firstLineChars="200"/>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第八十</w:t>
      </w:r>
      <w:r>
        <w:rPr>
          <w:rFonts w:hint="eastAsia" w:eastAsia="楷体_GB2312"/>
          <w:color w:val="000000" w:themeColor="text1"/>
          <w:szCs w:val="32"/>
          <w14:textFill>
            <w14:solidFill>
              <w14:schemeClr w14:val="tx1"/>
            </w14:solidFill>
          </w14:textFill>
        </w:rPr>
        <w:t>六</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除历史文化街区和传统商业步行街以外，其他区域不得设置商业檐廊和骑楼。国际、国内著名品牌项目的建筑外观风貌，除历史文化保护街区以外的区域，在符合国土空间规划包容性的前提下，允许按照品牌项目的模式化建筑外观实施。</w:t>
      </w:r>
    </w:p>
    <w:p w14:paraId="60072177">
      <w:pPr>
        <w:spacing w:line="580" w:lineRule="exact"/>
        <w:ind w:firstLine="640" w:firstLineChars="200"/>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第八十</w:t>
      </w:r>
      <w:r>
        <w:rPr>
          <w:rFonts w:hint="eastAsia" w:eastAsia="楷体_GB2312"/>
          <w:color w:val="000000" w:themeColor="text1"/>
          <w:szCs w:val="32"/>
          <w14:textFill>
            <w14:solidFill>
              <w14:schemeClr w14:val="tx1"/>
            </w14:solidFill>
          </w14:textFill>
        </w:rPr>
        <w:t>七</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鼓励开发城市广场地下空间，城市广场地下空间通往地面的人行出入口面积，在满足消防安全疏散规定的前提下，按最低限控制。</w:t>
      </w:r>
    </w:p>
    <w:p w14:paraId="0C9BCB3E">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第八十</w:t>
      </w:r>
      <w:r>
        <w:rPr>
          <w:rFonts w:hint="eastAsia" w:eastAsia="楷体_GB2312"/>
          <w:color w:val="000000" w:themeColor="text1"/>
          <w:szCs w:val="32"/>
          <w14:textFill>
            <w14:solidFill>
              <w14:schemeClr w14:val="tx1"/>
            </w14:solidFill>
          </w14:textFill>
        </w:rPr>
        <w:t>八</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建设用地面积在50亩以上的住宅小区、城市重要地段的建筑、大型公共建筑等项目，</w:t>
      </w:r>
      <w:r>
        <w:rPr>
          <w:rFonts w:hint="eastAsia"/>
          <w:color w:val="000000" w:themeColor="text1"/>
          <w:szCs w:val="32"/>
          <w14:textFill>
            <w14:solidFill>
              <w14:schemeClr w14:val="tx1"/>
            </w14:solidFill>
          </w14:textFill>
        </w:rPr>
        <w:t>鼓励</w:t>
      </w:r>
      <w:r>
        <w:rPr>
          <w:color w:val="000000" w:themeColor="text1"/>
          <w:szCs w:val="32"/>
          <w14:textFill>
            <w14:solidFill>
              <w14:schemeClr w14:val="tx1"/>
            </w14:solidFill>
          </w14:textFill>
        </w:rPr>
        <w:t>提供不少于2套的设计方案进行审查比选。</w:t>
      </w:r>
    </w:p>
    <w:p w14:paraId="4FD0CA69">
      <w:pPr>
        <w:pStyle w:val="33"/>
        <w:spacing w:line="580" w:lineRule="exact"/>
        <w:ind w:firstLine="627" w:firstLineChars="196"/>
        <w:rPr>
          <w:rFonts w:ascii="Times New Roman" w:hAnsi="Times New Roman" w:eastAsia="仿宋_GB2312"/>
          <w:color w:val="000000" w:themeColor="text1"/>
          <w:sz w:val="32"/>
          <w:szCs w:val="32"/>
          <w14:textFill>
            <w14:solidFill>
              <w14:schemeClr w14:val="tx1"/>
            </w14:solidFill>
          </w14:textFill>
        </w:rPr>
      </w:pPr>
      <w:r>
        <w:rPr>
          <w:rFonts w:ascii="Times New Roman" w:hAnsi="Times New Roman" w:eastAsia="楷体_GB2312"/>
          <w:color w:val="000000" w:themeColor="text1"/>
          <w:sz w:val="32"/>
          <w:szCs w:val="32"/>
          <w14:textFill>
            <w14:solidFill>
              <w14:schemeClr w14:val="tx1"/>
            </w14:solidFill>
          </w14:textFill>
        </w:rPr>
        <w:t>第</w:t>
      </w:r>
      <w:r>
        <w:rPr>
          <w:rFonts w:hint="eastAsia" w:ascii="Times New Roman" w:hAnsi="Times New Roman" w:eastAsia="楷体_GB2312"/>
          <w:color w:val="000000" w:themeColor="text1"/>
          <w:sz w:val="32"/>
          <w:szCs w:val="32"/>
          <w14:textFill>
            <w14:solidFill>
              <w14:schemeClr w14:val="tx1"/>
            </w14:solidFill>
          </w14:textFill>
        </w:rPr>
        <w:t>八十九</w:t>
      </w:r>
      <w:r>
        <w:rPr>
          <w:rFonts w:ascii="Times New Roman" w:hAnsi="Times New Roman" w:eastAsia="楷体_GB2312"/>
          <w:color w:val="000000" w:themeColor="text1"/>
          <w:sz w:val="32"/>
          <w:szCs w:val="32"/>
          <w14:textFill>
            <w14:solidFill>
              <w14:schemeClr w14:val="tx1"/>
            </w14:solidFill>
          </w14:textFill>
        </w:rPr>
        <w:t xml:space="preserve">条  </w:t>
      </w:r>
      <w:r>
        <w:rPr>
          <w:rFonts w:ascii="Times New Roman" w:hAnsi="Times New Roman" w:eastAsia="仿宋_GB2312"/>
          <w:color w:val="000000" w:themeColor="text1"/>
          <w:sz w:val="32"/>
          <w:szCs w:val="32"/>
          <w14:textFill>
            <w14:solidFill>
              <w14:schemeClr w14:val="tx1"/>
            </w14:solidFill>
          </w14:textFill>
        </w:rPr>
        <w:t>建设单位、设计单位在报送项目规划设计方案总平面审查时，须同时将三维仿真模型（简模）电子文件提交规划和自然资源主管部门进行核验入库；在报</w:t>
      </w:r>
      <w:r>
        <w:rPr>
          <w:rFonts w:hint="eastAsia" w:ascii="Times New Roman" w:hAnsi="Times New Roman" w:eastAsia="仿宋_GB2312"/>
          <w:color w:val="000000" w:themeColor="text1"/>
          <w:sz w:val="32"/>
          <w:szCs w:val="32"/>
          <w14:textFill>
            <w14:solidFill>
              <w14:schemeClr w14:val="tx1"/>
            </w14:solidFill>
          </w14:textFill>
        </w:rPr>
        <w:t>县</w:t>
      </w:r>
      <w:r>
        <w:rPr>
          <w:rFonts w:ascii="Times New Roman" w:hAnsi="Times New Roman" w:eastAsia="仿宋_GB2312"/>
          <w:color w:val="000000" w:themeColor="text1"/>
          <w:sz w:val="32"/>
          <w:szCs w:val="32"/>
          <w14:textFill>
            <w14:solidFill>
              <w14:schemeClr w14:val="tx1"/>
            </w14:solidFill>
          </w14:textFill>
        </w:rPr>
        <w:t>国土空间规划委员会（办公室联席会）审议之前，须将三维仿真模型（精模）电子文件提交规划和自然资源主管部门进行核验入库。建设项目规划设计方案调整时，建设单位、设计单位报送的三维仿真模型（简模、精模）电子文件应随之调整。</w:t>
      </w:r>
    </w:p>
    <w:p w14:paraId="17F20386">
      <w:pPr>
        <w:spacing w:line="580" w:lineRule="exact"/>
        <w:ind w:firstLine="640" w:firstLineChars="200"/>
        <w:rPr>
          <w:color w:val="000000" w:themeColor="text1"/>
          <w:spacing w:val="-8"/>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九十</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经批准的规划设计方案原则上不调整，尽可能小调整，力争杜绝大调整；住宅类项目经批准后确需调整的，调整后的容积率、建筑密度不得高于原批准规划设计方案，绿地率、公共配</w:t>
      </w:r>
      <w:r>
        <w:rPr>
          <w:color w:val="000000" w:themeColor="text1"/>
          <w:spacing w:val="-8"/>
          <w:szCs w:val="32"/>
          <w14:textFill>
            <w14:solidFill>
              <w14:schemeClr w14:val="tx1"/>
            </w14:solidFill>
          </w14:textFill>
        </w:rPr>
        <w:t>套设施不得低于原批准规划设计方案，档次必须比原方案更高。建设项目完成规划核实后，已核实部分不允许进行规划设计方案调整。</w:t>
      </w:r>
    </w:p>
    <w:p w14:paraId="3A7DFC4E">
      <w:pPr>
        <w:spacing w:line="580" w:lineRule="exact"/>
        <w:ind w:firstLine="63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九十一</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单体建筑面积2万平方米以上的公共建筑和政府性投资项目，应当按照节能环保和绿色发展的要求，采用太阳能、生物质能等可再生能源技术和钢结构等装配式建造方式。鼓励新建计容建筑面积10万平方米以上的住宅小区推广新能源和绿色建筑工艺。鼓励推广“眉山造、眉山用</w:t>
      </w:r>
      <w:r>
        <w:rPr>
          <w:rFonts w:hint="eastAsia"/>
          <w:color w:val="000000" w:themeColor="text1"/>
          <w:szCs w:val="32"/>
          <w14:textFill>
            <w14:solidFill>
              <w14:schemeClr w14:val="tx1"/>
            </w14:solidFill>
          </w14:textFill>
        </w:rPr>
        <w:t>，丹棱造，丹棱用</w:t>
      </w:r>
      <w:r>
        <w:rPr>
          <w:color w:val="000000" w:themeColor="text1"/>
          <w:szCs w:val="32"/>
          <w14:textFill>
            <w14:solidFill>
              <w14:schemeClr w14:val="tx1"/>
            </w14:solidFill>
          </w14:textFill>
        </w:rPr>
        <w:t xml:space="preserve">”。 </w:t>
      </w:r>
    </w:p>
    <w:p w14:paraId="0E4500E6">
      <w:pPr>
        <w:spacing w:line="580" w:lineRule="exact"/>
        <w:ind w:firstLine="63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九十二</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建设项目规划设计阶段，建设单位应委托具备测绘资质的房产测绘单位开展建筑工程面积预测绘（含容积率计算）和房产建筑面积预测绘。建筑工程面积预测绘（含容积率计算）成果由规划和自然资源主管部门用于建设项目建筑面积、容积率指标控制；房产建筑面积预测绘成果由房产管理主管部门用于房屋预售面积控制。</w:t>
      </w:r>
    </w:p>
    <w:p w14:paraId="084032C0">
      <w:pPr>
        <w:spacing w:line="580" w:lineRule="exact"/>
        <w:ind w:firstLine="630"/>
        <w:jc w:val="center"/>
        <w:rPr>
          <w:rFonts w:eastAsia="黑体"/>
          <w:color w:val="000000" w:themeColor="text1"/>
          <w:sz w:val="36"/>
          <w:szCs w:val="36"/>
          <w14:textFill>
            <w14:solidFill>
              <w14:schemeClr w14:val="tx1"/>
            </w14:solidFill>
          </w14:textFill>
        </w:rPr>
      </w:pPr>
    </w:p>
    <w:p w14:paraId="21E7B642">
      <w:pPr>
        <w:spacing w:line="580" w:lineRule="exact"/>
        <w:ind w:firstLine="630"/>
        <w:jc w:val="center"/>
        <w:rPr>
          <w:rFonts w:eastAsia="黑体"/>
          <w:color w:val="000000" w:themeColor="text1"/>
          <w:szCs w:val="32"/>
          <w14:textFill>
            <w14:solidFill>
              <w14:schemeClr w14:val="tx1"/>
            </w14:solidFill>
          </w14:textFill>
        </w:rPr>
      </w:pPr>
      <w:r>
        <w:rPr>
          <w:rFonts w:eastAsia="黑体"/>
          <w:color w:val="000000" w:themeColor="text1"/>
          <w:szCs w:val="32"/>
          <w14:textFill>
            <w14:solidFill>
              <w14:schemeClr w14:val="tx1"/>
            </w14:solidFill>
          </w14:textFill>
        </w:rPr>
        <w:t>第十章  城市风貌</w:t>
      </w:r>
    </w:p>
    <w:p w14:paraId="5147D8E5">
      <w:pPr>
        <w:spacing w:line="580" w:lineRule="exact"/>
        <w:jc w:val="center"/>
        <w:rPr>
          <w:rFonts w:eastAsia="黑体"/>
          <w:color w:val="000000" w:themeColor="text1"/>
          <w:sz w:val="36"/>
          <w:szCs w:val="36"/>
          <w14:textFill>
            <w14:solidFill>
              <w14:schemeClr w14:val="tx1"/>
            </w14:solidFill>
          </w14:textFill>
        </w:rPr>
      </w:pPr>
    </w:p>
    <w:p w14:paraId="4C5897A4">
      <w:pPr>
        <w:tabs>
          <w:tab w:val="left" w:pos="2340"/>
        </w:tabs>
        <w:spacing w:line="580" w:lineRule="exact"/>
        <w:ind w:firstLine="627" w:firstLineChars="196"/>
        <w:rPr>
          <w:rFonts w:eastAsia="楷体_GB2312"/>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第九十</w:t>
      </w:r>
      <w:r>
        <w:rPr>
          <w:rFonts w:hint="eastAsia" w:eastAsia="楷体_GB2312"/>
          <w:color w:val="000000" w:themeColor="text1"/>
          <w:szCs w:val="32"/>
          <w14:textFill>
            <w14:solidFill>
              <w14:schemeClr w14:val="tx1"/>
            </w14:solidFill>
          </w14:textFill>
        </w:rPr>
        <w:t>三</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坚持生态为底、文化为魂、产业为基、人民为本，坚持“低密度、低强度、高品质、高品位”，坚持“随坡就势不挖山、顺其自然不填塘、依树造景不毁林”的理念，打造现代时尚、开放包容、活力动感、美丽宜居的公园城市、生态城市、森林城市。</w:t>
      </w:r>
    </w:p>
    <w:p w14:paraId="7DBE4F3B">
      <w:pPr>
        <w:tabs>
          <w:tab w:val="left" w:pos="2340"/>
        </w:tabs>
        <w:spacing w:line="580" w:lineRule="exact"/>
        <w:ind w:firstLine="627" w:firstLineChars="196"/>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第九十</w:t>
      </w:r>
      <w:r>
        <w:rPr>
          <w:rFonts w:hint="eastAsia" w:eastAsia="楷体_GB2312"/>
          <w:color w:val="000000" w:themeColor="text1"/>
          <w:szCs w:val="32"/>
          <w14:textFill>
            <w14:solidFill>
              <w14:schemeClr w14:val="tx1"/>
            </w14:solidFill>
          </w14:textFill>
        </w:rPr>
        <w:t>四</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项目规划设计要注重挖掘地方文化内涵，注重采用可感知的实物形态彰显</w:t>
      </w:r>
      <w:r>
        <w:rPr>
          <w:rFonts w:hint="eastAsia"/>
          <w:color w:val="000000" w:themeColor="text1"/>
          <w:szCs w:val="32"/>
          <w14:textFill>
            <w14:solidFill>
              <w14:schemeClr w14:val="tx1"/>
            </w14:solidFill>
          </w14:textFill>
        </w:rPr>
        <w:t>地方</w:t>
      </w:r>
      <w:r>
        <w:rPr>
          <w:color w:val="000000" w:themeColor="text1"/>
          <w:szCs w:val="32"/>
          <w14:textFill>
            <w14:solidFill>
              <w14:schemeClr w14:val="tx1"/>
            </w14:solidFill>
          </w14:textFill>
        </w:rPr>
        <w:t>文化特色，建筑外观须具备不低于三种的构造形式体现文化元素。</w:t>
      </w:r>
      <w:r>
        <w:rPr>
          <w:rFonts w:hint="eastAsia"/>
          <w:color w:val="000000" w:themeColor="text1"/>
          <w:szCs w:val="32"/>
          <w14:textFill>
            <w14:solidFill>
              <w14:schemeClr w14:val="tx1"/>
            </w14:solidFill>
          </w14:textFill>
        </w:rPr>
        <w:t>一分区大雅堂片区及滨河北岸以</w:t>
      </w:r>
      <w:r>
        <w:rPr>
          <w:color w:val="000000" w:themeColor="text1"/>
          <w:szCs w:val="32"/>
          <w14:textFill>
            <w14:solidFill>
              <w14:schemeClr w14:val="tx1"/>
            </w14:solidFill>
          </w14:textFill>
        </w:rPr>
        <w:t>“川西宋式</w:t>
      </w:r>
      <w:r>
        <w:rPr>
          <w:rFonts w:hint="eastAsia"/>
          <w:color w:val="000000" w:themeColor="text1"/>
          <w:szCs w:val="32"/>
          <w14:textFill>
            <w14:solidFill>
              <w14:schemeClr w14:val="tx1"/>
            </w14:solidFill>
          </w14:textFill>
        </w:rPr>
        <w:t>或简宋</w:t>
      </w:r>
      <w:r>
        <w:rPr>
          <w:color w:val="000000" w:themeColor="text1"/>
          <w:szCs w:val="32"/>
          <w14:textFill>
            <w14:solidFill>
              <w14:schemeClr w14:val="tx1"/>
            </w14:solidFill>
          </w14:textFill>
        </w:rPr>
        <w:t>”建筑</w:t>
      </w:r>
      <w:r>
        <w:rPr>
          <w:rFonts w:hint="eastAsia"/>
          <w:color w:val="000000" w:themeColor="text1"/>
          <w:szCs w:val="32"/>
          <w14:textFill>
            <w14:solidFill>
              <w14:schemeClr w14:val="tx1"/>
            </w14:solidFill>
          </w14:textFill>
        </w:rPr>
        <w:t>风貌为主</w:t>
      </w:r>
      <w:r>
        <w:rPr>
          <w:color w:val="000000" w:themeColor="text1"/>
          <w:szCs w:val="32"/>
          <w14:textFill>
            <w14:solidFill>
              <w14:schemeClr w14:val="tx1"/>
            </w14:solidFill>
          </w14:textFill>
        </w:rPr>
        <w:t>，</w:t>
      </w:r>
      <w:r>
        <w:rPr>
          <w:rFonts w:hint="eastAsia"/>
          <w:color w:val="000000" w:themeColor="text1"/>
          <w:szCs w:val="32"/>
          <w14:textFill>
            <w14:solidFill>
              <w14:schemeClr w14:val="tx1"/>
            </w14:solidFill>
          </w14:textFill>
        </w:rPr>
        <w:t>东、南以齐乐大道为界，西至白塔公园，北到兴旺街、可朋巷；一分区其它地区以“现代简中”为主，建筑色彩</w:t>
      </w:r>
      <w:r>
        <w:rPr>
          <w:color w:val="000000" w:themeColor="text1"/>
          <w:szCs w:val="32"/>
          <w14:textFill>
            <w14:solidFill>
              <w14:schemeClr w14:val="tx1"/>
            </w14:solidFill>
          </w14:textFill>
        </w:rPr>
        <w:t>以</w:t>
      </w:r>
      <w:r>
        <w:rPr>
          <w:rFonts w:hint="eastAsia"/>
          <w:color w:val="000000" w:themeColor="text1"/>
          <w:szCs w:val="32"/>
          <w14:textFill>
            <w14:solidFill>
              <w14:schemeClr w14:val="tx1"/>
            </w14:solidFill>
          </w14:textFill>
        </w:rPr>
        <w:t>浅灰和</w:t>
      </w:r>
      <w:r>
        <w:rPr>
          <w:color w:val="000000" w:themeColor="text1"/>
          <w:szCs w:val="32"/>
          <w14:textFill>
            <w14:solidFill>
              <w14:schemeClr w14:val="tx1"/>
            </w14:solidFill>
          </w14:textFill>
        </w:rPr>
        <w:t>米白色的城市主色调进行管控和协调</w:t>
      </w:r>
      <w:r>
        <w:rPr>
          <w:rFonts w:hint="eastAsia"/>
          <w:color w:val="000000" w:themeColor="text1"/>
          <w:szCs w:val="32"/>
          <w14:textFill>
            <w14:solidFill>
              <w14:schemeClr w14:val="tx1"/>
            </w14:solidFill>
          </w14:textFill>
        </w:rPr>
        <w:t>，搭配砖红色地方红砂岩色彩</w:t>
      </w:r>
      <w:r>
        <w:rPr>
          <w:color w:val="000000" w:themeColor="text1"/>
          <w:szCs w:val="32"/>
          <w14:textFill>
            <w14:solidFill>
              <w14:schemeClr w14:val="tx1"/>
            </w14:solidFill>
          </w14:textFill>
        </w:rPr>
        <w:t>。</w:t>
      </w:r>
    </w:p>
    <w:p w14:paraId="08F296C7">
      <w:pPr>
        <w:widowControl/>
        <w:spacing w:line="580" w:lineRule="exact"/>
        <w:ind w:firstLine="627" w:firstLineChars="196"/>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第九十</w:t>
      </w:r>
      <w:r>
        <w:rPr>
          <w:rFonts w:hint="eastAsia" w:eastAsia="楷体_GB2312"/>
          <w:color w:val="000000" w:themeColor="text1"/>
          <w:szCs w:val="32"/>
          <w14:textFill>
            <w14:solidFill>
              <w14:schemeClr w14:val="tx1"/>
            </w14:solidFill>
          </w14:textFill>
        </w:rPr>
        <w:t>五</w:t>
      </w:r>
      <w:r>
        <w:rPr>
          <w:rFonts w:eastAsia="楷体_GB2312"/>
          <w:color w:val="000000" w:themeColor="text1"/>
          <w:szCs w:val="32"/>
          <w14:textFill>
            <w14:solidFill>
              <w14:schemeClr w14:val="tx1"/>
            </w14:solidFill>
          </w14:textFill>
        </w:rPr>
        <w:t>条</w:t>
      </w:r>
      <w:r>
        <w:rPr>
          <w:rFonts w:eastAsia="黑体"/>
          <w:color w:val="000000" w:themeColor="text1"/>
          <w:szCs w:val="32"/>
          <w14:textFill>
            <w14:solidFill>
              <w14:schemeClr w14:val="tx1"/>
            </w14:solidFill>
          </w14:textFill>
        </w:rPr>
        <w:t xml:space="preserve"> </w:t>
      </w:r>
      <w:r>
        <w:rPr>
          <w:color w:val="000000" w:themeColor="text1"/>
          <w:szCs w:val="32"/>
          <w14:textFill>
            <w14:solidFill>
              <w14:schemeClr w14:val="tx1"/>
            </w14:solidFill>
          </w14:textFill>
        </w:rPr>
        <w:t xml:space="preserve"> </w:t>
      </w:r>
      <w:r>
        <w:rPr>
          <w:color w:val="000000" w:themeColor="text1"/>
          <w:spacing w:val="-2"/>
          <w:szCs w:val="32"/>
          <w14:textFill>
            <w14:solidFill>
              <w14:schemeClr w14:val="tx1"/>
            </w14:solidFill>
          </w14:textFill>
        </w:rPr>
        <w:t>在同一街区范围内，允许少量建筑的色彩适当变化，与主色调形成协调化差异，增加城市建筑风貌的丰富性和独特性。建筑方案的立面图上应标明外立面材质、色彩</w:t>
      </w:r>
      <w:r>
        <w:rPr>
          <w:rFonts w:hint="eastAsia"/>
          <w:color w:val="000000" w:themeColor="text1"/>
          <w:spacing w:val="-2"/>
          <w:szCs w:val="32"/>
          <w14:textFill>
            <w14:solidFill>
              <w14:schemeClr w14:val="tx1"/>
            </w14:solidFill>
          </w14:textFill>
        </w:rPr>
        <w:t>和</w:t>
      </w:r>
      <w:r>
        <w:rPr>
          <w:color w:val="000000" w:themeColor="text1"/>
          <w:spacing w:val="-2"/>
          <w:szCs w:val="32"/>
          <w14:textFill>
            <w14:solidFill>
              <w14:schemeClr w14:val="tx1"/>
            </w14:solidFill>
          </w14:textFill>
        </w:rPr>
        <w:t>色卡编号，建筑色卡按国家建筑颜色表示方法（</w:t>
      </w:r>
      <w:r>
        <w:fldChar w:fldCharType="begin"/>
      </w:r>
      <w:r>
        <w:instrText xml:space="preserve"> HYPERLINK "http://www.doc88.com/p-90526993582.html" \t "_blank" </w:instrText>
      </w:r>
      <w:r>
        <w:fldChar w:fldCharType="separate"/>
      </w:r>
      <w:r>
        <w:rPr>
          <w:color w:val="000000" w:themeColor="text1"/>
          <w:spacing w:val="-18"/>
          <w:szCs w:val="32"/>
          <w14:textFill>
            <w14:solidFill>
              <w14:schemeClr w14:val="tx1"/>
            </w14:solidFill>
          </w14:textFill>
        </w:rPr>
        <w:t>GBT 18922</w:t>
      </w:r>
      <w:r>
        <w:rPr>
          <w:rFonts w:hint="eastAsia"/>
          <w:color w:val="000000" w:themeColor="text1"/>
          <w:spacing w:val="-18"/>
          <w:szCs w:val="32"/>
          <w14:textFill>
            <w14:solidFill>
              <w14:schemeClr w14:val="tx1"/>
            </w14:solidFill>
          </w14:textFill>
        </w:rPr>
        <w:t>—</w:t>
      </w:r>
      <w:r>
        <w:rPr>
          <w:color w:val="000000" w:themeColor="text1"/>
          <w:spacing w:val="-18"/>
          <w:szCs w:val="32"/>
          <w14:textFill>
            <w14:solidFill>
              <w14:schemeClr w14:val="tx1"/>
            </w14:solidFill>
          </w14:textFill>
        </w:rPr>
        <w:t>2008</w:t>
      </w:r>
      <w:r>
        <w:rPr>
          <w:color w:val="000000" w:themeColor="text1"/>
          <w:spacing w:val="-18"/>
          <w:szCs w:val="32"/>
          <w14:textFill>
            <w14:solidFill>
              <w14:schemeClr w14:val="tx1"/>
            </w14:solidFill>
          </w14:textFill>
        </w:rPr>
        <w:fldChar w:fldCharType="end"/>
      </w:r>
      <w:r>
        <w:rPr>
          <w:color w:val="000000" w:themeColor="text1"/>
          <w:spacing w:val="-2"/>
          <w:szCs w:val="32"/>
          <w14:textFill>
            <w14:solidFill>
              <w14:schemeClr w14:val="tx1"/>
            </w14:solidFill>
          </w14:textFill>
        </w:rPr>
        <w:t>）标准执行。</w:t>
      </w:r>
    </w:p>
    <w:p w14:paraId="5D8F0C02">
      <w:pPr>
        <w:pStyle w:val="4"/>
        <w:spacing w:line="580" w:lineRule="exact"/>
        <w:ind w:firstLine="640" w:firstLineChars="200"/>
        <w:rPr>
          <w:rFonts w:eastAsia="仿宋_GB2312"/>
          <w:color w:val="000000" w:themeColor="text1"/>
          <w:spacing w:val="-2"/>
          <w:sz w:val="32"/>
          <w:szCs w:val="32"/>
          <w14:textFill>
            <w14:solidFill>
              <w14:schemeClr w14:val="tx1"/>
            </w14:solidFill>
          </w14:textFill>
        </w:rPr>
      </w:pPr>
      <w:r>
        <w:rPr>
          <w:rFonts w:eastAsia="楷体_GB2312"/>
          <w:color w:val="000000" w:themeColor="text1"/>
          <w:sz w:val="32"/>
          <w:szCs w:val="32"/>
          <w14:textFill>
            <w14:solidFill>
              <w14:schemeClr w14:val="tx1"/>
            </w14:solidFill>
          </w14:textFill>
        </w:rPr>
        <w:t>第九十</w:t>
      </w:r>
      <w:r>
        <w:rPr>
          <w:rFonts w:hint="eastAsia" w:eastAsia="楷体_GB2312"/>
          <w:color w:val="000000" w:themeColor="text1"/>
          <w:sz w:val="32"/>
          <w:szCs w:val="32"/>
          <w14:textFill>
            <w14:solidFill>
              <w14:schemeClr w14:val="tx1"/>
            </w14:solidFill>
          </w14:textFill>
        </w:rPr>
        <w:t>六</w:t>
      </w:r>
      <w:r>
        <w:rPr>
          <w:rFonts w:eastAsia="楷体_GB2312"/>
          <w:color w:val="000000" w:themeColor="text1"/>
          <w:sz w:val="32"/>
          <w:szCs w:val="32"/>
          <w14:textFill>
            <w14:solidFill>
              <w14:schemeClr w14:val="tx1"/>
            </w14:solidFill>
          </w14:textFill>
        </w:rPr>
        <w:t>条</w:t>
      </w:r>
      <w:r>
        <w:rPr>
          <w:rFonts w:eastAsia="仿宋_GB2312"/>
          <w:color w:val="000000" w:themeColor="text1"/>
          <w:spacing w:val="-2"/>
          <w:sz w:val="32"/>
          <w:szCs w:val="32"/>
          <w14:textFill>
            <w14:solidFill>
              <w14:schemeClr w14:val="tx1"/>
            </w14:solidFill>
          </w14:textFill>
        </w:rPr>
        <w:t xml:space="preserve">  建设项目规划设计方案依据城市设计和导则进行规划设计。项目建筑平面布局讲究序列感、秩序性，不得杂乱无章布置，建筑立面设计按照起伏有序、虚实有致的原则确定建筑的高度、样式，形成高低错落、富有韵律的城市天际线。 </w:t>
      </w:r>
    </w:p>
    <w:p w14:paraId="53CCA003">
      <w:pPr>
        <w:widowControl/>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第九十</w:t>
      </w:r>
      <w:r>
        <w:rPr>
          <w:rFonts w:hint="eastAsia" w:eastAsia="楷体_GB2312"/>
          <w:color w:val="000000" w:themeColor="text1"/>
          <w:szCs w:val="32"/>
          <w14:textFill>
            <w14:solidFill>
              <w14:schemeClr w14:val="tx1"/>
            </w14:solidFill>
          </w14:textFill>
        </w:rPr>
        <w:t>七</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w:t>
      </w:r>
      <w:r>
        <w:rPr>
          <w:color w:val="000000" w:themeColor="text1"/>
          <w:spacing w:val="-2"/>
          <w:szCs w:val="32"/>
          <w14:textFill>
            <w14:solidFill>
              <w14:schemeClr w14:val="tx1"/>
            </w14:solidFill>
          </w14:textFill>
        </w:rPr>
        <w:t>住宅建筑应对电梯房、设备房、出屋面楼梯间进行美化处理；多、低层住宅建筑</w:t>
      </w:r>
      <w:r>
        <w:rPr>
          <w:rFonts w:hint="eastAsia"/>
          <w:color w:val="000000" w:themeColor="text1"/>
          <w:spacing w:val="-2"/>
          <w:szCs w:val="32"/>
          <w14:textFill>
            <w14:solidFill>
              <w14:schemeClr w14:val="tx1"/>
            </w14:solidFill>
          </w14:textFill>
        </w:rPr>
        <w:t>宜</w:t>
      </w:r>
      <w:r>
        <w:rPr>
          <w:color w:val="000000" w:themeColor="text1"/>
          <w:spacing w:val="-2"/>
          <w:szCs w:val="32"/>
          <w14:textFill>
            <w14:solidFill>
              <w14:schemeClr w14:val="tx1"/>
            </w14:solidFill>
          </w14:textFill>
        </w:rPr>
        <w:t>采用坡屋顶。</w:t>
      </w:r>
    </w:p>
    <w:p w14:paraId="6C237385">
      <w:pPr>
        <w:spacing w:line="580" w:lineRule="exact"/>
        <w:ind w:firstLine="627" w:firstLineChars="196"/>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第九十</w:t>
      </w:r>
      <w:r>
        <w:rPr>
          <w:rFonts w:hint="eastAsia" w:eastAsia="楷体_GB2312"/>
          <w:color w:val="000000" w:themeColor="text1"/>
          <w:szCs w:val="32"/>
          <w14:textFill>
            <w14:solidFill>
              <w14:schemeClr w14:val="tx1"/>
            </w14:solidFill>
          </w14:textFill>
        </w:rPr>
        <w:t>八</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为保持城市空间通透性，营造良好的空间景观效果，应规划建设点式高层，不得设置3个单元相连的板式高层。建设项目建筑高度小于24米，最大连续面宽的投影不大于80米；建筑高度大于24米且不大于60米时，最大连续面宽的投影不大于70米；建筑高度大于60米，最大连续面宽的投影不大于60米。</w:t>
      </w:r>
    </w:p>
    <w:p w14:paraId="2713ACC1">
      <w:pPr>
        <w:spacing w:line="580" w:lineRule="exact"/>
        <w:ind w:firstLine="627" w:firstLineChars="196"/>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九十九</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丘陵</w:t>
      </w:r>
      <w:r>
        <w:rPr>
          <w:rFonts w:hint="eastAsia"/>
          <w:color w:val="000000" w:themeColor="text1"/>
          <w:szCs w:val="32"/>
          <w14:textFill>
            <w14:solidFill>
              <w14:schemeClr w14:val="tx1"/>
            </w14:solidFill>
          </w14:textFill>
        </w:rPr>
        <w:t>及山</w:t>
      </w:r>
      <w:r>
        <w:rPr>
          <w:color w:val="000000" w:themeColor="text1"/>
          <w:szCs w:val="32"/>
          <w14:textFill>
            <w14:solidFill>
              <w14:schemeClr w14:val="tx1"/>
            </w14:solidFill>
          </w14:textFill>
        </w:rPr>
        <w:t>区建设项目应充分尊重自然，结合地形地貌进行规划设计，严禁大开大挖，毁坏自然山体，体现“城藏于丘</w:t>
      </w:r>
      <w:r>
        <w:rPr>
          <w:rFonts w:hint="eastAsia"/>
          <w:color w:val="000000" w:themeColor="text1"/>
          <w:szCs w:val="32"/>
          <w14:textFill>
            <w14:solidFill>
              <w14:schemeClr w14:val="tx1"/>
            </w14:solidFill>
          </w14:textFill>
        </w:rPr>
        <w:t>（山）</w:t>
      </w:r>
      <w:r>
        <w:rPr>
          <w:color w:val="000000" w:themeColor="text1"/>
          <w:szCs w:val="32"/>
          <w14:textFill>
            <w14:solidFill>
              <w14:schemeClr w14:val="tx1"/>
            </w14:solidFill>
          </w14:textFill>
        </w:rPr>
        <w:t>”的理念。</w:t>
      </w:r>
    </w:p>
    <w:p w14:paraId="38D73045">
      <w:pPr>
        <w:spacing w:line="580" w:lineRule="exact"/>
        <w:ind w:firstLine="627" w:firstLineChars="196"/>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一百</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建筑物外立面设计应美观、新颖，造型、装饰要与所在区域的风貌相协调，体现城市特色，规划设计方案报批时，必须提交含项目周边已建建筑的实景嵌入鸟瞰效果图和正常人行视点反映单体建筑真实色彩的临街透视效果图，反映与周边建筑色彩风貌关系。</w:t>
      </w:r>
    </w:p>
    <w:p w14:paraId="32639DD6">
      <w:pPr>
        <w:spacing w:line="580" w:lineRule="exact"/>
        <w:ind w:firstLine="640" w:firstLineChars="200"/>
        <w:rPr>
          <w:rFonts w:eastAsia="黑体"/>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一百零一</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城市</w:t>
      </w:r>
      <w:r>
        <w:rPr>
          <w:rFonts w:hint="eastAsia"/>
          <w:color w:val="000000" w:themeColor="text1"/>
          <w:szCs w:val="32"/>
          <w14:textFill>
            <w14:solidFill>
              <w14:schemeClr w14:val="tx1"/>
            </w14:solidFill>
          </w14:textFill>
        </w:rPr>
        <w:t>主要</w:t>
      </w:r>
      <w:r>
        <w:rPr>
          <w:color w:val="000000" w:themeColor="text1"/>
          <w:szCs w:val="32"/>
          <w14:textFill>
            <w14:solidFill>
              <w14:schemeClr w14:val="tx1"/>
            </w14:solidFill>
          </w14:textFill>
        </w:rPr>
        <w:t>道路及重要地段的商业建筑、其他建筑的商业部分的建筑外立面宜采用轻质、高强、耐候性好的建筑饰面材料进行装饰。所有建设项目外装饰施工前，必须由规划和自然资源主管部门到现场确认外墙材质、色彩，并留样备查。</w:t>
      </w:r>
    </w:p>
    <w:p w14:paraId="32AADB42">
      <w:pPr>
        <w:spacing w:line="580" w:lineRule="exact"/>
        <w:ind w:firstLine="640" w:firstLineChars="200"/>
        <w:rPr>
          <w:rFonts w:eastAsia="黑体"/>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一百零二</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城市道路临街面的建筑应公建化，不得设置有碍城市景观的锅炉房、厨房、卫生间等设施，不得设置防盗、防护栏，所有临街建筑不得设置卷帘门。</w:t>
      </w:r>
    </w:p>
    <w:p w14:paraId="5FAA3583">
      <w:pPr>
        <w:widowControl/>
        <w:spacing w:line="580" w:lineRule="exact"/>
        <w:ind w:firstLine="640" w:firstLineChars="200"/>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一百零三</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建设项目沿街不得设置封闭式围墙，必须采用植物、栅栏、透景墙等形式，营造透绿透景的城市开敞空间。建筑设计方案中必须提供围墙设计效果图、大样图。</w:t>
      </w:r>
    </w:p>
    <w:p w14:paraId="1FD3C7D2">
      <w:pPr>
        <w:spacing w:line="580" w:lineRule="exact"/>
        <w:ind w:firstLine="640" w:firstLineChars="200"/>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第一百零</w:t>
      </w:r>
      <w:r>
        <w:rPr>
          <w:rFonts w:hint="eastAsia" w:eastAsia="楷体_GB2312"/>
          <w:color w:val="000000" w:themeColor="text1"/>
          <w:szCs w:val="32"/>
          <w14:textFill>
            <w14:solidFill>
              <w14:schemeClr w14:val="tx1"/>
            </w14:solidFill>
          </w14:textFill>
        </w:rPr>
        <w:t>四</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在不影响城市道路交通组织的前提下，鼓励相邻新建住宅小区经协商各自后退用地界限一定距离、规模较大的新建住宅小区在用地内部，建设开放式内部道路与城市道路相衔接，实现内部道路公共化；允许商业项目或住宅兼容商业项目设置商业步行街、商业广场。开放式内部道路、商业步行街、商业广场与项目同步规划、同步建设、同步交付使用，并移交市城市管理主管部门统一管理。</w:t>
      </w:r>
    </w:p>
    <w:p w14:paraId="1AA585FA">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第一百零</w:t>
      </w:r>
      <w:r>
        <w:rPr>
          <w:rFonts w:hint="eastAsia" w:eastAsia="楷体_GB2312"/>
          <w:color w:val="000000" w:themeColor="text1"/>
          <w:szCs w:val="32"/>
          <w14:textFill>
            <w14:solidFill>
              <w14:schemeClr w14:val="tx1"/>
            </w14:solidFill>
          </w14:textFill>
        </w:rPr>
        <w:t>五</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汽车修理、4S店、建材销售加工、废旧回收等对市容市貌、城市环境有较大影响的业态和设施</w:t>
      </w:r>
      <w:r>
        <w:rPr>
          <w:rFonts w:hint="eastAsia"/>
          <w:color w:val="000000" w:themeColor="text1"/>
          <w:szCs w:val="32"/>
          <w14:textFill>
            <w14:solidFill>
              <w14:schemeClr w14:val="tx1"/>
            </w14:solidFill>
          </w14:textFill>
        </w:rPr>
        <w:t>，在办理经营许可时应征求城市规划、建设和管理部门意见</w:t>
      </w:r>
      <w:r>
        <w:rPr>
          <w:color w:val="000000" w:themeColor="text1"/>
          <w:szCs w:val="32"/>
          <w14:textFill>
            <w14:solidFill>
              <w14:schemeClr w14:val="tx1"/>
            </w14:solidFill>
          </w14:textFill>
        </w:rPr>
        <w:t>。</w:t>
      </w:r>
    </w:p>
    <w:p w14:paraId="5B11949F">
      <w:pPr>
        <w:widowControl/>
        <w:spacing w:line="580" w:lineRule="exact"/>
        <w:ind w:firstLine="615"/>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第一百零</w:t>
      </w:r>
      <w:r>
        <w:rPr>
          <w:rFonts w:hint="eastAsia" w:eastAsia="楷体_GB2312"/>
          <w:color w:val="000000" w:themeColor="text1"/>
          <w:szCs w:val="32"/>
          <w14:textFill>
            <w14:solidFill>
              <w14:schemeClr w14:val="tx1"/>
            </w14:solidFill>
          </w14:textFill>
        </w:rPr>
        <w:t>六</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在不可移动文物和保护建筑的建设控制区域内新建、改建、扩建的建（构）筑物，其控制高度和风貌必须符合文物保护的有关规定。</w:t>
      </w:r>
    </w:p>
    <w:p w14:paraId="4C7F7892">
      <w:pPr>
        <w:spacing w:line="580" w:lineRule="exact"/>
        <w:ind w:firstLine="612"/>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第一百零</w:t>
      </w:r>
      <w:r>
        <w:rPr>
          <w:rFonts w:hint="eastAsia" w:eastAsia="楷体_GB2312"/>
          <w:color w:val="000000" w:themeColor="text1"/>
          <w:szCs w:val="32"/>
          <w14:textFill>
            <w14:solidFill>
              <w14:schemeClr w14:val="tx1"/>
            </w14:solidFill>
          </w14:textFill>
        </w:rPr>
        <w:t>七</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 xml:space="preserve"> 有净空高度限制的气象台、微波通讯等设施周围及城市规划确定的城市视线走廊、航空航线等有高度限制的区域内的新建、改建、扩建的建（构）筑物，其控制高度必须符合有关高度限制规定。</w:t>
      </w:r>
    </w:p>
    <w:p w14:paraId="51414697">
      <w:pPr>
        <w:widowControl/>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第一百零</w:t>
      </w:r>
      <w:r>
        <w:rPr>
          <w:rFonts w:hint="eastAsia" w:eastAsia="楷体_GB2312"/>
          <w:color w:val="000000" w:themeColor="text1"/>
          <w:szCs w:val="32"/>
          <w14:textFill>
            <w14:solidFill>
              <w14:schemeClr w14:val="tx1"/>
            </w14:solidFill>
          </w14:textFill>
        </w:rPr>
        <w:t>八</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在重要国家机关、涉密机关、军事禁区和军事管理区等机关、单位和涉及国家安全的重要设施周边进行建设的，应当符合国家安全规定的控制要求。</w:t>
      </w:r>
    </w:p>
    <w:p w14:paraId="503DE89E">
      <w:pPr>
        <w:widowControl/>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w:t>
      </w:r>
      <w:r>
        <w:rPr>
          <w:rFonts w:hint="eastAsia" w:eastAsia="楷体_GB2312"/>
          <w:color w:val="000000" w:themeColor="text1"/>
          <w:szCs w:val="32"/>
          <w14:textFill>
            <w14:solidFill>
              <w14:schemeClr w14:val="tx1"/>
            </w14:solidFill>
          </w14:textFill>
        </w:rPr>
        <w:t>零九</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以下项目必须进行光彩工程设计：城区内临30米以上（含30米）道路的建设项目；</w:t>
      </w:r>
      <w:r>
        <w:rPr>
          <w:rFonts w:hint="eastAsia"/>
          <w:color w:val="000000" w:themeColor="text1"/>
          <w:szCs w:val="32"/>
          <w14:textFill>
            <w14:solidFill>
              <w14:schemeClr w14:val="tx1"/>
            </w14:solidFill>
          </w14:textFill>
        </w:rPr>
        <w:t>丹棱河</w:t>
      </w:r>
      <w:r>
        <w:rPr>
          <w:color w:val="000000" w:themeColor="text1"/>
          <w:szCs w:val="32"/>
          <w14:textFill>
            <w14:solidFill>
              <w14:schemeClr w14:val="tx1"/>
            </w14:solidFill>
          </w14:textFill>
        </w:rPr>
        <w:t>两岸的建筑、城市标志性建筑及其它重要建（构）筑物；建筑面积5000平方米及以上公共建筑及大型户外广告设施。光彩工程应与项目同时设计、同时施工、同时竣工验收。</w:t>
      </w:r>
    </w:p>
    <w:p w14:paraId="7211E676">
      <w:pPr>
        <w:spacing w:line="580" w:lineRule="exact"/>
        <w:jc w:val="center"/>
        <w:rPr>
          <w:rFonts w:eastAsia="黑体"/>
          <w:color w:val="000000" w:themeColor="text1"/>
          <w:szCs w:val="32"/>
          <w14:textFill>
            <w14:solidFill>
              <w14:schemeClr w14:val="tx1"/>
            </w14:solidFill>
          </w14:textFill>
        </w:rPr>
      </w:pPr>
    </w:p>
    <w:p w14:paraId="33C340BE">
      <w:pPr>
        <w:spacing w:line="580" w:lineRule="exact"/>
        <w:jc w:val="center"/>
        <w:rPr>
          <w:rFonts w:eastAsia="黑体"/>
          <w:color w:val="000000" w:themeColor="text1"/>
          <w:szCs w:val="32"/>
          <w14:textFill>
            <w14:solidFill>
              <w14:schemeClr w14:val="tx1"/>
            </w14:solidFill>
          </w14:textFill>
        </w:rPr>
      </w:pPr>
      <w:r>
        <w:rPr>
          <w:rFonts w:eastAsia="黑体"/>
          <w:color w:val="000000" w:themeColor="text1"/>
          <w:szCs w:val="32"/>
          <w14:textFill>
            <w14:solidFill>
              <w14:schemeClr w14:val="tx1"/>
            </w14:solidFill>
          </w14:textFill>
        </w:rPr>
        <w:t>第十一章  城市道路和公用设施管理</w:t>
      </w:r>
    </w:p>
    <w:p w14:paraId="649786DF">
      <w:pPr>
        <w:spacing w:line="580" w:lineRule="exact"/>
        <w:ind w:firstLine="640" w:firstLineChars="200"/>
        <w:jc w:val="center"/>
        <w:rPr>
          <w:rFonts w:eastAsia="方正大标宋简体"/>
          <w:color w:val="000000" w:themeColor="text1"/>
          <w:szCs w:val="32"/>
          <w14:textFill>
            <w14:solidFill>
              <w14:schemeClr w14:val="tx1"/>
            </w14:solidFill>
          </w14:textFill>
        </w:rPr>
      </w:pPr>
    </w:p>
    <w:p w14:paraId="241E0EA7">
      <w:pPr>
        <w:widowControl/>
        <w:spacing w:line="580" w:lineRule="exact"/>
        <w:ind w:firstLine="640" w:firstLineChars="200"/>
        <w:jc w:val="left"/>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一百一十</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在道路红线范围内，除在地面建设道路交通、市政、防灾、道路绿化等公共设施外，原则上不得设置其他营利性设施。在道路上空建设辅助性公共设施的，应遵循“设施景观化、景观设施化”的原则</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主干道最小净高不得小于5.5米，次干道最小净高不得小于5米，国道351线（原省道106线）不得小于5米。</w:t>
      </w:r>
    </w:p>
    <w:p w14:paraId="3024D6E3">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一百一十一</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交通枢纽、大型公共建筑、交通量很大的建设项目、交通拥堵严重区域的建设项目以及过街交通设施应开展交通影响评价，由城市交通主管部门牵头进行专项审查。</w:t>
      </w:r>
    </w:p>
    <w:p w14:paraId="1054A17A">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w:t>
      </w:r>
      <w:r>
        <w:rPr>
          <w:rFonts w:hint="eastAsia" w:eastAsia="楷体_GB2312"/>
          <w:color w:val="000000" w:themeColor="text1"/>
          <w:szCs w:val="32"/>
          <w14:textFill>
            <w14:solidFill>
              <w14:schemeClr w14:val="tx1"/>
            </w14:solidFill>
          </w14:textFill>
        </w:rPr>
        <w:t>一十二</w:t>
      </w:r>
      <w:r>
        <w:rPr>
          <w:rFonts w:eastAsia="楷体_GB2312"/>
          <w:color w:val="000000" w:themeColor="text1"/>
          <w:szCs w:val="32"/>
          <w14:textFill>
            <w14:solidFill>
              <w14:schemeClr w14:val="tx1"/>
            </w14:solidFill>
          </w14:textFill>
        </w:rPr>
        <w:t>条</w:t>
      </w:r>
      <w:r>
        <w:rPr>
          <w:rFonts w:hint="eastAsia" w:eastAsia="楷体_GB2312"/>
          <w:color w:val="000000" w:themeColor="text1"/>
          <w:szCs w:val="32"/>
          <w14:textFill>
            <w14:solidFill>
              <w14:schemeClr w14:val="tx1"/>
            </w14:solidFill>
          </w14:textFill>
        </w:rPr>
        <w:t xml:space="preserve">  </w:t>
      </w:r>
      <w:r>
        <w:rPr>
          <w:color w:val="000000" w:themeColor="text1"/>
          <w:szCs w:val="32"/>
          <w14:textFill>
            <w14:solidFill>
              <w14:schemeClr w14:val="tx1"/>
            </w14:solidFill>
          </w14:textFill>
        </w:rPr>
        <w:t>申请道路开口通行机动车的</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须符合下列规定：</w:t>
      </w:r>
    </w:p>
    <w:p w14:paraId="19C38516">
      <w:pPr>
        <w:widowControl/>
        <w:spacing w:line="580" w:lineRule="exact"/>
        <w:ind w:firstLine="640" w:firstLineChars="200"/>
        <w:jc w:val="left"/>
        <w:rPr>
          <w:color w:val="000000" w:themeColor="text1"/>
          <w:spacing w:val="-8"/>
          <w:szCs w:val="32"/>
          <w14:textFill>
            <w14:solidFill>
              <w14:schemeClr w14:val="tx1"/>
            </w14:solidFill>
          </w14:textFill>
        </w:rPr>
      </w:pPr>
      <w:r>
        <w:rPr>
          <w:color w:val="000000" w:themeColor="text1"/>
          <w:szCs w:val="32"/>
          <w14:textFill>
            <w14:solidFill>
              <w14:schemeClr w14:val="tx1"/>
            </w14:solidFill>
          </w14:textFill>
        </w:rPr>
        <w:t>（一）城市主干道两侧原则上不得开设机动车出入口（确需设置消防或应急出入口的除外）。确需开设的，应</w:t>
      </w:r>
      <w:r>
        <w:rPr>
          <w:rFonts w:hint="eastAsia"/>
          <w:color w:val="000000" w:themeColor="text1"/>
          <w:szCs w:val="32"/>
          <w14:textFill>
            <w14:solidFill>
              <w14:schemeClr w14:val="tx1"/>
            </w14:solidFill>
          </w14:textFill>
        </w:rPr>
        <w:t>在</w:t>
      </w:r>
      <w:r>
        <w:rPr>
          <w:color w:val="000000" w:themeColor="text1"/>
          <w:szCs w:val="32"/>
          <w14:textFill>
            <w14:solidFill>
              <w14:schemeClr w14:val="tx1"/>
            </w14:solidFill>
          </w14:textFill>
        </w:rPr>
        <w:t>进行区域路网动态交通分析和交通影响评价的基础上确定。一个建设用地项目临同条道路原则上只允许开设一个机动车出入口，当相邻道路为两条或两条以上时，应优先在低一级道路上开口。在主、次干道开设出入口的不得破坏现状机动车道、机非隔离带（栏），应就近选择机动车道、机非隔离带断口出入，并设置出入口警示标志。</w:t>
      </w:r>
    </w:p>
    <w:p w14:paraId="7CD56692">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二）车行出入口不允许在道路转角处设置，在城市道路交叉口范围开设机动车道口的，其开口位置在城市主干道的，开口的中心线至道路红线交点的距离不得小于70米；开口位置在次干道的，开口的中心线至道路红线交点的距离不得小于50米；开口位置在支路上的，距离不得小于30米。商业和住宅小区单车道开口净宽度不小于4.0米，双车道开口净宽度不小于7.0米，最大开口宽度不大于12.0米。</w:t>
      </w:r>
    </w:p>
    <w:p w14:paraId="21CCD71E">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（三）新建小区开设人行出入口原则上不得破坏人行道铺装，与市政道路间应进行无障碍设施设计。新建小区消防通道开口宽度为4米，并与市政道路人行道贯通。</w:t>
      </w:r>
    </w:p>
    <w:p w14:paraId="4A6558EA">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（四）住宅小区应在项目用地范围内设置港湾式机动车临时汇流区，减少车辆出入对主、次干道交通的影响。</w:t>
      </w:r>
    </w:p>
    <w:p w14:paraId="2D10D9A2">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第一百一十</w:t>
      </w:r>
      <w:r>
        <w:rPr>
          <w:rFonts w:hint="eastAsia" w:eastAsia="楷体_GB2312"/>
          <w:color w:val="000000" w:themeColor="text1"/>
          <w:szCs w:val="32"/>
          <w14:textFill>
            <w14:solidFill>
              <w14:schemeClr w14:val="tx1"/>
            </w14:solidFill>
          </w14:textFill>
        </w:rPr>
        <w:t>三</w:t>
      </w:r>
      <w:r>
        <w:rPr>
          <w:rFonts w:eastAsia="楷体_GB2312"/>
          <w:color w:val="000000" w:themeColor="text1"/>
          <w:szCs w:val="32"/>
          <w14:textFill>
            <w14:solidFill>
              <w14:schemeClr w14:val="tx1"/>
            </w14:solidFill>
          </w14:textFill>
        </w:rPr>
        <w:t xml:space="preserve">条 </w:t>
      </w:r>
      <w:r>
        <w:rPr>
          <w:rFonts w:eastAsia="黑体"/>
          <w:color w:val="000000" w:themeColor="text1"/>
          <w:szCs w:val="32"/>
          <w14:textFill>
            <w14:solidFill>
              <w14:schemeClr w14:val="tx1"/>
            </w14:solidFill>
          </w14:textFill>
        </w:rPr>
        <w:t xml:space="preserve"> </w:t>
      </w:r>
      <w:r>
        <w:rPr>
          <w:color w:val="000000" w:themeColor="text1"/>
          <w:szCs w:val="32"/>
          <w14:textFill>
            <w14:solidFill>
              <w14:schemeClr w14:val="tx1"/>
            </w14:solidFill>
          </w14:textFill>
        </w:rPr>
        <w:t>新建小区临街建筑物与城市道路之间的地面铺装应与城市道路已建地面铺装相协调。城市道路人行道原则上采用透水混凝土。</w:t>
      </w:r>
    </w:p>
    <w:p w14:paraId="7A79E068">
      <w:pPr>
        <w:spacing w:line="580" w:lineRule="exact"/>
        <w:ind w:firstLine="640" w:firstLineChars="200"/>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第一百一十</w:t>
      </w:r>
      <w:r>
        <w:rPr>
          <w:rFonts w:hint="eastAsia" w:eastAsia="楷体_GB2312"/>
          <w:color w:val="000000" w:themeColor="text1"/>
          <w:szCs w:val="32"/>
          <w14:textFill>
            <w14:solidFill>
              <w14:schemeClr w14:val="tx1"/>
            </w14:solidFill>
          </w14:textFill>
        </w:rPr>
        <w:t>四</w:t>
      </w:r>
      <w:r>
        <w:rPr>
          <w:rFonts w:eastAsia="楷体_GB2312"/>
          <w:color w:val="000000" w:themeColor="text1"/>
          <w:szCs w:val="32"/>
          <w14:textFill>
            <w14:solidFill>
              <w14:schemeClr w14:val="tx1"/>
            </w14:solidFill>
          </w14:textFill>
        </w:rPr>
        <w:t xml:space="preserve">条 </w:t>
      </w:r>
      <w:r>
        <w:rPr>
          <w:rFonts w:eastAsia="黑体"/>
          <w:color w:val="000000" w:themeColor="text1"/>
          <w:szCs w:val="32"/>
          <w14:textFill>
            <w14:solidFill>
              <w14:schemeClr w14:val="tx1"/>
            </w14:solidFill>
          </w14:textFill>
        </w:rPr>
        <w:t xml:space="preserve"> </w:t>
      </w:r>
      <w:r>
        <w:rPr>
          <w:color w:val="000000" w:themeColor="text1"/>
          <w:szCs w:val="32"/>
          <w14:textFill>
            <w14:solidFill>
              <w14:schemeClr w14:val="tx1"/>
            </w14:solidFill>
          </w14:textFill>
        </w:rPr>
        <w:t>公交停靠点统一规划布点，新建、扩建城市主、次干道需设置公交停靠点时，原则上采用港湾式布置。</w:t>
      </w:r>
    </w:p>
    <w:p w14:paraId="30A2FDB4">
      <w:pPr>
        <w:spacing w:line="580" w:lineRule="exact"/>
        <w:ind w:firstLine="640" w:firstLineChars="200"/>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第一百一十</w:t>
      </w:r>
      <w:r>
        <w:rPr>
          <w:rFonts w:hint="eastAsia" w:eastAsia="楷体_GB2312"/>
          <w:color w:val="000000" w:themeColor="text1"/>
          <w:szCs w:val="32"/>
          <w14:textFill>
            <w14:solidFill>
              <w14:schemeClr w14:val="tx1"/>
            </w14:solidFill>
          </w14:textFill>
        </w:rPr>
        <w:t>五</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市政管线工程设施应当满足防火、防爆、防洪和抗震等安全设防要求，并与城市道路同步实施。</w:t>
      </w:r>
    </w:p>
    <w:p w14:paraId="77EBA90B">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第一百一十</w:t>
      </w:r>
      <w:r>
        <w:rPr>
          <w:rFonts w:hint="eastAsia" w:eastAsia="楷体_GB2312"/>
          <w:color w:val="000000" w:themeColor="text1"/>
          <w:szCs w:val="32"/>
          <w14:textFill>
            <w14:solidFill>
              <w14:schemeClr w14:val="tx1"/>
            </w14:solidFill>
          </w14:textFill>
        </w:rPr>
        <w:t>六</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新建城市干道要同步建设地下综合管廊。新建、改建、扩建城市道路交付使用5年内不得开挖敷设地下管线。过街敷设市政管线必须采用非开挖技术施工，不得破坏现有车行道路面。</w:t>
      </w:r>
    </w:p>
    <w:p w14:paraId="26C11637">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w:t>
      </w:r>
      <w:r>
        <w:rPr>
          <w:rFonts w:hint="eastAsia" w:eastAsia="楷体_GB2312"/>
          <w:color w:val="000000" w:themeColor="text1"/>
          <w:szCs w:val="32"/>
          <w14:textFill>
            <w14:solidFill>
              <w14:schemeClr w14:val="tx1"/>
            </w14:solidFill>
          </w14:textFill>
        </w:rPr>
        <w:t>一十七</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管线综合规划须减少道路交叉口处的管线交叉点。管线之间发生矛盾的，按照下列原则处理：</w:t>
      </w:r>
    </w:p>
    <w:p w14:paraId="587E0256">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（一）压力管线让重力管线。</w:t>
      </w:r>
    </w:p>
    <w:p w14:paraId="752C8C95">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（二）临时管线让永久管线。</w:t>
      </w:r>
    </w:p>
    <w:p w14:paraId="491A2D2F">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（三）小管径管线让大管径管线。</w:t>
      </w:r>
    </w:p>
    <w:p w14:paraId="0C444410">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（四）可弯曲管线让不易弯曲管线。</w:t>
      </w:r>
    </w:p>
    <w:p w14:paraId="31F3C113">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（五）支管线让主干管线。</w:t>
      </w:r>
    </w:p>
    <w:p w14:paraId="6F42D6A2">
      <w:pPr>
        <w:spacing w:line="580" w:lineRule="exact"/>
        <w:ind w:firstLine="640" w:firstLineChars="200"/>
        <w:rPr>
          <w:color w:val="000000" w:themeColor="text1"/>
          <w:szCs w:val="32"/>
          <w:u w:val="single"/>
          <w14:textFill>
            <w14:solidFill>
              <w14:schemeClr w14:val="tx1"/>
            </w14:solidFill>
          </w14:textFill>
        </w:rPr>
      </w:pPr>
      <w:r>
        <w:rPr>
          <w:color w:val="000000" w:themeColor="text1"/>
          <w:szCs w:val="32"/>
          <w14:textFill>
            <w14:solidFill>
              <w14:schemeClr w14:val="tx1"/>
            </w14:solidFill>
          </w14:textFill>
        </w:rPr>
        <w:t>（六）新建管线让保留的现状管线。</w:t>
      </w:r>
    </w:p>
    <w:p w14:paraId="7230F1CB">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w:t>
      </w:r>
      <w:r>
        <w:rPr>
          <w:rFonts w:hint="eastAsia" w:eastAsia="楷体_GB2312"/>
          <w:color w:val="000000" w:themeColor="text1"/>
          <w:szCs w:val="32"/>
          <w14:textFill>
            <w14:solidFill>
              <w14:schemeClr w14:val="tx1"/>
            </w14:solidFill>
          </w14:textFill>
        </w:rPr>
        <w:t>一十八</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城市公用设施的规划布局应当符合下列要求：</w:t>
      </w:r>
    </w:p>
    <w:p w14:paraId="5AB8FD25">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（一）新建污水处理厂、各类垃圾压缩转运站周围应建设绿化带，并按国家规范设置一定的防护距离，防护距离内不得有居住区、医院、学校等环境敏感建筑。</w:t>
      </w:r>
    </w:p>
    <w:p w14:paraId="05D44CC9">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（二）新建的独立式公共厕所外墙与相邻建筑物距离一般不小于5米，周围应设置不小于3米的绿化带。</w:t>
      </w:r>
    </w:p>
    <w:p w14:paraId="3C92746A">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（三）新建天然气站与民用建筑之间的防火间距，应当符合国家有关城镇燃气设计规范的规定。</w:t>
      </w:r>
    </w:p>
    <w:p w14:paraId="5988E597">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（四）新建的加油站、加气站宜采取合建方式集中设置。在规划设计时埋地油罐、加油机、通气管管口、储气瓶、集中放散管管口等设备与站外建（构）筑物的安全距离原则上在自身用地内解决。</w:t>
      </w:r>
    </w:p>
    <w:p w14:paraId="73DCBEF3">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（五）为建设项目配套的环卫、杆管线、变压器、通信交接箱、燃气调压箱等设施，必须在项目自身用地内配套建设，严禁占用城市公共空间。</w:t>
      </w:r>
    </w:p>
    <w:p w14:paraId="76965C19">
      <w:pPr>
        <w:widowControl/>
        <w:spacing w:line="580" w:lineRule="exact"/>
        <w:ind w:firstLine="615"/>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w:t>
      </w:r>
      <w:r>
        <w:rPr>
          <w:rFonts w:hint="eastAsia" w:eastAsia="楷体_GB2312"/>
          <w:color w:val="000000" w:themeColor="text1"/>
          <w:szCs w:val="32"/>
          <w14:textFill>
            <w14:solidFill>
              <w14:schemeClr w14:val="tx1"/>
            </w14:solidFill>
          </w14:textFill>
        </w:rPr>
        <w:t>一十九</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通信基站按相关规划进行设置，并以共建共享方式建设通信基站，通信基站必须与周边环境相协调。</w:t>
      </w:r>
    </w:p>
    <w:p w14:paraId="0158139C">
      <w:pPr>
        <w:pStyle w:val="34"/>
        <w:ind w:firstLineChars="0"/>
        <w:jc w:val="both"/>
        <w:rPr>
          <w:rFonts w:eastAsia="仿宋_GB2312"/>
          <w:color w:val="000000" w:themeColor="text1"/>
          <w14:textFill>
            <w14:solidFill>
              <w14:schemeClr w14:val="tx1"/>
            </w14:solidFill>
          </w14:textFill>
        </w:rPr>
      </w:pPr>
    </w:p>
    <w:p w14:paraId="2AF50A23">
      <w:pPr>
        <w:spacing w:line="580" w:lineRule="exact"/>
        <w:jc w:val="center"/>
        <w:rPr>
          <w:rFonts w:eastAsia="黑体"/>
          <w:color w:val="000000" w:themeColor="text1"/>
          <w:szCs w:val="32"/>
          <w14:textFill>
            <w14:solidFill>
              <w14:schemeClr w14:val="tx1"/>
            </w14:solidFill>
          </w14:textFill>
        </w:rPr>
      </w:pPr>
      <w:r>
        <w:rPr>
          <w:rFonts w:eastAsia="黑体"/>
          <w:color w:val="000000" w:themeColor="text1"/>
          <w:szCs w:val="32"/>
          <w14:textFill>
            <w14:solidFill>
              <w14:schemeClr w14:val="tx1"/>
            </w14:solidFill>
          </w14:textFill>
        </w:rPr>
        <w:t>第十二章  临时建设工程管理</w:t>
      </w:r>
    </w:p>
    <w:p w14:paraId="1592989E">
      <w:pPr>
        <w:spacing w:line="580" w:lineRule="exact"/>
        <w:ind w:firstLine="640" w:firstLineChars="200"/>
        <w:rPr>
          <w:rFonts w:eastAsia="楷体_GB2312"/>
          <w:color w:val="000000" w:themeColor="text1"/>
          <w:szCs w:val="32"/>
          <w14:textFill>
            <w14:solidFill>
              <w14:schemeClr w14:val="tx1"/>
            </w14:solidFill>
          </w14:textFill>
        </w:rPr>
      </w:pPr>
    </w:p>
    <w:p w14:paraId="33F59158">
      <w:pPr>
        <w:spacing w:line="580" w:lineRule="exact"/>
        <w:ind w:firstLine="640" w:firstLineChars="200"/>
        <w:rPr>
          <w:color w:val="000000" w:themeColor="text1"/>
          <w:spacing w:val="-6"/>
          <w:szCs w:val="32"/>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一百二十</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 xml:space="preserve"> 临时建设工程是指在城市规划区内国有土地上修建，不登记产权，限定短期使用，批准期满须自行拆除</w:t>
      </w:r>
      <w:r>
        <w:rPr>
          <w:color w:val="000000" w:themeColor="text1"/>
          <w:spacing w:val="-6"/>
          <w:szCs w:val="32"/>
          <w14:textFill>
            <w14:solidFill>
              <w14:schemeClr w14:val="tx1"/>
            </w14:solidFill>
          </w14:textFill>
        </w:rPr>
        <w:t>的临时建（构）筑物（不包括临时施工用房）、临时基础设施工程。</w:t>
      </w:r>
    </w:p>
    <w:p w14:paraId="6ED5B80B">
      <w:pPr>
        <w:spacing w:line="580" w:lineRule="exact"/>
        <w:ind w:firstLine="640" w:firstLineChars="200"/>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一百二十一</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 xml:space="preserve"> 不允许临时建设工程侵占城市道路、电力、通信、消防车道、消防通道、人防工程、防洪保护区、城市绿地和占压城市地下管线。</w:t>
      </w:r>
    </w:p>
    <w:p w14:paraId="180262BD">
      <w:pPr>
        <w:spacing w:line="580" w:lineRule="exact"/>
        <w:ind w:firstLine="640" w:firstLineChars="200"/>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一百二十二</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 xml:space="preserve"> 临时售楼房的使用期限不得超过建设项目的建设周期。在建设项目竣工核实前须全部自行拆除。其他临时建筑的使用期限原则上不得超过1年。</w:t>
      </w:r>
    </w:p>
    <w:p w14:paraId="2E92BBB6">
      <w:pPr>
        <w:spacing w:line="580" w:lineRule="exact"/>
        <w:ind w:firstLine="640" w:firstLineChars="200"/>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一百二十三</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 xml:space="preserve"> 临时建设工程规划许可文件应对临时建筑的使用性质、位置、建筑面积、平面、立面、高度、色彩、结构形式、使用期限等作出明确规定。</w:t>
      </w:r>
    </w:p>
    <w:p w14:paraId="4E3800CB">
      <w:pPr>
        <w:spacing w:line="580" w:lineRule="exact"/>
        <w:ind w:firstLine="640" w:firstLineChars="200"/>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一百二十四</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临时建筑不得采用现浇钢筋混凝土等永久性结构形式。严格控制建设规模，建筑原则上以1层为主、局部2层，建筑高度不超过10米。</w:t>
      </w:r>
    </w:p>
    <w:p w14:paraId="5583571E">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w:t>
      </w:r>
      <w:r>
        <w:rPr>
          <w:rFonts w:hint="eastAsia" w:eastAsia="楷体_GB2312"/>
          <w:color w:val="000000" w:themeColor="text1"/>
          <w:szCs w:val="32"/>
          <w14:textFill>
            <w14:solidFill>
              <w14:schemeClr w14:val="tx1"/>
            </w14:solidFill>
          </w14:textFill>
        </w:rPr>
        <w:t>一百二十五</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临时建筑与用地边界的退让、与相邻建筑的间距、建筑风貌应满足城市规划管理规定要求。临时建筑不得擅自改变规划批准文件规定的使用性质。</w:t>
      </w:r>
    </w:p>
    <w:p w14:paraId="2AB1FEE7">
      <w:pPr>
        <w:spacing w:line="580" w:lineRule="exact"/>
        <w:jc w:val="center"/>
        <w:rPr>
          <w:rFonts w:eastAsia="黑体"/>
          <w:color w:val="000000" w:themeColor="text1"/>
          <w:szCs w:val="32"/>
          <w14:textFill>
            <w14:solidFill>
              <w14:schemeClr w14:val="tx1"/>
            </w14:solidFill>
          </w14:textFill>
        </w:rPr>
      </w:pPr>
    </w:p>
    <w:p w14:paraId="098CB811">
      <w:pPr>
        <w:spacing w:line="580" w:lineRule="exact"/>
        <w:jc w:val="center"/>
        <w:rPr>
          <w:rFonts w:eastAsia="黑体"/>
          <w:color w:val="000000" w:themeColor="text1"/>
          <w:szCs w:val="32"/>
          <w14:textFill>
            <w14:solidFill>
              <w14:schemeClr w14:val="tx1"/>
            </w14:solidFill>
          </w14:textFill>
        </w:rPr>
      </w:pPr>
      <w:r>
        <w:rPr>
          <w:rFonts w:eastAsia="黑体"/>
          <w:color w:val="000000" w:themeColor="text1"/>
          <w:szCs w:val="32"/>
          <w14:textFill>
            <w14:solidFill>
              <w14:schemeClr w14:val="tx1"/>
            </w14:solidFill>
          </w14:textFill>
        </w:rPr>
        <w:t>第十三章  建设工程竣工规划土地核实</w:t>
      </w:r>
    </w:p>
    <w:p w14:paraId="767E16F9">
      <w:pPr>
        <w:spacing w:line="580" w:lineRule="exact"/>
        <w:rPr>
          <w:color w:val="000000" w:themeColor="text1"/>
          <w:szCs w:val="32"/>
          <w14:textFill>
            <w14:solidFill>
              <w14:schemeClr w14:val="tx1"/>
            </w14:solidFill>
          </w14:textFill>
        </w:rPr>
      </w:pPr>
    </w:p>
    <w:p w14:paraId="5E445481">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第一百二十</w:t>
      </w:r>
      <w:r>
        <w:rPr>
          <w:rFonts w:hint="eastAsia" w:eastAsia="楷体_GB2312"/>
          <w:color w:val="000000" w:themeColor="text1"/>
          <w:szCs w:val="32"/>
          <w14:textFill>
            <w14:solidFill>
              <w14:schemeClr w14:val="tx1"/>
            </w14:solidFill>
          </w14:textFill>
        </w:rPr>
        <w:t>六</w:t>
      </w:r>
      <w:r>
        <w:rPr>
          <w:rFonts w:eastAsia="楷体_GB2312"/>
          <w:color w:val="000000" w:themeColor="text1"/>
          <w:szCs w:val="32"/>
          <w14:textFill>
            <w14:solidFill>
              <w14:schemeClr w14:val="tx1"/>
            </w14:solidFill>
          </w14:textFill>
        </w:rPr>
        <w:t xml:space="preserve">条  </w:t>
      </w:r>
      <w:r>
        <w:rPr>
          <w:color w:val="000000" w:themeColor="text1"/>
          <w:szCs w:val="32"/>
          <w14:textFill>
            <w14:solidFill>
              <w14:schemeClr w14:val="tx1"/>
            </w14:solidFill>
          </w14:textFill>
        </w:rPr>
        <w:t>建设工程竣工后，规划和自然资源主管部门应对建设单位（个人）履行土地出让合同、划拨决定书的情况进行检查核验，对依法批准的按照规划许可</w:t>
      </w:r>
      <w:r>
        <w:rPr>
          <w:rFonts w:hint="eastAsia"/>
          <w:color w:val="000000" w:themeColor="text1"/>
          <w:szCs w:val="32"/>
          <w14:textFill>
            <w14:solidFill>
              <w14:schemeClr w14:val="tx1"/>
            </w14:solidFill>
          </w14:textFill>
        </w:rPr>
        <w:t>（含附图、附件）</w:t>
      </w:r>
      <w:r>
        <w:rPr>
          <w:color w:val="000000" w:themeColor="text1"/>
          <w:szCs w:val="32"/>
          <w14:textFill>
            <w14:solidFill>
              <w14:schemeClr w14:val="tx1"/>
            </w14:solidFill>
          </w14:textFill>
        </w:rPr>
        <w:t>要求建设完成的建设工程进行检查核实。</w:t>
      </w:r>
      <w:r>
        <w:rPr>
          <w:color w:val="000000" w:themeColor="text1"/>
          <w:szCs w:val="32"/>
          <w14:textFill>
            <w14:solidFill>
              <w14:schemeClr w14:val="tx1"/>
            </w14:solidFill>
          </w14:textFill>
        </w:rPr>
        <w:br w:type="textWrapping"/>
      </w:r>
      <w:r>
        <w:rPr>
          <w:color w:val="000000" w:themeColor="text1"/>
          <w:szCs w:val="32"/>
          <w14:textFill>
            <w14:solidFill>
              <w14:schemeClr w14:val="tx1"/>
            </w14:solidFill>
          </w14:textFill>
        </w:rPr>
        <w:t xml:space="preserve">      建设工程竣工规划土地核实的内容包括规划用途、用地范围、用地面积、容积率、绿地率、建筑密度、建筑间距、退界距离、建筑高度、层数、建筑±0.00标高、建筑平面尺寸、建筑外立面色彩材质、公共配套设施和项目配套设施的建筑面积和位置等。 </w:t>
      </w:r>
    </w:p>
    <w:p w14:paraId="7E6AB10D">
      <w:pPr>
        <w:spacing w:line="580" w:lineRule="exact"/>
        <w:ind w:firstLine="640" w:firstLineChars="200"/>
        <w:rPr>
          <w:color w:val="000000" w:themeColor="text1"/>
          <w:szCs w:val="32"/>
          <w:u w:val="single"/>
          <w14:textFill>
            <w14:solidFill>
              <w14:schemeClr w14:val="tx1"/>
            </w14:solidFill>
          </w14:textFill>
        </w:rPr>
      </w:pPr>
      <w:r>
        <w:rPr>
          <w:rFonts w:eastAsia="楷体_GB2312"/>
          <w:color w:val="000000" w:themeColor="text1"/>
          <w:szCs w:val="32"/>
          <w14:textFill>
            <w14:solidFill>
              <w14:schemeClr w14:val="tx1"/>
            </w14:solidFill>
          </w14:textFill>
        </w:rPr>
        <w:t>第一百</w:t>
      </w:r>
      <w:r>
        <w:rPr>
          <w:rFonts w:hint="eastAsia" w:eastAsia="楷体_GB2312"/>
          <w:color w:val="000000" w:themeColor="text1"/>
          <w:szCs w:val="32"/>
          <w14:textFill>
            <w14:solidFill>
              <w14:schemeClr w14:val="tx1"/>
            </w14:solidFill>
          </w14:textFill>
        </w:rPr>
        <w:t>二十七</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核算容积率的建筑面积由规划和自然资源主管部门认可，具备相应资质测绘单位提供的建筑工程建筑面积测绘报告为依据；核算绿地率的绿地面积、建筑平面布局、建筑间距、退界距离、建筑高度、层数以建设项目竣工测绘图的实测数据为依据。</w:t>
      </w:r>
    </w:p>
    <w:p w14:paraId="5E1737E8">
      <w:pPr>
        <w:spacing w:line="580" w:lineRule="exact"/>
        <w:ind w:firstLine="627" w:firstLineChars="196"/>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w:t>
      </w:r>
      <w:r>
        <w:rPr>
          <w:rFonts w:hint="eastAsia" w:eastAsia="楷体_GB2312"/>
          <w:color w:val="000000" w:themeColor="text1"/>
          <w:szCs w:val="32"/>
          <w14:textFill>
            <w14:solidFill>
              <w14:schemeClr w14:val="tx1"/>
            </w14:solidFill>
          </w14:textFill>
        </w:rPr>
        <w:t>二十八</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建筑外立面、建筑架空层、配套设施、出入口大门和围墙等以批准的规划设计方案为核实标准。</w:t>
      </w:r>
    </w:p>
    <w:p w14:paraId="3BC8A69C">
      <w:pPr>
        <w:spacing w:line="580" w:lineRule="exact"/>
        <w:ind w:firstLine="640" w:firstLineChars="200"/>
        <w:rPr>
          <w:color w:val="000000" w:themeColor="text1"/>
          <w14:textFill>
            <w14:solidFill>
              <w14:schemeClr w14:val="tx1"/>
            </w14:solidFill>
          </w14:textFill>
        </w:rPr>
      </w:pPr>
    </w:p>
    <w:p w14:paraId="1BAC74A8">
      <w:pPr>
        <w:pStyle w:val="2"/>
        <w:ind w:left="615" w:firstLine="1920" w:firstLineChars="600"/>
        <w:jc w:val="both"/>
        <w:rPr>
          <w:rFonts w:eastAsia="黑体"/>
          <w:b w:val="0"/>
          <w:color w:val="000000" w:themeColor="text1"/>
          <w:sz w:val="32"/>
          <w:szCs w:val="32"/>
          <w14:textFill>
            <w14:solidFill>
              <w14:schemeClr w14:val="tx1"/>
            </w14:solidFill>
          </w14:textFill>
        </w:rPr>
      </w:pPr>
      <w:r>
        <w:rPr>
          <w:rFonts w:hint="eastAsia" w:eastAsia="黑体"/>
          <w:b w:val="0"/>
          <w:color w:val="000000" w:themeColor="text1"/>
          <w:sz w:val="32"/>
          <w:szCs w:val="32"/>
          <w14:textFill>
            <w14:solidFill>
              <w14:schemeClr w14:val="tx1"/>
            </w14:solidFill>
          </w14:textFill>
        </w:rPr>
        <w:t>第十四章</w:t>
      </w:r>
      <w:r>
        <w:rPr>
          <w:rFonts w:eastAsia="黑体"/>
          <w:b w:val="0"/>
          <w:color w:val="000000" w:themeColor="text1"/>
          <w:sz w:val="32"/>
          <w:szCs w:val="32"/>
          <w14:textFill>
            <w14:solidFill>
              <w14:schemeClr w14:val="tx1"/>
            </w14:solidFill>
          </w14:textFill>
        </w:rPr>
        <w:t xml:space="preserve"> </w:t>
      </w:r>
      <w:bookmarkStart w:id="0" w:name="_Toc107330372"/>
      <w:bookmarkStart w:id="1" w:name="_Toc106983676"/>
      <w:r>
        <w:rPr>
          <w:rFonts w:hint="eastAsia" w:eastAsia="黑体"/>
          <w:b w:val="0"/>
          <w:color w:val="000000" w:themeColor="text1"/>
          <w:sz w:val="32"/>
          <w:szCs w:val="32"/>
          <w14:textFill>
            <w14:solidFill>
              <w14:schemeClr w14:val="tx1"/>
            </w14:solidFill>
          </w14:textFill>
        </w:rPr>
        <w:t>乡村规划管理</w:t>
      </w:r>
    </w:p>
    <w:bookmarkEnd w:id="0"/>
    <w:bookmarkEnd w:id="1"/>
    <w:p w14:paraId="42041D89">
      <w:pPr>
        <w:spacing w:line="580" w:lineRule="exact"/>
        <w:ind w:firstLine="640" w:firstLineChars="200"/>
        <w:rPr>
          <w:color w:val="000000" w:themeColor="text1"/>
          <w:szCs w:val="32"/>
          <w14:textFill>
            <w14:solidFill>
              <w14:schemeClr w14:val="tx1"/>
            </w14:solidFill>
          </w14:textFill>
        </w:rPr>
      </w:pPr>
    </w:p>
    <w:p w14:paraId="32EDD5B4">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w:t>
      </w:r>
      <w:r>
        <w:rPr>
          <w:rFonts w:hint="eastAsia" w:eastAsia="楷体_GB2312"/>
          <w:color w:val="000000" w:themeColor="text1"/>
          <w:szCs w:val="32"/>
          <w14:textFill>
            <w14:solidFill>
              <w14:schemeClr w14:val="tx1"/>
            </w14:solidFill>
          </w14:textFill>
        </w:rPr>
        <w:t>二十九</w:t>
      </w:r>
      <w:r>
        <w:rPr>
          <w:rFonts w:eastAsia="楷体_GB2312"/>
          <w:color w:val="000000" w:themeColor="text1"/>
          <w:szCs w:val="32"/>
          <w14:textFill>
            <w14:solidFill>
              <w14:schemeClr w14:val="tx1"/>
            </w14:solidFill>
          </w14:textFill>
        </w:rPr>
        <w:t>条</w:t>
      </w:r>
      <w:r>
        <w:rPr>
          <w:rFonts w:hint="eastAsia" w:eastAsia="楷体_GB2312"/>
          <w:color w:val="000000" w:themeColor="text1"/>
          <w:szCs w:val="32"/>
          <w14:textFill>
            <w14:solidFill>
              <w14:schemeClr w14:val="tx1"/>
            </w14:solidFill>
          </w14:textFill>
        </w:rPr>
        <w:t xml:space="preserve">  </w:t>
      </w:r>
      <w:r>
        <w:rPr>
          <w:rFonts w:hint="eastAsia"/>
          <w:color w:val="000000" w:themeColor="text1"/>
          <w:szCs w:val="32"/>
          <w14:textFill>
            <w14:solidFill>
              <w14:schemeClr w14:val="tx1"/>
            </w14:solidFill>
          </w14:textFill>
        </w:rPr>
        <w:t>严格底线管控，严禁破坏耕地和基本农田保护，加强生态和历史文化保护，加强自然灾害风险、矿产资源和引用水水源等管控。</w:t>
      </w:r>
    </w:p>
    <w:p w14:paraId="692C386C">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w:t>
      </w:r>
      <w:r>
        <w:rPr>
          <w:rFonts w:hint="eastAsia" w:eastAsia="楷体_GB2312"/>
          <w:color w:val="000000" w:themeColor="text1"/>
          <w:szCs w:val="32"/>
          <w14:textFill>
            <w14:solidFill>
              <w14:schemeClr w14:val="tx1"/>
            </w14:solidFill>
          </w14:textFill>
        </w:rPr>
        <w:t>三十</w:t>
      </w:r>
      <w:r>
        <w:rPr>
          <w:rFonts w:eastAsia="楷体_GB2312"/>
          <w:color w:val="000000" w:themeColor="text1"/>
          <w:szCs w:val="32"/>
          <w14:textFill>
            <w14:solidFill>
              <w14:schemeClr w14:val="tx1"/>
            </w14:solidFill>
          </w14:textFill>
        </w:rPr>
        <w:t>条</w:t>
      </w:r>
      <w:r>
        <w:rPr>
          <w:rFonts w:hint="eastAsia" w:eastAsia="楷体_GB2312"/>
          <w:color w:val="000000" w:themeColor="text1"/>
          <w:szCs w:val="32"/>
          <w14:textFill>
            <w14:solidFill>
              <w14:schemeClr w14:val="tx1"/>
            </w14:solidFill>
          </w14:textFill>
        </w:rPr>
        <w:t xml:space="preserve">  </w:t>
      </w:r>
      <w:r>
        <w:rPr>
          <w:rFonts w:hint="eastAsia"/>
          <w:color w:val="000000" w:themeColor="text1"/>
          <w:szCs w:val="32"/>
          <w14:textFill>
            <w14:solidFill>
              <w14:schemeClr w14:val="tx1"/>
            </w14:solidFill>
          </w14:textFill>
        </w:rPr>
        <w:t>农村住房建设 应坚持“三避让”原则，合理避让地震断裂带、地质灾害隐患区、山洪灾害危险区和行洪泄洪通道。</w:t>
      </w:r>
    </w:p>
    <w:p w14:paraId="607D85DD">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w:t>
      </w:r>
      <w:r>
        <w:rPr>
          <w:rFonts w:hint="eastAsia" w:eastAsia="楷体_GB2312"/>
          <w:color w:val="000000" w:themeColor="text1"/>
          <w:szCs w:val="32"/>
          <w14:textFill>
            <w14:solidFill>
              <w14:schemeClr w14:val="tx1"/>
            </w14:solidFill>
          </w14:textFill>
        </w:rPr>
        <w:t>三十一</w:t>
      </w:r>
      <w:r>
        <w:rPr>
          <w:rFonts w:eastAsia="楷体_GB2312"/>
          <w:color w:val="000000" w:themeColor="text1"/>
          <w:szCs w:val="32"/>
          <w14:textFill>
            <w14:solidFill>
              <w14:schemeClr w14:val="tx1"/>
            </w14:solidFill>
          </w14:textFill>
        </w:rPr>
        <w:t>条</w:t>
      </w:r>
      <w:r>
        <w:rPr>
          <w:rFonts w:hint="eastAsia" w:eastAsia="楷体_GB2312"/>
          <w:color w:val="000000" w:themeColor="text1"/>
          <w:szCs w:val="32"/>
          <w14:textFill>
            <w14:solidFill>
              <w14:schemeClr w14:val="tx1"/>
            </w14:solidFill>
          </w14:textFill>
        </w:rPr>
        <w:t xml:space="preserve">  </w:t>
      </w:r>
      <w:r>
        <w:rPr>
          <w:rFonts w:hint="eastAsia"/>
          <w:color w:val="000000" w:themeColor="text1"/>
          <w:szCs w:val="32"/>
          <w14:textFill>
            <w14:solidFill>
              <w14:schemeClr w14:val="tx1"/>
            </w14:solidFill>
          </w14:textFill>
        </w:rPr>
        <w:t>因地制宜，不挖山填湖，不破环自然环境和历史人文景观。</w:t>
      </w:r>
    </w:p>
    <w:p w14:paraId="4A854813">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w:t>
      </w:r>
      <w:r>
        <w:rPr>
          <w:rFonts w:hint="eastAsia" w:eastAsia="楷体_GB2312"/>
          <w:color w:val="000000" w:themeColor="text1"/>
          <w:szCs w:val="32"/>
          <w14:textFill>
            <w14:solidFill>
              <w14:schemeClr w14:val="tx1"/>
            </w14:solidFill>
          </w14:textFill>
        </w:rPr>
        <w:t>三十二</w:t>
      </w:r>
      <w:r>
        <w:rPr>
          <w:rFonts w:eastAsia="楷体_GB2312"/>
          <w:color w:val="000000" w:themeColor="text1"/>
          <w:szCs w:val="32"/>
          <w14:textFill>
            <w14:solidFill>
              <w14:schemeClr w14:val="tx1"/>
            </w14:solidFill>
          </w14:textFill>
        </w:rPr>
        <w:t>条</w:t>
      </w:r>
      <w:r>
        <w:rPr>
          <w:rFonts w:hint="eastAsia" w:eastAsia="楷体_GB2312"/>
          <w:color w:val="000000" w:themeColor="text1"/>
          <w:szCs w:val="32"/>
          <w14:textFill>
            <w14:solidFill>
              <w14:schemeClr w14:val="tx1"/>
            </w14:solidFill>
          </w14:textFill>
        </w:rPr>
        <w:t xml:space="preserve">  </w:t>
      </w:r>
      <w:r>
        <w:rPr>
          <w:rFonts w:hint="eastAsia"/>
          <w:color w:val="000000" w:themeColor="text1"/>
          <w:szCs w:val="32"/>
          <w14:textFill>
            <w14:solidFill>
              <w14:schemeClr w14:val="tx1"/>
            </w14:solidFill>
          </w14:textFill>
        </w:rPr>
        <w:t>乡村地区已编制村规划或乡村建设“通则式规划管理”的，按村规划或“通则式规划管理”执行。</w:t>
      </w:r>
    </w:p>
    <w:p w14:paraId="762AE41B">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第一百三十</w:t>
      </w:r>
      <w:r>
        <w:rPr>
          <w:rFonts w:hint="eastAsia" w:eastAsia="楷体_GB2312"/>
          <w:color w:val="000000" w:themeColor="text1"/>
          <w:szCs w:val="32"/>
          <w14:textFill>
            <w14:solidFill>
              <w14:schemeClr w14:val="tx1"/>
            </w14:solidFill>
          </w14:textFill>
        </w:rPr>
        <w:t>三</w:t>
      </w:r>
      <w:r>
        <w:rPr>
          <w:rFonts w:eastAsia="楷体_GB2312"/>
          <w:color w:val="000000" w:themeColor="text1"/>
          <w:szCs w:val="32"/>
          <w14:textFill>
            <w14:solidFill>
              <w14:schemeClr w14:val="tx1"/>
            </w14:solidFill>
          </w14:textFill>
        </w:rPr>
        <w:t>条</w:t>
      </w:r>
      <w:r>
        <w:rPr>
          <w:rFonts w:hint="eastAsia" w:eastAsia="楷体_GB2312"/>
          <w:color w:val="000000" w:themeColor="text1"/>
          <w:szCs w:val="32"/>
          <w14:textFill>
            <w14:solidFill>
              <w14:schemeClr w14:val="tx1"/>
            </w14:solidFill>
          </w14:textFill>
        </w:rPr>
        <w:t xml:space="preserve">  农村住房</w:t>
      </w:r>
      <w:r>
        <w:rPr>
          <w:rFonts w:hint="eastAsia"/>
          <w:color w:val="000000" w:themeColor="text1"/>
          <w:szCs w:val="32"/>
          <w14:textFill>
            <w14:solidFill>
              <w14:schemeClr w14:val="tx1"/>
            </w14:solidFill>
          </w14:textFill>
        </w:rPr>
        <w:t>建筑层数原则不超过3层，建筑总高度原则不超过12米。</w:t>
      </w:r>
    </w:p>
    <w:p w14:paraId="667DCC87">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第一百三十</w:t>
      </w:r>
      <w:r>
        <w:rPr>
          <w:rFonts w:hint="eastAsia" w:eastAsia="楷体_GB2312"/>
          <w:color w:val="000000" w:themeColor="text1"/>
          <w:szCs w:val="32"/>
          <w14:textFill>
            <w14:solidFill>
              <w14:schemeClr w14:val="tx1"/>
            </w14:solidFill>
          </w14:textFill>
        </w:rPr>
        <w:t>四</w:t>
      </w:r>
      <w:r>
        <w:rPr>
          <w:rFonts w:eastAsia="楷体_GB2312"/>
          <w:color w:val="000000" w:themeColor="text1"/>
          <w:szCs w:val="32"/>
          <w14:textFill>
            <w14:solidFill>
              <w14:schemeClr w14:val="tx1"/>
            </w14:solidFill>
          </w14:textFill>
        </w:rPr>
        <w:t>条</w:t>
      </w:r>
      <w:r>
        <w:rPr>
          <w:rFonts w:hint="eastAsia" w:eastAsia="楷体_GB2312"/>
          <w:color w:val="000000" w:themeColor="text1"/>
          <w:szCs w:val="32"/>
          <w14:textFill>
            <w14:solidFill>
              <w14:schemeClr w14:val="tx1"/>
            </w14:solidFill>
          </w14:textFill>
        </w:rPr>
        <w:t xml:space="preserve">  </w:t>
      </w:r>
      <w:r>
        <w:rPr>
          <w:color w:val="000000" w:themeColor="text1"/>
          <w:szCs w:val="32"/>
          <w14:textFill>
            <w14:solidFill>
              <w14:schemeClr w14:val="tx1"/>
            </w14:solidFill>
          </w14:textFill>
        </w:rPr>
        <w:t>建筑</w:t>
      </w:r>
      <w:r>
        <w:rPr>
          <w:rFonts w:hint="eastAsia"/>
          <w:color w:val="000000" w:themeColor="text1"/>
          <w:szCs w:val="32"/>
          <w14:textFill>
            <w14:solidFill>
              <w14:schemeClr w14:val="tx1"/>
            </w14:solidFill>
          </w14:textFill>
        </w:rPr>
        <w:t>风貌采用</w:t>
      </w:r>
      <w:r>
        <w:rPr>
          <w:color w:val="000000" w:themeColor="text1"/>
          <w:szCs w:val="32"/>
          <w14:textFill>
            <w14:solidFill>
              <w14:schemeClr w14:val="tx1"/>
            </w14:solidFill>
          </w14:textFill>
        </w:rPr>
        <w:t>“川西” 、“新中式” 、“仿宋”</w:t>
      </w:r>
      <w:r>
        <w:rPr>
          <w:rFonts w:hint="eastAsia"/>
          <w:color w:val="000000" w:themeColor="text1"/>
          <w:szCs w:val="32"/>
          <w14:textFill>
            <w14:solidFill>
              <w14:schemeClr w14:val="tx1"/>
            </w14:solidFill>
          </w14:textFill>
        </w:rPr>
        <w:t>三种具有地方</w:t>
      </w:r>
      <w:r>
        <w:rPr>
          <w:color w:val="000000" w:themeColor="text1"/>
          <w:szCs w:val="32"/>
          <w14:textFill>
            <w14:solidFill>
              <w14:schemeClr w14:val="tx1"/>
            </w14:solidFill>
          </w14:textFill>
        </w:rPr>
        <w:t>文化特色传统</w:t>
      </w:r>
      <w:r>
        <w:rPr>
          <w:rFonts w:hint="eastAsia"/>
          <w:color w:val="000000" w:themeColor="text1"/>
          <w:szCs w:val="32"/>
          <w14:textFill>
            <w14:solidFill>
              <w14:schemeClr w14:val="tx1"/>
            </w14:solidFill>
          </w14:textFill>
        </w:rPr>
        <w:t>的</w:t>
      </w:r>
      <w:r>
        <w:rPr>
          <w:color w:val="000000" w:themeColor="text1"/>
          <w:szCs w:val="32"/>
          <w14:textFill>
            <w14:solidFill>
              <w14:schemeClr w14:val="tx1"/>
            </w14:solidFill>
          </w14:textFill>
        </w:rPr>
        <w:t>风</w:t>
      </w:r>
      <w:r>
        <w:rPr>
          <w:rFonts w:hint="eastAsia"/>
          <w:color w:val="000000" w:themeColor="text1"/>
          <w:szCs w:val="32"/>
          <w14:textFill>
            <w14:solidFill>
              <w14:schemeClr w14:val="tx1"/>
            </w14:solidFill>
          </w14:textFill>
        </w:rPr>
        <w:t>貌，积极推进《丹棱县新建农房建设通用图集》，集中聚居点应编制修建性规划建设方案按程序报批。加强农村住房“顶子、面子、院子”风貌管控，把村民住宅风貌纳入建设规划许可内容，严禁私自违规搭建屋顶彩钢棚。</w:t>
      </w:r>
    </w:p>
    <w:p w14:paraId="031C4677">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第一百三十</w:t>
      </w:r>
      <w:r>
        <w:rPr>
          <w:rFonts w:hint="eastAsia" w:eastAsia="楷体_GB2312"/>
          <w:color w:val="000000" w:themeColor="text1"/>
          <w:szCs w:val="32"/>
          <w14:textFill>
            <w14:solidFill>
              <w14:schemeClr w14:val="tx1"/>
            </w14:solidFill>
          </w14:textFill>
        </w:rPr>
        <w:t>五</w:t>
      </w:r>
      <w:r>
        <w:rPr>
          <w:rFonts w:eastAsia="楷体_GB2312"/>
          <w:color w:val="000000" w:themeColor="text1"/>
          <w:szCs w:val="32"/>
          <w14:textFill>
            <w14:solidFill>
              <w14:schemeClr w14:val="tx1"/>
            </w14:solidFill>
          </w14:textFill>
        </w:rPr>
        <w:t>条</w:t>
      </w:r>
      <w:r>
        <w:rPr>
          <w:rFonts w:hint="eastAsia" w:eastAsia="楷体_GB2312"/>
          <w:color w:val="000000" w:themeColor="text1"/>
          <w:szCs w:val="32"/>
          <w14:textFill>
            <w14:solidFill>
              <w14:schemeClr w14:val="tx1"/>
            </w14:solidFill>
          </w14:textFill>
        </w:rPr>
        <w:t xml:space="preserve">  </w:t>
      </w:r>
      <w:r>
        <w:rPr>
          <w:rFonts w:hint="eastAsia"/>
          <w:color w:val="000000" w:themeColor="text1"/>
          <w:szCs w:val="32"/>
          <w14:textFill>
            <w14:solidFill>
              <w14:schemeClr w14:val="tx1"/>
            </w14:solidFill>
          </w14:textFill>
        </w:rPr>
        <w:t>乡村</w:t>
      </w:r>
      <w:r>
        <w:rPr>
          <w:color w:val="000000" w:themeColor="text1"/>
          <w:szCs w:val="32"/>
          <w14:textFill>
            <w14:solidFill>
              <w14:schemeClr w14:val="tx1"/>
            </w14:solidFill>
          </w14:textFill>
        </w:rPr>
        <w:t>规划区范围</w:t>
      </w:r>
      <w:r>
        <w:rPr>
          <w:rFonts w:hint="eastAsia"/>
          <w:color w:val="000000" w:themeColor="text1"/>
          <w:szCs w:val="32"/>
          <w14:textFill>
            <w14:solidFill>
              <w14:schemeClr w14:val="tx1"/>
            </w14:solidFill>
          </w14:textFill>
        </w:rPr>
        <w:t>内</w:t>
      </w:r>
      <w:r>
        <w:rPr>
          <w:color w:val="000000" w:themeColor="text1"/>
          <w:szCs w:val="32"/>
          <w14:textFill>
            <w14:solidFill>
              <w14:schemeClr w14:val="tx1"/>
            </w14:solidFill>
          </w14:textFill>
        </w:rPr>
        <w:t>零星国有建设用地上的个人建房</w:t>
      </w:r>
      <w:r>
        <w:rPr>
          <w:rFonts w:hint="eastAsia"/>
          <w:color w:val="000000" w:themeColor="text1"/>
          <w:szCs w:val="32"/>
          <w14:textFill>
            <w14:solidFill>
              <w14:schemeClr w14:val="tx1"/>
            </w14:solidFill>
          </w14:textFill>
        </w:rPr>
        <w:t>参照农村住房建设标准执行，危旧房改造参照第三章第十九条“四原原则”规定执行。</w:t>
      </w:r>
      <w:bookmarkStart w:id="2" w:name="_Hlk13044889"/>
    </w:p>
    <w:p w14:paraId="6EC7FA86">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第一百三十</w:t>
      </w:r>
      <w:r>
        <w:rPr>
          <w:rFonts w:hint="eastAsia" w:eastAsia="楷体_GB2312"/>
          <w:color w:val="000000" w:themeColor="text1"/>
          <w:szCs w:val="32"/>
          <w14:textFill>
            <w14:solidFill>
              <w14:schemeClr w14:val="tx1"/>
            </w14:solidFill>
          </w14:textFill>
        </w:rPr>
        <w:t>六</w:t>
      </w:r>
      <w:r>
        <w:rPr>
          <w:rFonts w:eastAsia="楷体_GB2312"/>
          <w:color w:val="000000" w:themeColor="text1"/>
          <w:szCs w:val="32"/>
          <w14:textFill>
            <w14:solidFill>
              <w14:schemeClr w14:val="tx1"/>
            </w14:solidFill>
          </w14:textFill>
        </w:rPr>
        <w:t>条</w:t>
      </w:r>
      <w:r>
        <w:rPr>
          <w:rFonts w:hint="eastAsia"/>
          <w:color w:val="000000" w:themeColor="text1"/>
          <w:szCs w:val="32"/>
          <w14:textFill>
            <w14:solidFill>
              <w14:schemeClr w14:val="tx1"/>
            </w14:solidFill>
          </w14:textFill>
        </w:rPr>
        <w:t xml:space="preserve">  乡村</w:t>
      </w:r>
      <w:r>
        <w:rPr>
          <w:color w:val="000000" w:themeColor="text1"/>
          <w:szCs w:val="32"/>
          <w14:textFill>
            <w14:solidFill>
              <w14:schemeClr w14:val="tx1"/>
            </w14:solidFill>
          </w14:textFill>
        </w:rPr>
        <w:t>规划区</w:t>
      </w:r>
      <w:r>
        <w:rPr>
          <w:rFonts w:hint="eastAsia"/>
          <w:color w:val="000000" w:themeColor="text1"/>
          <w:szCs w:val="32"/>
          <w14:textFill>
            <w14:solidFill>
              <w14:schemeClr w14:val="tx1"/>
            </w14:solidFill>
          </w14:textFill>
        </w:rPr>
        <w:t>临时建建设管理和建设竣工规划核实参照十二、十三章执行。</w:t>
      </w:r>
    </w:p>
    <w:p w14:paraId="08E2E8D6">
      <w:pPr>
        <w:spacing w:line="580" w:lineRule="exact"/>
        <w:ind w:firstLine="640" w:firstLineChars="200"/>
        <w:rPr>
          <w:color w:val="000000" w:themeColor="text1"/>
          <w:szCs w:val="32"/>
          <w14:textFill>
            <w14:solidFill>
              <w14:schemeClr w14:val="tx1"/>
            </w14:solidFill>
          </w14:textFill>
        </w:rPr>
      </w:pPr>
    </w:p>
    <w:bookmarkEnd w:id="2"/>
    <w:p w14:paraId="040B116B">
      <w:pPr>
        <w:spacing w:line="580" w:lineRule="exact"/>
        <w:jc w:val="center"/>
        <w:rPr>
          <w:rFonts w:eastAsia="黑体"/>
          <w:color w:val="000000" w:themeColor="text1"/>
          <w:szCs w:val="32"/>
          <w14:textFill>
            <w14:solidFill>
              <w14:schemeClr w14:val="tx1"/>
            </w14:solidFill>
          </w14:textFill>
        </w:rPr>
      </w:pPr>
      <w:r>
        <w:rPr>
          <w:rFonts w:eastAsia="黑体"/>
          <w:color w:val="000000" w:themeColor="text1"/>
          <w:szCs w:val="32"/>
          <w14:textFill>
            <w14:solidFill>
              <w14:schemeClr w14:val="tx1"/>
            </w14:solidFill>
          </w14:textFill>
        </w:rPr>
        <w:t>第十</w:t>
      </w:r>
      <w:r>
        <w:rPr>
          <w:rFonts w:hint="eastAsia" w:eastAsia="黑体"/>
          <w:color w:val="000000" w:themeColor="text1"/>
          <w:szCs w:val="32"/>
          <w14:textFill>
            <w14:solidFill>
              <w14:schemeClr w14:val="tx1"/>
            </w14:solidFill>
          </w14:textFill>
        </w:rPr>
        <w:t>五</w:t>
      </w:r>
      <w:r>
        <w:rPr>
          <w:rFonts w:eastAsia="黑体"/>
          <w:color w:val="000000" w:themeColor="text1"/>
          <w:szCs w:val="32"/>
          <w14:textFill>
            <w14:solidFill>
              <w14:schemeClr w14:val="tx1"/>
            </w14:solidFill>
          </w14:textFill>
        </w:rPr>
        <w:t>章  附  则</w:t>
      </w:r>
    </w:p>
    <w:p w14:paraId="37A7E7C6">
      <w:pPr>
        <w:spacing w:line="580" w:lineRule="exact"/>
        <w:ind w:firstLine="560" w:firstLineChars="200"/>
        <w:jc w:val="center"/>
        <w:rPr>
          <w:color w:val="000000" w:themeColor="text1"/>
          <w:sz w:val="28"/>
          <w:szCs w:val="28"/>
          <w14:textFill>
            <w14:solidFill>
              <w14:schemeClr w14:val="tx1"/>
            </w14:solidFill>
          </w14:textFill>
        </w:rPr>
      </w:pPr>
    </w:p>
    <w:p w14:paraId="3F736FB8">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第一百三十</w:t>
      </w:r>
      <w:r>
        <w:rPr>
          <w:rFonts w:hint="eastAsia" w:eastAsia="楷体_GB2312"/>
          <w:color w:val="000000" w:themeColor="text1"/>
          <w:szCs w:val="32"/>
          <w14:textFill>
            <w14:solidFill>
              <w14:schemeClr w14:val="tx1"/>
            </w14:solidFill>
          </w14:textFill>
        </w:rPr>
        <w:t>七</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本规定施行前，规划设计方案已批准但尚未实施建设的项目，可按本规定调整规划设计方案</w:t>
      </w:r>
      <w:r>
        <w:rPr>
          <w:rFonts w:hint="eastAsia"/>
          <w:color w:val="000000" w:themeColor="text1"/>
          <w:szCs w:val="32"/>
          <w14:textFill>
            <w14:solidFill>
              <w14:schemeClr w14:val="tx1"/>
            </w14:solidFill>
          </w14:textFill>
        </w:rPr>
        <w:t>后重新批准</w:t>
      </w:r>
      <w:r>
        <w:rPr>
          <w:color w:val="000000" w:themeColor="text1"/>
          <w:szCs w:val="32"/>
          <w14:textFill>
            <w14:solidFill>
              <w14:schemeClr w14:val="tx1"/>
            </w14:solidFill>
          </w14:textFill>
        </w:rPr>
        <w:t>；项目已部分实施的，未实施建设的区域可按本规定调整规划设计方案</w:t>
      </w:r>
      <w:r>
        <w:rPr>
          <w:rFonts w:hint="eastAsia"/>
          <w:color w:val="000000" w:themeColor="text1"/>
          <w:szCs w:val="32"/>
          <w14:textFill>
            <w14:solidFill>
              <w14:schemeClr w14:val="tx1"/>
            </w14:solidFill>
          </w14:textFill>
        </w:rPr>
        <w:t>后重新批准</w:t>
      </w:r>
      <w:r>
        <w:rPr>
          <w:color w:val="000000" w:themeColor="text1"/>
          <w:szCs w:val="32"/>
          <w14:textFill>
            <w14:solidFill>
              <w14:schemeClr w14:val="tx1"/>
            </w14:solidFill>
          </w14:textFill>
        </w:rPr>
        <w:t>。</w:t>
      </w:r>
    </w:p>
    <w:p w14:paraId="4A91C90C">
      <w:pPr>
        <w:spacing w:line="580" w:lineRule="exact"/>
        <w:ind w:firstLine="640" w:firstLineChars="20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w:t>
      </w:r>
      <w:r>
        <w:rPr>
          <w:rFonts w:hint="eastAsia" w:eastAsia="楷体_GB2312"/>
          <w:color w:val="000000" w:themeColor="text1"/>
          <w:szCs w:val="32"/>
          <w14:textFill>
            <w14:solidFill>
              <w14:schemeClr w14:val="tx1"/>
            </w14:solidFill>
          </w14:textFill>
        </w:rPr>
        <w:t>三十八</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本规定由</w:t>
      </w:r>
      <w:r>
        <w:rPr>
          <w:rFonts w:hint="eastAsia"/>
          <w:color w:val="000000" w:themeColor="text1"/>
          <w:szCs w:val="32"/>
          <w14:textFill>
            <w14:solidFill>
              <w14:schemeClr w14:val="tx1"/>
            </w14:solidFill>
          </w14:textFill>
        </w:rPr>
        <w:t>丹棱县</w:t>
      </w:r>
      <w:r>
        <w:rPr>
          <w:color w:val="000000" w:themeColor="text1"/>
          <w:szCs w:val="32"/>
          <w14:textFill>
            <w14:solidFill>
              <w14:schemeClr w14:val="tx1"/>
            </w14:solidFill>
          </w14:textFill>
        </w:rPr>
        <w:t>规划和自然资源局负责解释。</w:t>
      </w:r>
    </w:p>
    <w:p w14:paraId="55DABE14">
      <w:pPr>
        <w:spacing w:line="580" w:lineRule="exact"/>
        <w:ind w:firstLine="640"/>
        <w:rPr>
          <w:color w:val="000000" w:themeColor="text1"/>
          <w:szCs w:val="32"/>
          <w14:textFill>
            <w14:solidFill>
              <w14:schemeClr w14:val="tx1"/>
            </w14:solidFill>
          </w14:textFill>
        </w:rPr>
      </w:pPr>
      <w:r>
        <w:rPr>
          <w:rFonts w:eastAsia="楷体_GB2312"/>
          <w:color w:val="000000" w:themeColor="text1"/>
          <w:szCs w:val="32"/>
          <w14:textFill>
            <w14:solidFill>
              <w14:schemeClr w14:val="tx1"/>
            </w14:solidFill>
          </w14:textFill>
        </w:rPr>
        <w:t>第一百</w:t>
      </w:r>
      <w:r>
        <w:rPr>
          <w:rFonts w:hint="eastAsia" w:eastAsia="楷体_GB2312"/>
          <w:color w:val="000000" w:themeColor="text1"/>
          <w:szCs w:val="32"/>
          <w14:textFill>
            <w14:solidFill>
              <w14:schemeClr w14:val="tx1"/>
            </w14:solidFill>
          </w14:textFill>
        </w:rPr>
        <w:t>三十九</w:t>
      </w:r>
      <w:r>
        <w:rPr>
          <w:rFonts w:eastAsia="楷体_GB2312"/>
          <w:color w:val="000000" w:themeColor="text1"/>
          <w:szCs w:val="32"/>
          <w14:textFill>
            <w14:solidFill>
              <w14:schemeClr w14:val="tx1"/>
            </w14:solidFill>
          </w14:textFill>
        </w:rPr>
        <w:t>条</w:t>
      </w:r>
      <w:r>
        <w:rPr>
          <w:color w:val="000000" w:themeColor="text1"/>
          <w:szCs w:val="32"/>
          <w14:textFill>
            <w14:solidFill>
              <w14:schemeClr w14:val="tx1"/>
            </w14:solidFill>
          </w14:textFill>
        </w:rPr>
        <w:t xml:space="preserve">  本规定自202</w:t>
      </w:r>
      <w:r>
        <w:rPr>
          <w:rFonts w:hint="eastAsia"/>
          <w:color w:val="000000" w:themeColor="text1"/>
          <w:szCs w:val="32"/>
          <w14:textFill>
            <w14:solidFill>
              <w14:schemeClr w14:val="tx1"/>
            </w14:solidFill>
          </w14:textFill>
        </w:rPr>
        <w:t>5</w:t>
      </w:r>
      <w:r>
        <w:rPr>
          <w:color w:val="000000" w:themeColor="text1"/>
          <w:szCs w:val="32"/>
          <w14:textFill>
            <w14:solidFill>
              <w14:schemeClr w14:val="tx1"/>
            </w14:solidFill>
          </w14:textFill>
        </w:rPr>
        <w:t>年x月x日起执行</w:t>
      </w:r>
      <w:r>
        <w:rPr>
          <w:rFonts w:hint="eastAsia"/>
          <w:color w:val="000000" w:themeColor="text1"/>
          <w:szCs w:val="32"/>
          <w14:textFill>
            <w14:solidFill>
              <w14:schemeClr w14:val="tx1"/>
            </w14:solidFill>
          </w14:textFill>
        </w:rPr>
        <w:t>。</w:t>
      </w:r>
    </w:p>
    <w:p w14:paraId="43BAF49C">
      <w:pPr>
        <w:spacing w:line="400" w:lineRule="exact"/>
        <w:rPr>
          <w:rFonts w:eastAsia="黑体"/>
          <w:color w:val="000000" w:themeColor="text1"/>
          <w:sz w:val="28"/>
          <w:szCs w:val="28"/>
          <w14:textFill>
            <w14:solidFill>
              <w14:schemeClr w14:val="tx1"/>
            </w14:solidFill>
          </w14:textFill>
        </w:rPr>
      </w:pPr>
      <w:r>
        <w:rPr>
          <w:rFonts w:eastAsia="黑体"/>
          <w:color w:val="000000" w:themeColor="text1"/>
          <w:sz w:val="28"/>
          <w:szCs w:val="28"/>
          <w14:textFill>
            <w14:solidFill>
              <w14:schemeClr w14:val="tx1"/>
            </w14:solidFill>
          </w14:textFill>
        </w:rPr>
        <w:br w:type="page"/>
      </w:r>
      <w:r>
        <w:rPr>
          <w:rFonts w:eastAsia="黑体"/>
          <w:color w:val="000000" w:themeColor="text1"/>
          <w:sz w:val="28"/>
          <w:szCs w:val="28"/>
          <w14:textFill>
            <w14:solidFill>
              <w14:schemeClr w14:val="tx1"/>
            </w14:solidFill>
          </w14:textFill>
        </w:rPr>
        <w:t>附录1</w:t>
      </w:r>
    </w:p>
    <w:p w14:paraId="7646DB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方正小标宋简体"/>
          <w:color w:val="000000" w:themeColor="text1"/>
          <w:sz w:val="40"/>
          <w:szCs w:val="44"/>
          <w14:textFill>
            <w14:solidFill>
              <w14:schemeClr w14:val="tx1"/>
            </w14:solidFill>
          </w14:textFill>
        </w:rPr>
      </w:pPr>
      <w:r>
        <w:rPr>
          <w:rFonts w:eastAsia="方正小标宋简体"/>
          <w:color w:val="000000" w:themeColor="text1"/>
          <w:sz w:val="40"/>
          <w:szCs w:val="44"/>
          <w14:textFill>
            <w14:solidFill>
              <w14:schemeClr w14:val="tx1"/>
            </w14:solidFill>
          </w14:textFill>
        </w:rPr>
        <w:t>建设项目规划设计方案文本编制要求</w:t>
      </w:r>
    </w:p>
    <w:tbl>
      <w:tblPr>
        <w:tblStyle w:val="14"/>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
        <w:gridCol w:w="1447"/>
        <w:gridCol w:w="6004"/>
        <w:gridCol w:w="1474"/>
      </w:tblGrid>
      <w:tr w14:paraId="07A33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 w:type="dxa"/>
            <w:vAlign w:val="center"/>
          </w:tcPr>
          <w:p w14:paraId="175A5EB2">
            <w:pPr>
              <w:spacing w:line="280" w:lineRule="exact"/>
              <w:jc w:val="center"/>
              <w:rPr>
                <w:color w:val="000000" w:themeColor="text1"/>
                <w:szCs w:val="28"/>
                <w14:textFill>
                  <w14:solidFill>
                    <w14:schemeClr w14:val="tx1"/>
                  </w14:solidFill>
                </w14:textFill>
              </w:rPr>
            </w:pPr>
            <w:r>
              <w:rPr>
                <w:color w:val="000000" w:themeColor="text1"/>
                <w:kern w:val="0"/>
                <w:sz w:val="18"/>
                <w:szCs w:val="18"/>
                <w14:textFill>
                  <w14:solidFill>
                    <w14:schemeClr w14:val="tx1"/>
                  </w14:solidFill>
                </w14:textFill>
              </w:rPr>
              <w:t>序 号</w:t>
            </w:r>
          </w:p>
        </w:tc>
        <w:tc>
          <w:tcPr>
            <w:tcW w:w="1447" w:type="dxa"/>
            <w:vAlign w:val="center"/>
          </w:tcPr>
          <w:p w14:paraId="00EF9953">
            <w:pPr>
              <w:spacing w:line="280" w:lineRule="exact"/>
              <w:jc w:val="center"/>
              <w:rPr>
                <w:color w:val="000000" w:themeColor="text1"/>
                <w:szCs w:val="28"/>
                <w14:textFill>
                  <w14:solidFill>
                    <w14:schemeClr w14:val="tx1"/>
                  </w14:solidFill>
                </w14:textFill>
              </w:rPr>
            </w:pPr>
            <w:r>
              <w:rPr>
                <w:color w:val="000000" w:themeColor="text1"/>
                <w:kern w:val="0"/>
                <w:sz w:val="18"/>
                <w:szCs w:val="18"/>
                <w14:textFill>
                  <w14:solidFill>
                    <w14:schemeClr w14:val="tx1"/>
                  </w14:solidFill>
                </w14:textFill>
              </w:rPr>
              <w:t>图纸</w:t>
            </w:r>
          </w:p>
        </w:tc>
        <w:tc>
          <w:tcPr>
            <w:tcW w:w="6004" w:type="dxa"/>
            <w:vAlign w:val="center"/>
          </w:tcPr>
          <w:p w14:paraId="02D9C3A6">
            <w:pPr>
              <w:spacing w:line="280" w:lineRule="exact"/>
              <w:jc w:val="center"/>
              <w:rPr>
                <w:color w:val="000000" w:themeColor="text1"/>
                <w:szCs w:val="28"/>
                <w14:textFill>
                  <w14:solidFill>
                    <w14:schemeClr w14:val="tx1"/>
                  </w14:solidFill>
                </w14:textFill>
              </w:rPr>
            </w:pPr>
            <w:r>
              <w:rPr>
                <w:color w:val="000000" w:themeColor="text1"/>
                <w:kern w:val="0"/>
                <w:sz w:val="18"/>
                <w:szCs w:val="18"/>
                <w14:textFill>
                  <w14:solidFill>
                    <w14:schemeClr w14:val="tx1"/>
                  </w14:solidFill>
                </w14:textFill>
              </w:rPr>
              <w:t>图纸内容</w:t>
            </w:r>
          </w:p>
        </w:tc>
        <w:tc>
          <w:tcPr>
            <w:tcW w:w="1474" w:type="dxa"/>
            <w:vAlign w:val="center"/>
          </w:tcPr>
          <w:p w14:paraId="77335726">
            <w:pPr>
              <w:spacing w:line="280" w:lineRule="exact"/>
              <w:jc w:val="center"/>
              <w:rPr>
                <w:color w:val="000000" w:themeColor="text1"/>
                <w:szCs w:val="28"/>
                <w14:textFill>
                  <w14:solidFill>
                    <w14:schemeClr w14:val="tx1"/>
                  </w14:solidFill>
                </w14:textFill>
              </w:rPr>
            </w:pPr>
            <w:r>
              <w:rPr>
                <w:color w:val="000000" w:themeColor="text1"/>
                <w:kern w:val="0"/>
                <w:sz w:val="18"/>
                <w:szCs w:val="18"/>
                <w14:textFill>
                  <w14:solidFill>
                    <w14:schemeClr w14:val="tx1"/>
                  </w14:solidFill>
                </w14:textFill>
              </w:rPr>
              <w:t>图纸比例</w:t>
            </w:r>
          </w:p>
        </w:tc>
      </w:tr>
      <w:tr w14:paraId="79A94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 w:type="dxa"/>
            <w:vAlign w:val="center"/>
          </w:tcPr>
          <w:p w14:paraId="1BE9D1D0">
            <w:pPr>
              <w:spacing w:line="280" w:lineRule="exact"/>
              <w:jc w:val="center"/>
              <w:rPr>
                <w:color w:val="000000" w:themeColor="text1"/>
                <w:szCs w:val="28"/>
                <w14:textFill>
                  <w14:solidFill>
                    <w14:schemeClr w14:val="tx1"/>
                  </w14:solidFill>
                </w14:textFill>
              </w:rPr>
            </w:pPr>
            <w:r>
              <w:rPr>
                <w:color w:val="000000" w:themeColor="text1"/>
                <w:kern w:val="0"/>
                <w:sz w:val="18"/>
                <w:szCs w:val="18"/>
                <w14:textFill>
                  <w14:solidFill>
                    <w14:schemeClr w14:val="tx1"/>
                  </w14:solidFill>
                </w14:textFill>
              </w:rPr>
              <w:t>1</w:t>
            </w:r>
          </w:p>
        </w:tc>
        <w:tc>
          <w:tcPr>
            <w:tcW w:w="1447" w:type="dxa"/>
            <w:vAlign w:val="center"/>
          </w:tcPr>
          <w:p w14:paraId="7422D21B">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设计单位资质证书</w:t>
            </w:r>
          </w:p>
        </w:tc>
        <w:tc>
          <w:tcPr>
            <w:tcW w:w="6004" w:type="dxa"/>
            <w:vAlign w:val="center"/>
          </w:tcPr>
          <w:p w14:paraId="76E342D4">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A3及A3图幅以上</w:t>
            </w:r>
          </w:p>
        </w:tc>
        <w:tc>
          <w:tcPr>
            <w:tcW w:w="1474" w:type="dxa"/>
            <w:vAlign w:val="center"/>
          </w:tcPr>
          <w:p w14:paraId="0787A3F3">
            <w:pPr>
              <w:spacing w:line="280" w:lineRule="exact"/>
              <w:rPr>
                <w:color w:val="000000" w:themeColor="text1"/>
                <w:kern w:val="0"/>
                <w:sz w:val="18"/>
                <w:szCs w:val="18"/>
                <w14:textFill>
                  <w14:solidFill>
                    <w14:schemeClr w14:val="tx1"/>
                  </w14:solidFill>
                </w14:textFill>
              </w:rPr>
            </w:pPr>
          </w:p>
        </w:tc>
      </w:tr>
      <w:tr w14:paraId="674E6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 w:type="dxa"/>
            <w:vAlign w:val="center"/>
          </w:tcPr>
          <w:p w14:paraId="6E425782">
            <w:pPr>
              <w:spacing w:line="280" w:lineRule="exact"/>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2</w:t>
            </w:r>
          </w:p>
        </w:tc>
        <w:tc>
          <w:tcPr>
            <w:tcW w:w="1447" w:type="dxa"/>
            <w:vAlign w:val="center"/>
          </w:tcPr>
          <w:p w14:paraId="022417EE">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项目规划说明书</w:t>
            </w:r>
          </w:p>
        </w:tc>
        <w:tc>
          <w:tcPr>
            <w:tcW w:w="6004" w:type="dxa"/>
            <w:vAlign w:val="center"/>
          </w:tcPr>
          <w:p w14:paraId="3DB6C91F">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说明工程的规划设计依据；用地现状的条件分析；城市设计和导则的分析；规划原则和总体构思；用地布局；空间组织和景观特色要求；道路和绿地、消防系统规划；主要技术经济指标，一般包括：总用地面积、总建筑面积、各栋建筑面积、基地面积、绿地面积、容积率、建筑密度、绿地率、机动车停车位、非机</w:t>
            </w:r>
            <w:r>
              <w:rPr>
                <w:color w:val="000000" w:themeColor="text1"/>
                <w:spacing w:val="-6"/>
                <w:kern w:val="0"/>
                <w:sz w:val="18"/>
                <w:szCs w:val="18"/>
                <w14:textFill>
                  <w14:solidFill>
                    <w14:schemeClr w14:val="tx1"/>
                  </w14:solidFill>
                </w14:textFill>
              </w:rPr>
              <w:t>动车停车位、各种配套设施数量及面积、居住的总户数、建筑层数、高度等。</w:t>
            </w:r>
          </w:p>
        </w:tc>
        <w:tc>
          <w:tcPr>
            <w:tcW w:w="1474" w:type="dxa"/>
            <w:vAlign w:val="center"/>
          </w:tcPr>
          <w:p w14:paraId="284E84EE">
            <w:pPr>
              <w:spacing w:line="280" w:lineRule="exact"/>
              <w:rPr>
                <w:color w:val="000000" w:themeColor="text1"/>
                <w:kern w:val="0"/>
                <w:sz w:val="18"/>
                <w:szCs w:val="18"/>
                <w14:textFill>
                  <w14:solidFill>
                    <w14:schemeClr w14:val="tx1"/>
                  </w14:solidFill>
                </w14:textFill>
              </w:rPr>
            </w:pPr>
          </w:p>
        </w:tc>
      </w:tr>
      <w:tr w14:paraId="5CDE6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 w:type="dxa"/>
            <w:vAlign w:val="center"/>
          </w:tcPr>
          <w:p w14:paraId="44E07C62">
            <w:pPr>
              <w:spacing w:line="280" w:lineRule="exact"/>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3</w:t>
            </w:r>
          </w:p>
        </w:tc>
        <w:tc>
          <w:tcPr>
            <w:tcW w:w="1447" w:type="dxa"/>
            <w:vAlign w:val="center"/>
          </w:tcPr>
          <w:p w14:paraId="73108EC5">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建设用地红线图</w:t>
            </w:r>
            <w:r>
              <w:rPr>
                <w:rFonts w:hint="eastAsia"/>
                <w:color w:val="000000" w:themeColor="text1"/>
                <w:kern w:val="0"/>
                <w:sz w:val="18"/>
                <w:szCs w:val="18"/>
                <w14:textFill>
                  <w14:solidFill>
                    <w14:schemeClr w14:val="tx1"/>
                  </w14:solidFill>
                </w14:textFill>
              </w:rPr>
              <w:t>（</w:t>
            </w:r>
            <w:r>
              <w:rPr>
                <w:color w:val="000000" w:themeColor="text1"/>
                <w:kern w:val="0"/>
                <w:sz w:val="18"/>
                <w:szCs w:val="18"/>
                <w14:textFill>
                  <w14:solidFill>
                    <w14:schemeClr w14:val="tx1"/>
                  </w14:solidFill>
                </w14:textFill>
              </w:rPr>
              <w:t>蓝图</w:t>
            </w:r>
            <w:r>
              <w:rPr>
                <w:rFonts w:hint="eastAsia"/>
                <w:color w:val="000000" w:themeColor="text1"/>
                <w:kern w:val="0"/>
                <w:sz w:val="18"/>
                <w:szCs w:val="18"/>
                <w14:textFill>
                  <w14:solidFill>
                    <w14:schemeClr w14:val="tx1"/>
                  </w14:solidFill>
                </w14:textFill>
              </w:rPr>
              <w:t>）</w:t>
            </w:r>
          </w:p>
        </w:tc>
        <w:tc>
          <w:tcPr>
            <w:tcW w:w="6004" w:type="dxa"/>
            <w:vAlign w:val="center"/>
          </w:tcPr>
          <w:p w14:paraId="5D420D3B">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标明自然地形地貌、道路、绿化、工程管线及各类用地内建筑的范围、性质、层数、质量等，并标明用地红线图、道路红线、河道蓝线、绿地绿线及其他市政设施控制线。</w:t>
            </w:r>
          </w:p>
        </w:tc>
        <w:tc>
          <w:tcPr>
            <w:tcW w:w="1474" w:type="dxa"/>
            <w:vAlign w:val="center"/>
          </w:tcPr>
          <w:p w14:paraId="4A027F67">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1:500，可不附</w:t>
            </w:r>
          </w:p>
        </w:tc>
      </w:tr>
      <w:tr w14:paraId="6FA1F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 w:type="dxa"/>
            <w:vAlign w:val="center"/>
          </w:tcPr>
          <w:p w14:paraId="5BFA5100">
            <w:pPr>
              <w:spacing w:line="280" w:lineRule="exact"/>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4</w:t>
            </w:r>
          </w:p>
        </w:tc>
        <w:tc>
          <w:tcPr>
            <w:tcW w:w="1447" w:type="dxa"/>
            <w:vAlign w:val="center"/>
          </w:tcPr>
          <w:p w14:paraId="2D025826">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规划总平面图（应画在用地现状红线图上）</w:t>
            </w:r>
          </w:p>
        </w:tc>
        <w:tc>
          <w:tcPr>
            <w:tcW w:w="6004" w:type="dxa"/>
            <w:vAlign w:val="center"/>
          </w:tcPr>
          <w:p w14:paraId="4DFC79E7">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标明项目用地界线、建筑红线及后退距离、用地界线各拐点坐标、道路红线、规划建筑、绿地、道路广场、停车场、河湖水面的位置和范围，确定主要入口方向，项目用地内道路宽度、地下室范围及后退用地红线和道路红线距离、地下室坡道出入口宽度等，以及公用市政配套设施如：垃圾收集点、化粪池、变配电间（所）等的位置。</w:t>
            </w:r>
          </w:p>
        </w:tc>
        <w:tc>
          <w:tcPr>
            <w:tcW w:w="1474" w:type="dxa"/>
            <w:vAlign w:val="center"/>
          </w:tcPr>
          <w:p w14:paraId="69DD736C">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1:500</w:t>
            </w:r>
          </w:p>
        </w:tc>
      </w:tr>
      <w:tr w14:paraId="5469B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 w:type="dxa"/>
            <w:vAlign w:val="center"/>
          </w:tcPr>
          <w:p w14:paraId="3332FB77">
            <w:pPr>
              <w:spacing w:line="280" w:lineRule="exact"/>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5</w:t>
            </w:r>
          </w:p>
        </w:tc>
        <w:tc>
          <w:tcPr>
            <w:tcW w:w="1447" w:type="dxa"/>
            <w:vAlign w:val="center"/>
          </w:tcPr>
          <w:p w14:paraId="45E5CD96">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重要地段的空间分析、城市设计分析图</w:t>
            </w:r>
          </w:p>
        </w:tc>
        <w:tc>
          <w:tcPr>
            <w:tcW w:w="6004" w:type="dxa"/>
            <w:vAlign w:val="center"/>
          </w:tcPr>
          <w:p w14:paraId="1C0CC6AA">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表达设计意图，反映空间环境，视线分析，景观效果。</w:t>
            </w:r>
          </w:p>
        </w:tc>
        <w:tc>
          <w:tcPr>
            <w:tcW w:w="1474" w:type="dxa"/>
            <w:vAlign w:val="center"/>
          </w:tcPr>
          <w:p w14:paraId="312E3310">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1:200以上</w:t>
            </w:r>
          </w:p>
        </w:tc>
      </w:tr>
      <w:tr w14:paraId="25F3F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 w:type="dxa"/>
            <w:vAlign w:val="center"/>
          </w:tcPr>
          <w:p w14:paraId="765EC436">
            <w:pPr>
              <w:spacing w:line="280" w:lineRule="exact"/>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6</w:t>
            </w:r>
          </w:p>
        </w:tc>
        <w:tc>
          <w:tcPr>
            <w:tcW w:w="1447" w:type="dxa"/>
            <w:vAlign w:val="center"/>
          </w:tcPr>
          <w:p w14:paraId="2C9A4441">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道路交通图</w:t>
            </w:r>
          </w:p>
        </w:tc>
        <w:tc>
          <w:tcPr>
            <w:tcW w:w="6004" w:type="dxa"/>
            <w:vAlign w:val="center"/>
          </w:tcPr>
          <w:p w14:paraId="3539362C">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标明道路的红线位置、横断面、道路交叉点坐标、标高，出入口位置、停车场用地界线、道路交叉点、变坡点控制高程、室外地面规划标高。</w:t>
            </w:r>
          </w:p>
        </w:tc>
        <w:tc>
          <w:tcPr>
            <w:tcW w:w="1474" w:type="dxa"/>
            <w:vAlign w:val="center"/>
          </w:tcPr>
          <w:p w14:paraId="6EE0178A">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1:500，可不附</w:t>
            </w:r>
          </w:p>
        </w:tc>
      </w:tr>
      <w:tr w14:paraId="7529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 w:type="dxa"/>
            <w:vAlign w:val="center"/>
          </w:tcPr>
          <w:p w14:paraId="1B315B5C">
            <w:pPr>
              <w:spacing w:line="280" w:lineRule="exact"/>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7</w:t>
            </w:r>
          </w:p>
        </w:tc>
        <w:tc>
          <w:tcPr>
            <w:tcW w:w="1447" w:type="dxa"/>
            <w:vAlign w:val="center"/>
          </w:tcPr>
          <w:p w14:paraId="4F8A877A">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单项或综合工程管网规划图</w:t>
            </w:r>
          </w:p>
        </w:tc>
        <w:tc>
          <w:tcPr>
            <w:tcW w:w="6004" w:type="dxa"/>
            <w:vAlign w:val="center"/>
          </w:tcPr>
          <w:p w14:paraId="107C2FDC">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标明各类市政公用设施管线的平面位置，管径、主要控制点标高，以及有关设施和构筑物位置。</w:t>
            </w:r>
          </w:p>
        </w:tc>
        <w:tc>
          <w:tcPr>
            <w:tcW w:w="1474" w:type="dxa"/>
            <w:vAlign w:val="center"/>
          </w:tcPr>
          <w:p w14:paraId="0744CAEA">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1:500，可不附</w:t>
            </w:r>
          </w:p>
        </w:tc>
      </w:tr>
      <w:tr w14:paraId="39C3D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 w:type="dxa"/>
            <w:vAlign w:val="center"/>
          </w:tcPr>
          <w:p w14:paraId="47686CB3">
            <w:pPr>
              <w:spacing w:line="280" w:lineRule="exact"/>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8</w:t>
            </w:r>
          </w:p>
        </w:tc>
        <w:tc>
          <w:tcPr>
            <w:tcW w:w="1447" w:type="dxa"/>
            <w:vAlign w:val="center"/>
          </w:tcPr>
          <w:p w14:paraId="0C1EF575">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建筑单体平、立、剖面图（蓝图）</w:t>
            </w:r>
          </w:p>
        </w:tc>
        <w:tc>
          <w:tcPr>
            <w:tcW w:w="6004" w:type="dxa"/>
            <w:vAlign w:val="center"/>
          </w:tcPr>
          <w:p w14:paraId="1ABB4899">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A3及A3图幅以上</w:t>
            </w:r>
          </w:p>
        </w:tc>
        <w:tc>
          <w:tcPr>
            <w:tcW w:w="1474" w:type="dxa"/>
            <w:vAlign w:val="center"/>
          </w:tcPr>
          <w:p w14:paraId="1DDCC6D0">
            <w:pPr>
              <w:spacing w:line="280" w:lineRule="exact"/>
              <w:rPr>
                <w:color w:val="000000" w:themeColor="text1"/>
                <w:kern w:val="0"/>
                <w:sz w:val="18"/>
                <w:szCs w:val="18"/>
                <w14:textFill>
                  <w14:solidFill>
                    <w14:schemeClr w14:val="tx1"/>
                  </w14:solidFill>
                </w14:textFill>
              </w:rPr>
            </w:pPr>
          </w:p>
        </w:tc>
      </w:tr>
      <w:tr w14:paraId="761E3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 w:type="dxa"/>
            <w:vAlign w:val="center"/>
          </w:tcPr>
          <w:p w14:paraId="298F13EF">
            <w:pPr>
              <w:spacing w:line="280" w:lineRule="exact"/>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9</w:t>
            </w:r>
          </w:p>
        </w:tc>
        <w:tc>
          <w:tcPr>
            <w:tcW w:w="1447" w:type="dxa"/>
            <w:vAlign w:val="center"/>
          </w:tcPr>
          <w:p w14:paraId="70FC7ACF">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临主要街道立面图、透视图（彩图）</w:t>
            </w:r>
          </w:p>
        </w:tc>
        <w:tc>
          <w:tcPr>
            <w:tcW w:w="6004" w:type="dxa"/>
            <w:vAlign w:val="center"/>
          </w:tcPr>
          <w:p w14:paraId="21003FE0">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标明外墙色彩、材质，A3及A3图幅以上。</w:t>
            </w:r>
          </w:p>
        </w:tc>
        <w:tc>
          <w:tcPr>
            <w:tcW w:w="1474" w:type="dxa"/>
            <w:vAlign w:val="center"/>
          </w:tcPr>
          <w:p w14:paraId="219F44C6">
            <w:pPr>
              <w:spacing w:line="280" w:lineRule="exact"/>
              <w:rPr>
                <w:color w:val="000000" w:themeColor="text1"/>
                <w:kern w:val="0"/>
                <w:sz w:val="18"/>
                <w:szCs w:val="18"/>
                <w14:textFill>
                  <w14:solidFill>
                    <w14:schemeClr w14:val="tx1"/>
                  </w14:solidFill>
                </w14:textFill>
              </w:rPr>
            </w:pPr>
          </w:p>
        </w:tc>
      </w:tr>
      <w:tr w14:paraId="4BA24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 w:type="dxa"/>
            <w:vAlign w:val="center"/>
          </w:tcPr>
          <w:p w14:paraId="000872D7">
            <w:pPr>
              <w:spacing w:line="280" w:lineRule="exact"/>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10</w:t>
            </w:r>
          </w:p>
        </w:tc>
        <w:tc>
          <w:tcPr>
            <w:tcW w:w="1447" w:type="dxa"/>
            <w:vAlign w:val="center"/>
          </w:tcPr>
          <w:p w14:paraId="5F2A4133">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夜景亮化图</w:t>
            </w:r>
          </w:p>
        </w:tc>
        <w:tc>
          <w:tcPr>
            <w:tcW w:w="6004" w:type="dxa"/>
            <w:vAlign w:val="center"/>
          </w:tcPr>
          <w:p w14:paraId="731429FA">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A3及A3图幅以上</w:t>
            </w:r>
          </w:p>
        </w:tc>
        <w:tc>
          <w:tcPr>
            <w:tcW w:w="1474" w:type="dxa"/>
            <w:vAlign w:val="center"/>
          </w:tcPr>
          <w:p w14:paraId="679B4B3D">
            <w:pPr>
              <w:spacing w:line="280" w:lineRule="exact"/>
              <w:rPr>
                <w:color w:val="000000" w:themeColor="text1"/>
                <w:kern w:val="0"/>
                <w:sz w:val="18"/>
                <w:szCs w:val="18"/>
                <w14:textFill>
                  <w14:solidFill>
                    <w14:schemeClr w14:val="tx1"/>
                  </w14:solidFill>
                </w14:textFill>
              </w:rPr>
            </w:pPr>
          </w:p>
        </w:tc>
      </w:tr>
      <w:tr w14:paraId="32200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 w:type="dxa"/>
            <w:vAlign w:val="center"/>
          </w:tcPr>
          <w:p w14:paraId="2AA073F3">
            <w:pPr>
              <w:spacing w:line="280" w:lineRule="exact"/>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11</w:t>
            </w:r>
          </w:p>
        </w:tc>
        <w:tc>
          <w:tcPr>
            <w:tcW w:w="1447" w:type="dxa"/>
            <w:vAlign w:val="center"/>
          </w:tcPr>
          <w:p w14:paraId="688CF430">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消防布局图</w:t>
            </w:r>
          </w:p>
        </w:tc>
        <w:tc>
          <w:tcPr>
            <w:tcW w:w="6004" w:type="dxa"/>
            <w:vAlign w:val="center"/>
          </w:tcPr>
          <w:p w14:paraId="0280B726">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A3及A3图幅以上</w:t>
            </w:r>
          </w:p>
        </w:tc>
        <w:tc>
          <w:tcPr>
            <w:tcW w:w="1474" w:type="dxa"/>
            <w:vAlign w:val="center"/>
          </w:tcPr>
          <w:p w14:paraId="1EFEDAE3">
            <w:pPr>
              <w:spacing w:line="280" w:lineRule="exact"/>
              <w:rPr>
                <w:color w:val="000000" w:themeColor="text1"/>
                <w:kern w:val="0"/>
                <w:sz w:val="18"/>
                <w:szCs w:val="18"/>
                <w14:textFill>
                  <w14:solidFill>
                    <w14:schemeClr w14:val="tx1"/>
                  </w14:solidFill>
                </w14:textFill>
              </w:rPr>
            </w:pPr>
          </w:p>
        </w:tc>
      </w:tr>
      <w:tr w14:paraId="0365A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 w:type="dxa"/>
            <w:vAlign w:val="center"/>
          </w:tcPr>
          <w:p w14:paraId="11721C49">
            <w:pPr>
              <w:spacing w:line="280" w:lineRule="exact"/>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12</w:t>
            </w:r>
          </w:p>
        </w:tc>
        <w:tc>
          <w:tcPr>
            <w:tcW w:w="1447" w:type="dxa"/>
            <w:vAlign w:val="center"/>
          </w:tcPr>
          <w:p w14:paraId="61B3C6B4">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配套设施布局图</w:t>
            </w:r>
          </w:p>
        </w:tc>
        <w:tc>
          <w:tcPr>
            <w:tcW w:w="6004" w:type="dxa"/>
            <w:vAlign w:val="center"/>
          </w:tcPr>
          <w:p w14:paraId="48DACB58">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A3及A3图幅以上</w:t>
            </w:r>
          </w:p>
        </w:tc>
        <w:tc>
          <w:tcPr>
            <w:tcW w:w="1474" w:type="dxa"/>
            <w:vAlign w:val="center"/>
          </w:tcPr>
          <w:p w14:paraId="0CB7D4A6">
            <w:pPr>
              <w:spacing w:line="280" w:lineRule="exact"/>
              <w:rPr>
                <w:color w:val="000000" w:themeColor="text1"/>
                <w:kern w:val="0"/>
                <w:sz w:val="18"/>
                <w:szCs w:val="18"/>
                <w14:textFill>
                  <w14:solidFill>
                    <w14:schemeClr w14:val="tx1"/>
                  </w14:solidFill>
                </w14:textFill>
              </w:rPr>
            </w:pPr>
          </w:p>
        </w:tc>
      </w:tr>
      <w:tr w14:paraId="57D44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 w:type="dxa"/>
            <w:vAlign w:val="center"/>
          </w:tcPr>
          <w:p w14:paraId="6E486520">
            <w:pPr>
              <w:spacing w:line="280" w:lineRule="exact"/>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13</w:t>
            </w:r>
          </w:p>
        </w:tc>
        <w:tc>
          <w:tcPr>
            <w:tcW w:w="1447" w:type="dxa"/>
            <w:vAlign w:val="center"/>
          </w:tcPr>
          <w:p w14:paraId="6A5C5FAE">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坡屋顶、屋顶构架大样图</w:t>
            </w:r>
          </w:p>
        </w:tc>
        <w:tc>
          <w:tcPr>
            <w:tcW w:w="6004" w:type="dxa"/>
            <w:vAlign w:val="center"/>
          </w:tcPr>
          <w:p w14:paraId="74CF7524">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A3及A3图幅以上</w:t>
            </w:r>
          </w:p>
        </w:tc>
        <w:tc>
          <w:tcPr>
            <w:tcW w:w="1474" w:type="dxa"/>
            <w:vAlign w:val="center"/>
          </w:tcPr>
          <w:p w14:paraId="55CDEB99">
            <w:pPr>
              <w:spacing w:line="280" w:lineRule="exact"/>
              <w:rPr>
                <w:color w:val="000000" w:themeColor="text1"/>
                <w:kern w:val="0"/>
                <w:sz w:val="18"/>
                <w:szCs w:val="18"/>
                <w14:textFill>
                  <w14:solidFill>
                    <w14:schemeClr w14:val="tx1"/>
                  </w14:solidFill>
                </w14:textFill>
              </w:rPr>
            </w:pPr>
          </w:p>
        </w:tc>
      </w:tr>
      <w:tr w14:paraId="0EFED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7" w:type="dxa"/>
            <w:vAlign w:val="center"/>
          </w:tcPr>
          <w:p w14:paraId="04C6A163">
            <w:pPr>
              <w:spacing w:line="280" w:lineRule="exact"/>
              <w:jc w:val="center"/>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14</w:t>
            </w:r>
          </w:p>
        </w:tc>
        <w:tc>
          <w:tcPr>
            <w:tcW w:w="1447" w:type="dxa"/>
            <w:vAlign w:val="center"/>
          </w:tcPr>
          <w:p w14:paraId="532A0D2F">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项目公告牌大样图</w:t>
            </w:r>
          </w:p>
        </w:tc>
        <w:tc>
          <w:tcPr>
            <w:tcW w:w="6004" w:type="dxa"/>
            <w:vAlign w:val="center"/>
          </w:tcPr>
          <w:p w14:paraId="0F48A316">
            <w:pPr>
              <w:spacing w:line="280" w:lineRule="exac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A3及A3图幅以上</w:t>
            </w:r>
          </w:p>
        </w:tc>
        <w:tc>
          <w:tcPr>
            <w:tcW w:w="1474" w:type="dxa"/>
            <w:vAlign w:val="center"/>
          </w:tcPr>
          <w:p w14:paraId="70A542C1">
            <w:pPr>
              <w:spacing w:line="280" w:lineRule="exact"/>
              <w:rPr>
                <w:color w:val="000000" w:themeColor="text1"/>
                <w:kern w:val="0"/>
                <w:sz w:val="18"/>
                <w:szCs w:val="18"/>
                <w14:textFill>
                  <w14:solidFill>
                    <w14:schemeClr w14:val="tx1"/>
                  </w14:solidFill>
                </w14:textFill>
              </w:rPr>
            </w:pPr>
          </w:p>
        </w:tc>
      </w:tr>
    </w:tbl>
    <w:p w14:paraId="6166BF4F">
      <w:pPr>
        <w:spacing w:line="440" w:lineRule="exact"/>
        <w:rPr>
          <w:rFonts w:eastAsia="黑体"/>
          <w:color w:val="000000" w:themeColor="text1"/>
          <w:sz w:val="28"/>
          <w:szCs w:val="28"/>
          <w14:textFill>
            <w14:solidFill>
              <w14:schemeClr w14:val="tx1"/>
            </w14:solidFill>
          </w14:textFill>
        </w:rPr>
      </w:pPr>
      <w:r>
        <w:rPr>
          <w:rFonts w:eastAsia="方正小标宋简体"/>
          <w:color w:val="000000" w:themeColor="text1"/>
          <w:sz w:val="40"/>
          <w:szCs w:val="36"/>
          <w14:textFill>
            <w14:solidFill>
              <w14:schemeClr w14:val="tx1"/>
            </w14:solidFill>
          </w14:textFill>
        </w:rPr>
        <w:br w:type="page"/>
      </w:r>
      <w:r>
        <w:rPr>
          <w:rFonts w:eastAsia="黑体"/>
          <w:color w:val="000000" w:themeColor="text1"/>
          <w:sz w:val="28"/>
          <w:szCs w:val="28"/>
          <w14:textFill>
            <w14:solidFill>
              <w14:schemeClr w14:val="tx1"/>
            </w14:solidFill>
          </w14:textFill>
        </w:rPr>
        <w:t>附录2</w:t>
      </w:r>
    </w:p>
    <w:p w14:paraId="3DC62CF0">
      <w:pPr>
        <w:spacing w:line="440" w:lineRule="exact"/>
        <w:jc w:val="center"/>
        <w:rPr>
          <w:rFonts w:eastAsia="方正小标宋简体"/>
          <w:color w:val="000000" w:themeColor="text1"/>
          <w:sz w:val="40"/>
          <w:szCs w:val="36"/>
          <w14:textFill>
            <w14:solidFill>
              <w14:schemeClr w14:val="tx1"/>
            </w14:solidFill>
          </w14:textFill>
        </w:rPr>
      </w:pPr>
      <w:r>
        <w:rPr>
          <w:rFonts w:eastAsia="方正小标宋简体"/>
          <w:color w:val="000000" w:themeColor="text1"/>
          <w:sz w:val="40"/>
          <w:szCs w:val="36"/>
          <w14:textFill>
            <w14:solidFill>
              <w14:schemeClr w14:val="tx1"/>
            </w14:solidFill>
          </w14:textFill>
        </w:rPr>
        <w:t>综合技术指标表</w:t>
      </w:r>
    </w:p>
    <w:tbl>
      <w:tblPr>
        <w:tblStyle w:val="14"/>
        <w:tblW w:w="0" w:type="auto"/>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0"/>
        <w:gridCol w:w="2156"/>
      </w:tblGrid>
      <w:tr w14:paraId="5FFAF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9236" w:type="dxa"/>
            <w:gridSpan w:val="2"/>
          </w:tcPr>
          <w:p w14:paraId="76B6DAF6">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设计依据（提示：需注明设计委托单位、依据什么时间出具的规划设计条件、规划管理技术规定版本、用地红线图）</w:t>
            </w:r>
          </w:p>
        </w:tc>
      </w:tr>
      <w:tr w14:paraId="354BF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3B1BA209">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一、总规划用地面积：</w:t>
            </w:r>
          </w:p>
        </w:tc>
        <w:tc>
          <w:tcPr>
            <w:tcW w:w="2156" w:type="dxa"/>
          </w:tcPr>
          <w:p w14:paraId="2E23FA74">
            <w:pPr>
              <w:spacing w:line="280" w:lineRule="exact"/>
              <w:ind w:firstLine="990" w:firstLineChars="550"/>
              <w:rPr>
                <w:color w:val="000000" w:themeColor="text1"/>
                <w:sz w:val="18"/>
                <w:szCs w:val="18"/>
                <w14:textFill>
                  <w14:solidFill>
                    <w14:schemeClr w14:val="tx1"/>
                  </w14:solidFill>
                </w14:textFill>
              </w:rPr>
            </w:pPr>
            <w:r>
              <w:rPr>
                <w:rFonts w:eastAsia="宋体"/>
                <w:color w:val="000000" w:themeColor="text1"/>
                <w:sz w:val="18"/>
                <w:szCs w:val="18"/>
                <w14:textFill>
                  <w14:solidFill>
                    <w14:schemeClr w14:val="tx1"/>
                  </w14:solidFill>
                </w14:textFill>
              </w:rPr>
              <w:t>㎡</w:t>
            </w:r>
          </w:p>
        </w:tc>
      </w:tr>
      <w:tr w14:paraId="2C17C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3F378515">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二、规划总建筑面积：</w:t>
            </w:r>
          </w:p>
        </w:tc>
        <w:tc>
          <w:tcPr>
            <w:tcW w:w="2156" w:type="dxa"/>
          </w:tcPr>
          <w:p w14:paraId="4FF95AA8">
            <w:pPr>
              <w:spacing w:line="280" w:lineRule="exact"/>
              <w:rPr>
                <w:color w:val="000000" w:themeColor="text1"/>
                <w:sz w:val="18"/>
                <w:szCs w:val="18"/>
                <w14:textFill>
                  <w14:solidFill>
                    <w14:schemeClr w14:val="tx1"/>
                  </w14:solidFill>
                </w14:textFill>
              </w:rPr>
            </w:pPr>
          </w:p>
        </w:tc>
      </w:tr>
      <w:tr w14:paraId="4AB1B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27ED9439">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（一）地上计入容积率的建筑面积：</w:t>
            </w:r>
          </w:p>
        </w:tc>
        <w:tc>
          <w:tcPr>
            <w:tcW w:w="2156" w:type="dxa"/>
          </w:tcPr>
          <w:p w14:paraId="605C2985">
            <w:pPr>
              <w:spacing w:line="280" w:lineRule="exact"/>
              <w:rPr>
                <w:color w:val="000000" w:themeColor="text1"/>
                <w:sz w:val="18"/>
                <w:szCs w:val="18"/>
                <w14:textFill>
                  <w14:solidFill>
                    <w14:schemeClr w14:val="tx1"/>
                  </w14:solidFill>
                </w14:textFill>
              </w:rPr>
            </w:pPr>
          </w:p>
        </w:tc>
      </w:tr>
      <w:tr w14:paraId="2D8CA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1E271F60">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w:t>
            </w: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住宅建筑面积：</w:t>
            </w:r>
          </w:p>
        </w:tc>
        <w:tc>
          <w:tcPr>
            <w:tcW w:w="2156" w:type="dxa"/>
          </w:tcPr>
          <w:p w14:paraId="5DEB78F8">
            <w:pPr>
              <w:spacing w:line="280" w:lineRule="exact"/>
              <w:rPr>
                <w:color w:val="000000" w:themeColor="text1"/>
                <w:sz w:val="18"/>
                <w:szCs w:val="18"/>
                <w14:textFill>
                  <w14:solidFill>
                    <w14:schemeClr w14:val="tx1"/>
                  </w14:solidFill>
                </w14:textFill>
              </w:rPr>
            </w:pPr>
          </w:p>
        </w:tc>
      </w:tr>
      <w:tr w14:paraId="33CE7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08CDB467">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2</w:t>
            </w: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非住宅建筑面积：</w:t>
            </w:r>
          </w:p>
        </w:tc>
        <w:tc>
          <w:tcPr>
            <w:tcW w:w="2156" w:type="dxa"/>
          </w:tcPr>
          <w:p w14:paraId="568E7FED">
            <w:pPr>
              <w:spacing w:line="280" w:lineRule="exact"/>
              <w:rPr>
                <w:color w:val="000000" w:themeColor="text1"/>
                <w:sz w:val="18"/>
                <w:szCs w:val="18"/>
                <w14:textFill>
                  <w14:solidFill>
                    <w14:schemeClr w14:val="tx1"/>
                  </w14:solidFill>
                </w14:textFill>
              </w:rPr>
            </w:pPr>
          </w:p>
        </w:tc>
      </w:tr>
      <w:tr w14:paraId="01A85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139A0FD9">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（1）商业用房建筑面积：</w:t>
            </w:r>
          </w:p>
        </w:tc>
        <w:tc>
          <w:tcPr>
            <w:tcW w:w="2156" w:type="dxa"/>
          </w:tcPr>
          <w:p w14:paraId="185EA338">
            <w:pPr>
              <w:spacing w:line="280" w:lineRule="exact"/>
              <w:rPr>
                <w:color w:val="000000" w:themeColor="text1"/>
                <w:sz w:val="18"/>
                <w:szCs w:val="18"/>
                <w14:textFill>
                  <w14:solidFill>
                    <w14:schemeClr w14:val="tx1"/>
                  </w14:solidFill>
                </w14:textFill>
              </w:rPr>
            </w:pPr>
          </w:p>
        </w:tc>
      </w:tr>
      <w:tr w14:paraId="4A102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31DEB4B6">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（2）配套设施建筑面积：</w:t>
            </w:r>
          </w:p>
        </w:tc>
        <w:tc>
          <w:tcPr>
            <w:tcW w:w="2156" w:type="dxa"/>
          </w:tcPr>
          <w:p w14:paraId="47C7763F">
            <w:pPr>
              <w:spacing w:line="280" w:lineRule="exact"/>
              <w:rPr>
                <w:color w:val="000000" w:themeColor="text1"/>
                <w:sz w:val="18"/>
                <w:szCs w:val="18"/>
                <w14:textFill>
                  <w14:solidFill>
                    <w14:schemeClr w14:val="tx1"/>
                  </w14:solidFill>
                </w14:textFill>
              </w:rPr>
            </w:pPr>
          </w:p>
        </w:tc>
      </w:tr>
      <w:tr w14:paraId="25D9F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6815936E">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A</w:t>
            </w: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物管用房建筑面积：</w:t>
            </w:r>
          </w:p>
        </w:tc>
        <w:tc>
          <w:tcPr>
            <w:tcW w:w="2156" w:type="dxa"/>
          </w:tcPr>
          <w:p w14:paraId="1EC5D06F">
            <w:pPr>
              <w:spacing w:line="280" w:lineRule="exact"/>
              <w:rPr>
                <w:color w:val="000000" w:themeColor="text1"/>
                <w:sz w:val="18"/>
                <w:szCs w:val="18"/>
                <w14:textFill>
                  <w14:solidFill>
                    <w14:schemeClr w14:val="tx1"/>
                  </w14:solidFill>
                </w14:textFill>
              </w:rPr>
            </w:pPr>
          </w:p>
        </w:tc>
      </w:tr>
      <w:tr w14:paraId="4F765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357C8230">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B</w:t>
            </w: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治安管理用房建筑面积：</w:t>
            </w:r>
          </w:p>
        </w:tc>
        <w:tc>
          <w:tcPr>
            <w:tcW w:w="2156" w:type="dxa"/>
          </w:tcPr>
          <w:p w14:paraId="049B28BC">
            <w:pPr>
              <w:spacing w:line="280" w:lineRule="exact"/>
              <w:rPr>
                <w:color w:val="000000" w:themeColor="text1"/>
                <w:sz w:val="18"/>
                <w:szCs w:val="18"/>
                <w14:textFill>
                  <w14:solidFill>
                    <w14:schemeClr w14:val="tx1"/>
                  </w14:solidFill>
                </w14:textFill>
              </w:rPr>
            </w:pPr>
          </w:p>
        </w:tc>
      </w:tr>
      <w:tr w14:paraId="72F6E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0A10C448">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C</w:t>
            </w: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小区对内公厕建筑面积：</w:t>
            </w:r>
          </w:p>
        </w:tc>
        <w:tc>
          <w:tcPr>
            <w:tcW w:w="2156" w:type="dxa"/>
          </w:tcPr>
          <w:p w14:paraId="4046B0BC">
            <w:pPr>
              <w:spacing w:line="280" w:lineRule="exact"/>
              <w:rPr>
                <w:color w:val="000000" w:themeColor="text1"/>
                <w:sz w:val="18"/>
                <w:szCs w:val="18"/>
                <w14:textFill>
                  <w14:solidFill>
                    <w14:schemeClr w14:val="tx1"/>
                  </w14:solidFill>
                </w14:textFill>
              </w:rPr>
            </w:pPr>
          </w:p>
        </w:tc>
      </w:tr>
      <w:tr w14:paraId="713C4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050BA863">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D</w:t>
            </w: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规划要求的其他配套用房（应注明具体配套设施功能）：</w:t>
            </w:r>
          </w:p>
        </w:tc>
        <w:tc>
          <w:tcPr>
            <w:tcW w:w="2156" w:type="dxa"/>
          </w:tcPr>
          <w:p w14:paraId="2B478168">
            <w:pPr>
              <w:spacing w:line="280" w:lineRule="exact"/>
              <w:rPr>
                <w:color w:val="000000" w:themeColor="text1"/>
                <w:sz w:val="18"/>
                <w:szCs w:val="18"/>
                <w14:textFill>
                  <w14:solidFill>
                    <w14:schemeClr w14:val="tx1"/>
                  </w14:solidFill>
                </w14:textFill>
              </w:rPr>
            </w:pPr>
          </w:p>
        </w:tc>
      </w:tr>
      <w:tr w14:paraId="35755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30D8A6FF">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（3）其他用房建筑面积：</w:t>
            </w:r>
          </w:p>
        </w:tc>
        <w:tc>
          <w:tcPr>
            <w:tcW w:w="2156" w:type="dxa"/>
          </w:tcPr>
          <w:p w14:paraId="028B4F7F">
            <w:pPr>
              <w:spacing w:line="280" w:lineRule="exact"/>
              <w:rPr>
                <w:color w:val="000000" w:themeColor="text1"/>
                <w:sz w:val="18"/>
                <w:szCs w:val="18"/>
                <w14:textFill>
                  <w14:solidFill>
                    <w14:schemeClr w14:val="tx1"/>
                  </w14:solidFill>
                </w14:textFill>
              </w:rPr>
            </w:pPr>
          </w:p>
        </w:tc>
      </w:tr>
      <w:tr w14:paraId="1929B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72051288">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（二）地上不计入容积率的建筑面积：</w:t>
            </w:r>
          </w:p>
        </w:tc>
        <w:tc>
          <w:tcPr>
            <w:tcW w:w="2156" w:type="dxa"/>
          </w:tcPr>
          <w:p w14:paraId="47A4D26F">
            <w:pPr>
              <w:spacing w:line="280" w:lineRule="exact"/>
              <w:rPr>
                <w:color w:val="000000" w:themeColor="text1"/>
                <w:sz w:val="18"/>
                <w:szCs w:val="18"/>
                <w14:textFill>
                  <w14:solidFill>
                    <w14:schemeClr w14:val="tx1"/>
                  </w14:solidFill>
                </w14:textFill>
              </w:rPr>
            </w:pPr>
          </w:p>
        </w:tc>
      </w:tr>
      <w:tr w14:paraId="2A761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713F9AF7">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w:t>
            </w: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社区综合服务用房建筑面积：</w:t>
            </w:r>
          </w:p>
        </w:tc>
        <w:tc>
          <w:tcPr>
            <w:tcW w:w="2156" w:type="dxa"/>
          </w:tcPr>
          <w:p w14:paraId="3028DB69">
            <w:pPr>
              <w:spacing w:line="280" w:lineRule="exact"/>
              <w:rPr>
                <w:color w:val="000000" w:themeColor="text1"/>
                <w:sz w:val="18"/>
                <w:szCs w:val="18"/>
                <w14:textFill>
                  <w14:solidFill>
                    <w14:schemeClr w14:val="tx1"/>
                  </w14:solidFill>
                </w14:textFill>
              </w:rPr>
            </w:pPr>
          </w:p>
        </w:tc>
      </w:tr>
      <w:tr w14:paraId="62FA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0E848B1B">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2</w:t>
            </w: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对外公厕建筑面积：</w:t>
            </w:r>
          </w:p>
        </w:tc>
        <w:tc>
          <w:tcPr>
            <w:tcW w:w="2156" w:type="dxa"/>
          </w:tcPr>
          <w:p w14:paraId="0DD94362">
            <w:pPr>
              <w:spacing w:line="280" w:lineRule="exact"/>
              <w:rPr>
                <w:color w:val="000000" w:themeColor="text1"/>
                <w:sz w:val="18"/>
                <w:szCs w:val="18"/>
                <w14:textFill>
                  <w14:solidFill>
                    <w14:schemeClr w14:val="tx1"/>
                  </w14:solidFill>
                </w14:textFill>
              </w:rPr>
            </w:pPr>
          </w:p>
        </w:tc>
      </w:tr>
      <w:tr w14:paraId="5F18B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488D79C1">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3</w:t>
            </w: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垃圾压缩站建筑面积：</w:t>
            </w:r>
          </w:p>
        </w:tc>
        <w:tc>
          <w:tcPr>
            <w:tcW w:w="2156" w:type="dxa"/>
          </w:tcPr>
          <w:p w14:paraId="7684C8D0">
            <w:pPr>
              <w:spacing w:line="280" w:lineRule="exact"/>
              <w:rPr>
                <w:color w:val="000000" w:themeColor="text1"/>
                <w:sz w:val="18"/>
                <w:szCs w:val="18"/>
                <w14:textFill>
                  <w14:solidFill>
                    <w14:schemeClr w14:val="tx1"/>
                  </w14:solidFill>
                </w14:textFill>
              </w:rPr>
            </w:pPr>
          </w:p>
        </w:tc>
      </w:tr>
      <w:tr w14:paraId="3AEB2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5300004C">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4</w:t>
            </w: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一层架空建筑面积：</w:t>
            </w:r>
          </w:p>
        </w:tc>
        <w:tc>
          <w:tcPr>
            <w:tcW w:w="2156" w:type="dxa"/>
          </w:tcPr>
          <w:p w14:paraId="421857C0">
            <w:pPr>
              <w:spacing w:line="280" w:lineRule="exact"/>
              <w:rPr>
                <w:color w:val="000000" w:themeColor="text1"/>
                <w:sz w:val="18"/>
                <w:szCs w:val="18"/>
                <w14:textFill>
                  <w14:solidFill>
                    <w14:schemeClr w14:val="tx1"/>
                  </w14:solidFill>
                </w14:textFill>
              </w:rPr>
            </w:pPr>
          </w:p>
        </w:tc>
      </w:tr>
      <w:tr w14:paraId="1D3F0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6A92E2CA">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5</w:t>
            </w: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外墙保温层建筑面积：</w:t>
            </w:r>
          </w:p>
        </w:tc>
        <w:tc>
          <w:tcPr>
            <w:tcW w:w="2156" w:type="dxa"/>
          </w:tcPr>
          <w:p w14:paraId="20133E05">
            <w:pPr>
              <w:spacing w:line="280" w:lineRule="exact"/>
              <w:rPr>
                <w:color w:val="000000" w:themeColor="text1"/>
                <w:sz w:val="18"/>
                <w:szCs w:val="18"/>
                <w14:textFill>
                  <w14:solidFill>
                    <w14:schemeClr w14:val="tx1"/>
                  </w14:solidFill>
                </w14:textFill>
              </w:rPr>
            </w:pPr>
          </w:p>
        </w:tc>
      </w:tr>
      <w:tr w14:paraId="4FE1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164D08A2">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6</w:t>
            </w: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养老服务设施建筑面积：</w:t>
            </w:r>
          </w:p>
        </w:tc>
        <w:tc>
          <w:tcPr>
            <w:tcW w:w="2156" w:type="dxa"/>
          </w:tcPr>
          <w:p w14:paraId="2450EEB1">
            <w:pPr>
              <w:spacing w:line="280" w:lineRule="exact"/>
              <w:rPr>
                <w:color w:val="000000" w:themeColor="text1"/>
                <w:sz w:val="18"/>
                <w:szCs w:val="18"/>
                <w14:textFill>
                  <w14:solidFill>
                    <w14:schemeClr w14:val="tx1"/>
                  </w14:solidFill>
                </w14:textFill>
              </w:rPr>
            </w:pPr>
          </w:p>
        </w:tc>
      </w:tr>
      <w:tr w14:paraId="6B97B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247C84CA">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（三）地下不计容建筑面积：</w:t>
            </w:r>
          </w:p>
        </w:tc>
        <w:tc>
          <w:tcPr>
            <w:tcW w:w="2156" w:type="dxa"/>
          </w:tcPr>
          <w:p w14:paraId="57FEF8B2">
            <w:pPr>
              <w:spacing w:line="280" w:lineRule="exact"/>
              <w:rPr>
                <w:color w:val="000000" w:themeColor="text1"/>
                <w:sz w:val="18"/>
                <w:szCs w:val="18"/>
                <w14:textFill>
                  <w14:solidFill>
                    <w14:schemeClr w14:val="tx1"/>
                  </w14:solidFill>
                </w14:textFill>
              </w:rPr>
            </w:pPr>
          </w:p>
        </w:tc>
      </w:tr>
      <w:tr w14:paraId="4987F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35744C55">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w:t>
            </w: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地下车库建筑面积：</w:t>
            </w:r>
          </w:p>
        </w:tc>
        <w:tc>
          <w:tcPr>
            <w:tcW w:w="2156" w:type="dxa"/>
          </w:tcPr>
          <w:p w14:paraId="49A13C02">
            <w:pPr>
              <w:spacing w:line="280" w:lineRule="exact"/>
              <w:rPr>
                <w:color w:val="000000" w:themeColor="text1"/>
                <w:sz w:val="18"/>
                <w:szCs w:val="18"/>
                <w14:textFill>
                  <w14:solidFill>
                    <w14:schemeClr w14:val="tx1"/>
                  </w14:solidFill>
                </w14:textFill>
              </w:rPr>
            </w:pPr>
          </w:p>
        </w:tc>
      </w:tr>
      <w:tr w14:paraId="413F1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013A81CA">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2</w:t>
            </w: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地下商业建筑面积：</w:t>
            </w:r>
          </w:p>
        </w:tc>
        <w:tc>
          <w:tcPr>
            <w:tcW w:w="2156" w:type="dxa"/>
          </w:tcPr>
          <w:p w14:paraId="3C91D256">
            <w:pPr>
              <w:spacing w:line="280" w:lineRule="exact"/>
              <w:rPr>
                <w:color w:val="000000" w:themeColor="text1"/>
                <w:sz w:val="18"/>
                <w:szCs w:val="18"/>
                <w14:textFill>
                  <w14:solidFill>
                    <w14:schemeClr w14:val="tx1"/>
                  </w14:solidFill>
                </w14:textFill>
              </w:rPr>
            </w:pPr>
          </w:p>
        </w:tc>
      </w:tr>
      <w:tr w14:paraId="3A7D2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2B6F7D36">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三、容积率：</w:t>
            </w:r>
          </w:p>
        </w:tc>
        <w:tc>
          <w:tcPr>
            <w:tcW w:w="2156" w:type="dxa"/>
          </w:tcPr>
          <w:p w14:paraId="6F235B94">
            <w:pPr>
              <w:spacing w:line="280" w:lineRule="exact"/>
              <w:rPr>
                <w:color w:val="000000" w:themeColor="text1"/>
                <w:sz w:val="18"/>
                <w:szCs w:val="18"/>
                <w14:textFill>
                  <w14:solidFill>
                    <w14:schemeClr w14:val="tx1"/>
                  </w14:solidFill>
                </w14:textFill>
              </w:rPr>
            </w:pPr>
          </w:p>
        </w:tc>
      </w:tr>
      <w:tr w14:paraId="68694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6ECA282B">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四、建筑基底面积：</w:t>
            </w:r>
          </w:p>
        </w:tc>
        <w:tc>
          <w:tcPr>
            <w:tcW w:w="2156" w:type="dxa"/>
          </w:tcPr>
          <w:p w14:paraId="5C73FACC">
            <w:pPr>
              <w:spacing w:line="280" w:lineRule="exact"/>
              <w:rPr>
                <w:color w:val="000000" w:themeColor="text1"/>
                <w:sz w:val="18"/>
                <w:szCs w:val="18"/>
                <w14:textFill>
                  <w14:solidFill>
                    <w14:schemeClr w14:val="tx1"/>
                  </w14:solidFill>
                </w14:textFill>
              </w:rPr>
            </w:pPr>
          </w:p>
        </w:tc>
      </w:tr>
      <w:tr w14:paraId="06921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2954DB1F">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五、建筑密度：</w:t>
            </w:r>
          </w:p>
        </w:tc>
        <w:tc>
          <w:tcPr>
            <w:tcW w:w="2156" w:type="dxa"/>
          </w:tcPr>
          <w:p w14:paraId="3767075C">
            <w:pPr>
              <w:spacing w:line="280" w:lineRule="exact"/>
              <w:rPr>
                <w:color w:val="000000" w:themeColor="text1"/>
                <w:sz w:val="18"/>
                <w:szCs w:val="18"/>
                <w14:textFill>
                  <w14:solidFill>
                    <w14:schemeClr w14:val="tx1"/>
                  </w14:solidFill>
                </w14:textFill>
              </w:rPr>
            </w:pPr>
          </w:p>
        </w:tc>
      </w:tr>
      <w:tr w14:paraId="3DD79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2DCC9721">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六、总绿地面积：</w:t>
            </w:r>
          </w:p>
        </w:tc>
        <w:tc>
          <w:tcPr>
            <w:tcW w:w="2156" w:type="dxa"/>
          </w:tcPr>
          <w:p w14:paraId="1CCE9FDD">
            <w:pPr>
              <w:spacing w:line="280" w:lineRule="exact"/>
              <w:rPr>
                <w:color w:val="000000" w:themeColor="text1"/>
                <w:sz w:val="18"/>
                <w:szCs w:val="18"/>
                <w14:textFill>
                  <w14:solidFill>
                    <w14:schemeClr w14:val="tx1"/>
                  </w14:solidFill>
                </w14:textFill>
              </w:rPr>
            </w:pPr>
          </w:p>
        </w:tc>
      </w:tr>
      <w:tr w14:paraId="063B9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7080" w:type="dxa"/>
          </w:tcPr>
          <w:p w14:paraId="11D79580">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七、绿地率：</w:t>
            </w:r>
          </w:p>
        </w:tc>
        <w:tc>
          <w:tcPr>
            <w:tcW w:w="2156" w:type="dxa"/>
          </w:tcPr>
          <w:p w14:paraId="168EFAE3">
            <w:pPr>
              <w:spacing w:line="280" w:lineRule="exact"/>
              <w:rPr>
                <w:color w:val="000000" w:themeColor="text1"/>
                <w:sz w:val="18"/>
                <w:szCs w:val="18"/>
                <w14:textFill>
                  <w14:solidFill>
                    <w14:schemeClr w14:val="tx1"/>
                  </w14:solidFill>
                </w14:textFill>
              </w:rPr>
            </w:pPr>
          </w:p>
        </w:tc>
      </w:tr>
      <w:tr w14:paraId="15AD7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7080" w:type="dxa"/>
          </w:tcPr>
          <w:p w14:paraId="3621C8F9">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八、机动车位：</w:t>
            </w:r>
          </w:p>
        </w:tc>
        <w:tc>
          <w:tcPr>
            <w:tcW w:w="2156" w:type="dxa"/>
          </w:tcPr>
          <w:p w14:paraId="4927C495">
            <w:pPr>
              <w:spacing w:line="280" w:lineRule="exact"/>
              <w:rPr>
                <w:color w:val="000000" w:themeColor="text1"/>
                <w:sz w:val="18"/>
                <w:szCs w:val="18"/>
                <w14:textFill>
                  <w14:solidFill>
                    <w14:schemeClr w14:val="tx1"/>
                  </w14:solidFill>
                </w14:textFill>
              </w:rPr>
            </w:pPr>
          </w:p>
        </w:tc>
      </w:tr>
      <w:tr w14:paraId="31F99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7080" w:type="dxa"/>
          </w:tcPr>
          <w:p w14:paraId="3AB9148E">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w:t>
            </w: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地上室外停车位：</w:t>
            </w:r>
          </w:p>
        </w:tc>
        <w:tc>
          <w:tcPr>
            <w:tcW w:w="2156" w:type="dxa"/>
          </w:tcPr>
          <w:p w14:paraId="695661FA">
            <w:pPr>
              <w:spacing w:line="280" w:lineRule="exact"/>
              <w:rPr>
                <w:color w:val="000000" w:themeColor="text1"/>
                <w:sz w:val="18"/>
                <w:szCs w:val="18"/>
                <w14:textFill>
                  <w14:solidFill>
                    <w14:schemeClr w14:val="tx1"/>
                  </w14:solidFill>
                </w14:textFill>
              </w:rPr>
            </w:pPr>
          </w:p>
        </w:tc>
      </w:tr>
      <w:tr w14:paraId="4DE54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7080" w:type="dxa"/>
          </w:tcPr>
          <w:p w14:paraId="5037A17C">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2</w:t>
            </w: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地下停车位：（提示：如有机械式停车位，应注明机械式停车位数量）</w:t>
            </w:r>
          </w:p>
        </w:tc>
        <w:tc>
          <w:tcPr>
            <w:tcW w:w="2156" w:type="dxa"/>
          </w:tcPr>
          <w:p w14:paraId="013AF568">
            <w:pPr>
              <w:spacing w:line="280" w:lineRule="exact"/>
              <w:rPr>
                <w:color w:val="000000" w:themeColor="text1"/>
                <w:sz w:val="18"/>
                <w:szCs w:val="18"/>
                <w14:textFill>
                  <w14:solidFill>
                    <w14:schemeClr w14:val="tx1"/>
                  </w14:solidFill>
                </w14:textFill>
              </w:rPr>
            </w:pPr>
          </w:p>
        </w:tc>
      </w:tr>
      <w:tr w14:paraId="57B9D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7080" w:type="dxa"/>
          </w:tcPr>
          <w:p w14:paraId="6F89E138">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（1）住宅停车位：</w:t>
            </w:r>
          </w:p>
        </w:tc>
        <w:tc>
          <w:tcPr>
            <w:tcW w:w="2156" w:type="dxa"/>
          </w:tcPr>
          <w:p w14:paraId="17920440">
            <w:pPr>
              <w:spacing w:line="280" w:lineRule="exact"/>
              <w:rPr>
                <w:color w:val="000000" w:themeColor="text1"/>
                <w:sz w:val="18"/>
                <w:szCs w:val="18"/>
                <w14:textFill>
                  <w14:solidFill>
                    <w14:schemeClr w14:val="tx1"/>
                  </w14:solidFill>
                </w14:textFill>
              </w:rPr>
            </w:pPr>
          </w:p>
        </w:tc>
      </w:tr>
      <w:tr w14:paraId="21F81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7080" w:type="dxa"/>
          </w:tcPr>
          <w:p w14:paraId="103D848D">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（2）商业停车位：</w:t>
            </w:r>
          </w:p>
        </w:tc>
        <w:tc>
          <w:tcPr>
            <w:tcW w:w="2156" w:type="dxa"/>
          </w:tcPr>
          <w:p w14:paraId="2312C40E">
            <w:pPr>
              <w:spacing w:line="280" w:lineRule="exact"/>
              <w:rPr>
                <w:color w:val="000000" w:themeColor="text1"/>
                <w:sz w:val="18"/>
                <w:szCs w:val="18"/>
                <w14:textFill>
                  <w14:solidFill>
                    <w14:schemeClr w14:val="tx1"/>
                  </w14:solidFill>
                </w14:textFill>
              </w:rPr>
            </w:pPr>
          </w:p>
        </w:tc>
      </w:tr>
      <w:tr w14:paraId="6E560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7080" w:type="dxa"/>
          </w:tcPr>
          <w:p w14:paraId="453FA332">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九、非机动停车位（其中</w:t>
            </w:r>
            <w:r>
              <w:rPr>
                <w:rFonts w:hint="eastAsia"/>
                <w:color w:val="000000" w:themeColor="text1"/>
                <w:sz w:val="18"/>
                <w:szCs w:val="18"/>
                <w14:textFill>
                  <w14:solidFill>
                    <w14:schemeClr w14:val="tx1"/>
                  </w14:solidFill>
                </w14:textFill>
              </w:rPr>
              <w:t>含</w:t>
            </w:r>
            <w:r>
              <w:rPr>
                <w:color w:val="000000" w:themeColor="text1"/>
                <w:sz w:val="18"/>
                <w:szCs w:val="18"/>
                <w14:textFill>
                  <w14:solidFill>
                    <w14:schemeClr w14:val="tx1"/>
                  </w14:solidFill>
                </w14:textFill>
              </w:rPr>
              <w:t>下停车位）</w:t>
            </w:r>
          </w:p>
        </w:tc>
        <w:tc>
          <w:tcPr>
            <w:tcW w:w="2156" w:type="dxa"/>
          </w:tcPr>
          <w:p w14:paraId="35649287">
            <w:pPr>
              <w:spacing w:line="280" w:lineRule="exact"/>
              <w:rPr>
                <w:color w:val="000000" w:themeColor="text1"/>
                <w:sz w:val="18"/>
                <w:szCs w:val="18"/>
                <w14:textFill>
                  <w14:solidFill>
                    <w14:schemeClr w14:val="tx1"/>
                  </w14:solidFill>
                </w14:textFill>
              </w:rPr>
            </w:pPr>
          </w:p>
        </w:tc>
      </w:tr>
      <w:tr w14:paraId="5D1DF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7080" w:type="dxa"/>
          </w:tcPr>
          <w:p w14:paraId="75090284">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十、老人儿童活动场地面积：</w:t>
            </w:r>
          </w:p>
        </w:tc>
        <w:tc>
          <w:tcPr>
            <w:tcW w:w="2156" w:type="dxa"/>
          </w:tcPr>
          <w:p w14:paraId="75B28826">
            <w:pPr>
              <w:spacing w:line="280" w:lineRule="exact"/>
              <w:rPr>
                <w:color w:val="000000" w:themeColor="text1"/>
                <w:sz w:val="18"/>
                <w:szCs w:val="18"/>
                <w14:textFill>
                  <w14:solidFill>
                    <w14:schemeClr w14:val="tx1"/>
                  </w14:solidFill>
                </w14:textFill>
              </w:rPr>
            </w:pPr>
          </w:p>
        </w:tc>
      </w:tr>
      <w:tr w14:paraId="2644B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 w:hRule="atLeast"/>
        </w:trPr>
        <w:tc>
          <w:tcPr>
            <w:tcW w:w="7080" w:type="dxa"/>
          </w:tcPr>
          <w:p w14:paraId="62F03D7A">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十一：总户数：</w:t>
            </w:r>
          </w:p>
        </w:tc>
        <w:tc>
          <w:tcPr>
            <w:tcW w:w="2156" w:type="dxa"/>
          </w:tcPr>
          <w:p w14:paraId="3573605D">
            <w:pPr>
              <w:spacing w:line="280" w:lineRule="exact"/>
              <w:rPr>
                <w:color w:val="000000" w:themeColor="text1"/>
                <w:sz w:val="18"/>
                <w:szCs w:val="18"/>
                <w14:textFill>
                  <w14:solidFill>
                    <w14:schemeClr w14:val="tx1"/>
                  </w14:solidFill>
                </w14:textFill>
              </w:rPr>
            </w:pPr>
          </w:p>
        </w:tc>
      </w:tr>
      <w:tr w14:paraId="4C203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trPr>
        <w:tc>
          <w:tcPr>
            <w:tcW w:w="9236" w:type="dxa"/>
            <w:gridSpan w:val="2"/>
          </w:tcPr>
          <w:p w14:paraId="3445E420">
            <w:pPr>
              <w:spacing w:line="280" w:lineRule="exact"/>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注：1</w:t>
            </w: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本表未包括的指标内容，应根据项目实际情况补充标注。</w:t>
            </w:r>
          </w:p>
          <w:p w14:paraId="784D64C8">
            <w:pPr>
              <w:spacing w:line="280" w:lineRule="exact"/>
              <w:ind w:firstLine="360" w:firstLineChars="200"/>
              <w:rPr>
                <w:color w:val="000000" w:themeColor="text1"/>
                <w14:textFill>
                  <w14:solidFill>
                    <w14:schemeClr w14:val="tx1"/>
                  </w14:solidFill>
                </w14:textFill>
              </w:rPr>
            </w:pPr>
            <w:r>
              <w:rPr>
                <w:color w:val="000000" w:themeColor="text1"/>
                <w:sz w:val="18"/>
                <w:szCs w:val="18"/>
                <w14:textFill>
                  <w14:solidFill>
                    <w14:schemeClr w14:val="tx1"/>
                  </w14:solidFill>
                </w14:textFill>
              </w:rPr>
              <w:t>2</w:t>
            </w:r>
            <w:r>
              <w:rPr>
                <w:rFonts w:hint="eastAsia"/>
                <w:color w:val="000000" w:themeColor="text1"/>
                <w:sz w:val="18"/>
                <w:szCs w:val="18"/>
                <w14:textFill>
                  <w14:solidFill>
                    <w14:schemeClr w14:val="tx1"/>
                  </w14:solidFill>
                </w14:textFill>
              </w:rPr>
              <w:t>.</w:t>
            </w:r>
            <w:r>
              <w:rPr>
                <w:color w:val="000000" w:themeColor="text1"/>
                <w:sz w:val="18"/>
                <w:szCs w:val="18"/>
                <w14:textFill>
                  <w14:solidFill>
                    <w14:schemeClr w14:val="tx1"/>
                  </w14:solidFill>
                </w14:textFill>
              </w:rPr>
              <w:t>根据《</w:t>
            </w:r>
            <w:r>
              <w:rPr>
                <w:rFonts w:hint="eastAsia"/>
                <w:color w:val="000000" w:themeColor="text1"/>
                <w:sz w:val="18"/>
                <w:szCs w:val="18"/>
                <w14:textFill>
                  <w14:solidFill>
                    <w14:schemeClr w14:val="tx1"/>
                  </w14:solidFill>
                </w14:textFill>
              </w:rPr>
              <w:t>中华人民共和国</w:t>
            </w:r>
            <w:r>
              <w:rPr>
                <w:color w:val="000000" w:themeColor="text1"/>
                <w:sz w:val="18"/>
                <w:szCs w:val="18"/>
                <w14:textFill>
                  <w14:solidFill>
                    <w14:schemeClr w14:val="tx1"/>
                  </w14:solidFill>
                </w14:textFill>
              </w:rPr>
              <w:t>行政许可法》，报建单位须如实申报各项指标，并对指标的真实性及指标与报建图纸内容的相符一致性负责。</w:t>
            </w:r>
            <w:bookmarkStart w:id="3" w:name="_GoBack"/>
            <w:bookmarkEnd w:id="3"/>
          </w:p>
        </w:tc>
      </w:tr>
    </w:tbl>
    <w:p w14:paraId="0C349CA3">
      <w:pPr>
        <w:spacing w:line="580" w:lineRule="exact"/>
        <w:jc w:val="left"/>
        <w:rPr>
          <w:rFonts w:eastAsia="黑体"/>
          <w:color w:val="000000" w:themeColor="text1"/>
          <w:sz w:val="28"/>
          <w:szCs w:val="28"/>
          <w14:textFill>
            <w14:solidFill>
              <w14:schemeClr w14:val="tx1"/>
            </w14:solidFill>
          </w14:textFill>
        </w:rPr>
      </w:pPr>
    </w:p>
    <w:p w14:paraId="216F3CAB">
      <w:pPr>
        <w:pStyle w:val="2"/>
        <w:rPr>
          <w:color w:val="000000" w:themeColor="text1"/>
          <w14:textFill>
            <w14:solidFill>
              <w14:schemeClr w14:val="tx1"/>
            </w14:solidFill>
          </w14:textFill>
        </w:rPr>
      </w:pPr>
      <w:r>
        <w:rPr>
          <w:color w:val="000000" w:themeColor="text1"/>
          <w14:textFill>
            <w14:solidFill>
              <w14:schemeClr w14:val="tx1"/>
            </w14:solidFill>
          </w14:textFill>
        </w:rPr>
        <w:br w:type="page"/>
      </w:r>
    </w:p>
    <w:p w14:paraId="5969DAB3">
      <w:pPr>
        <w:spacing w:line="580" w:lineRule="exact"/>
        <w:jc w:val="left"/>
        <w:rPr>
          <w:rFonts w:eastAsia="黑体"/>
          <w:color w:val="000000" w:themeColor="text1"/>
          <w:sz w:val="28"/>
          <w:szCs w:val="28"/>
          <w14:textFill>
            <w14:solidFill>
              <w14:schemeClr w14:val="tx1"/>
            </w14:solidFill>
          </w14:textFill>
        </w:rPr>
      </w:pPr>
      <w:r>
        <w:rPr>
          <w:rFonts w:eastAsia="黑体"/>
          <w:color w:val="000000" w:themeColor="text1"/>
          <w:sz w:val="28"/>
          <w:szCs w:val="28"/>
          <w14:textFill>
            <w14:solidFill>
              <w14:schemeClr w14:val="tx1"/>
            </w14:solidFill>
          </w14:textFill>
        </w:rPr>
        <w:t>附录3</w:t>
      </w:r>
    </w:p>
    <w:p w14:paraId="4CF7FBCA">
      <w:pPr>
        <w:spacing w:line="580" w:lineRule="exact"/>
        <w:jc w:val="center"/>
        <w:rPr>
          <w:rFonts w:eastAsia="方正小标宋简体"/>
          <w:color w:val="000000" w:themeColor="text1"/>
          <w:sz w:val="44"/>
          <w:szCs w:val="44"/>
          <w14:textFill>
            <w14:solidFill>
              <w14:schemeClr w14:val="tx1"/>
            </w14:solidFill>
          </w14:textFill>
        </w:rPr>
      </w:pPr>
      <w:r>
        <w:rPr>
          <w:rFonts w:eastAsia="方正小标宋简体"/>
          <w:color w:val="000000" w:themeColor="text1"/>
          <w:sz w:val="44"/>
          <w:szCs w:val="44"/>
          <w14:textFill>
            <w14:solidFill>
              <w14:schemeClr w14:val="tx1"/>
            </w14:solidFill>
          </w14:textFill>
        </w:rPr>
        <w:t>计算规则</w:t>
      </w:r>
    </w:p>
    <w:p w14:paraId="60834A66">
      <w:pPr>
        <w:spacing w:line="580" w:lineRule="exact"/>
        <w:ind w:firstLine="640" w:firstLineChars="200"/>
        <w:rPr>
          <w:color w:val="000000" w:themeColor="text1"/>
          <w:szCs w:val="32"/>
          <w:u w:val="single"/>
          <w14:textFill>
            <w14:solidFill>
              <w14:schemeClr w14:val="tx1"/>
            </w14:solidFill>
          </w14:textFill>
        </w:rPr>
      </w:pPr>
    </w:p>
    <w:p w14:paraId="27CA18FA">
      <w:pPr>
        <w:spacing w:line="580" w:lineRule="exact"/>
        <w:ind w:firstLine="640" w:firstLineChars="200"/>
        <w:rPr>
          <w:rFonts w:eastAsia="黑体"/>
          <w:color w:val="000000" w:themeColor="text1"/>
          <w:szCs w:val="32"/>
          <w14:textFill>
            <w14:solidFill>
              <w14:schemeClr w14:val="tx1"/>
            </w14:solidFill>
          </w14:textFill>
        </w:rPr>
      </w:pPr>
      <w:r>
        <w:rPr>
          <w:rFonts w:eastAsia="黑体"/>
          <w:color w:val="000000" w:themeColor="text1"/>
          <w:szCs w:val="32"/>
          <w14:textFill>
            <w14:solidFill>
              <w14:schemeClr w14:val="tx1"/>
            </w14:solidFill>
          </w14:textFill>
        </w:rPr>
        <w:t>一、建筑面积计算规则</w:t>
      </w:r>
    </w:p>
    <w:p w14:paraId="0F2CF435">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建筑面积计算应按照《民用建筑通用规范》（GB55031-2022）和《建筑工程建筑面积计算规范》（GB／T 50353-2013）执行。</w:t>
      </w:r>
    </w:p>
    <w:p w14:paraId="4AA1505F">
      <w:pPr>
        <w:spacing w:line="580" w:lineRule="exact"/>
        <w:ind w:firstLine="640" w:firstLineChars="200"/>
        <w:rPr>
          <w:rFonts w:eastAsia="黑体"/>
          <w:color w:val="000000" w:themeColor="text1"/>
          <w:szCs w:val="32"/>
          <w14:textFill>
            <w14:solidFill>
              <w14:schemeClr w14:val="tx1"/>
            </w14:solidFill>
          </w14:textFill>
        </w:rPr>
      </w:pPr>
      <w:r>
        <w:rPr>
          <w:rFonts w:eastAsia="黑体"/>
          <w:color w:val="000000" w:themeColor="text1"/>
          <w:szCs w:val="32"/>
          <w14:textFill>
            <w14:solidFill>
              <w14:schemeClr w14:val="tx1"/>
            </w14:solidFill>
          </w14:textFill>
        </w:rPr>
        <w:t>二、容积率计算规则</w:t>
      </w:r>
    </w:p>
    <w:p w14:paraId="2995326A">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（一）以下建筑面积应计入容积率：</w:t>
      </w:r>
    </w:p>
    <w:p w14:paraId="5BBBE78B">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1.当阳台进深大于2.4米时，超出2.4米的部分按其水平投影面积计入容积率建筑面积。</w:t>
      </w:r>
    </w:p>
    <w:p w14:paraId="52AEB3EF">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2.入户花园按其水平投影面积的1/2计入容积率建筑面积。</w:t>
      </w:r>
    </w:p>
    <w:p w14:paraId="1339BC02">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3.设备平台的水平投影面积大于该套住宅套型建筑面积5%的部分计入容积率建筑面积。</w:t>
      </w:r>
    </w:p>
    <w:p w14:paraId="28EE4696">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4.下沉天井的水平投影总面积大于该住宅本层套型建筑面积10%的部分计入容积率建筑面积。</w:t>
      </w:r>
    </w:p>
    <w:p w14:paraId="5816A243">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5.建筑物有围护结构的楼梯间、水箱间、电梯机房，结构（设备管道）转换层，当层高在2.2米及以上的按全面积计入容积率。</w:t>
      </w:r>
    </w:p>
    <w:p w14:paraId="775BBFE6">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6.利用坡屋顶内空间的建筑面积计入容积率。</w:t>
      </w:r>
    </w:p>
    <w:p w14:paraId="15DDD969">
      <w:pPr>
        <w:spacing w:line="580" w:lineRule="exact"/>
        <w:ind w:firstLine="640" w:firstLineChars="200"/>
        <w:rPr>
          <w:rFonts w:eastAsia="黑体"/>
          <w:color w:val="000000" w:themeColor="text1"/>
          <w:szCs w:val="32"/>
          <w:u w:val="single"/>
          <w14:textFill>
            <w14:solidFill>
              <w14:schemeClr w14:val="tx1"/>
            </w14:solidFill>
          </w14:textFill>
        </w:rPr>
      </w:pPr>
      <w:r>
        <w:rPr>
          <w:color w:val="000000" w:themeColor="text1"/>
          <w:szCs w:val="32"/>
          <w14:textFill>
            <w14:solidFill>
              <w14:schemeClr w14:val="tx1"/>
            </w14:solidFill>
          </w14:textFill>
        </w:rPr>
        <w:t>7.顶板板面标高超出相邻城市道路</w:t>
      </w:r>
      <w:r>
        <w:rPr>
          <w:rFonts w:hint="eastAsia"/>
          <w:color w:val="000000" w:themeColor="text1"/>
          <w:szCs w:val="32"/>
          <w14:textFill>
            <w14:solidFill>
              <w14:schemeClr w14:val="tx1"/>
            </w14:solidFill>
          </w14:textFill>
        </w:rPr>
        <w:t>2</w:t>
      </w:r>
      <w:r>
        <w:rPr>
          <w:color w:val="000000" w:themeColor="text1"/>
          <w:szCs w:val="32"/>
          <w14:textFill>
            <w14:solidFill>
              <w14:schemeClr w14:val="tx1"/>
            </w14:solidFill>
          </w14:textFill>
        </w:rPr>
        <w:t>.5米的地下室、半地下室，该层建筑面积计入地块容积率</w:t>
      </w:r>
      <w:r>
        <w:rPr>
          <w:rFonts w:hint="eastAsia"/>
          <w:color w:val="000000" w:themeColor="text1"/>
          <w:szCs w:val="32"/>
          <w14:textFill>
            <w14:solidFill>
              <w14:schemeClr w14:val="tx1"/>
            </w14:solidFill>
          </w14:textFill>
        </w:rPr>
        <w:t>，其中场地高差较大的坡地建筑，按以下第（二）条2款执行</w:t>
      </w:r>
      <w:r>
        <w:rPr>
          <w:color w:val="000000" w:themeColor="text1"/>
          <w:szCs w:val="32"/>
          <w14:textFill>
            <w14:solidFill>
              <w14:schemeClr w14:val="tx1"/>
            </w14:solidFill>
          </w14:textFill>
        </w:rPr>
        <w:t>。</w:t>
      </w:r>
    </w:p>
    <w:p w14:paraId="7AEA588C">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（二）以下建筑面积不计入容积率：</w:t>
      </w:r>
    </w:p>
    <w:p w14:paraId="0B53F709">
      <w:pPr>
        <w:pStyle w:val="2"/>
        <w:ind w:firstLine="640" w:firstLineChars="200"/>
        <w:jc w:val="left"/>
        <w:rPr>
          <w:rFonts w:eastAsia="仿宋_GB2312"/>
          <w:b w:val="0"/>
          <w:color w:val="000000" w:themeColor="text1"/>
          <w:sz w:val="32"/>
          <w:szCs w:val="32"/>
          <w14:textFill>
            <w14:solidFill>
              <w14:schemeClr w14:val="tx1"/>
            </w14:solidFill>
          </w14:textFill>
        </w:rPr>
      </w:pPr>
      <w:r>
        <w:rPr>
          <w:rFonts w:hint="eastAsia" w:eastAsia="仿宋_GB2312"/>
          <w:b w:val="0"/>
          <w:color w:val="000000" w:themeColor="text1"/>
          <w:sz w:val="32"/>
          <w:szCs w:val="32"/>
          <w14:textFill>
            <w14:solidFill>
              <w14:schemeClr w14:val="tx1"/>
            </w14:solidFill>
          </w14:textFill>
        </w:rPr>
        <w:t>1.</w:t>
      </w:r>
      <w:r>
        <w:rPr>
          <w:rFonts w:eastAsia="仿宋_GB2312"/>
          <w:b w:val="0"/>
          <w:color w:val="000000" w:themeColor="text1"/>
          <w:sz w:val="32"/>
          <w:szCs w:val="32"/>
          <w14:textFill>
            <w14:solidFill>
              <w14:schemeClr w14:val="tx1"/>
            </w14:solidFill>
          </w14:textFill>
        </w:rPr>
        <w:t>顶板</w:t>
      </w:r>
      <w:r>
        <w:rPr>
          <w:rFonts w:hint="eastAsia" w:eastAsia="仿宋_GB2312"/>
          <w:b w:val="0"/>
          <w:color w:val="000000" w:themeColor="text1"/>
          <w:sz w:val="32"/>
          <w:szCs w:val="32"/>
          <w14:textFill>
            <w14:solidFill>
              <w14:schemeClr w14:val="tx1"/>
            </w14:solidFill>
          </w14:textFill>
        </w:rPr>
        <w:t>板面标高不超过</w:t>
      </w:r>
      <w:r>
        <w:rPr>
          <w:rFonts w:eastAsia="仿宋_GB2312"/>
          <w:b w:val="0"/>
          <w:color w:val="000000" w:themeColor="text1"/>
          <w:sz w:val="32"/>
          <w:szCs w:val="32"/>
          <w14:textFill>
            <w14:solidFill>
              <w14:schemeClr w14:val="tx1"/>
            </w14:solidFill>
          </w14:textFill>
        </w:rPr>
        <w:t>相邻城市道路</w:t>
      </w:r>
      <w:r>
        <w:rPr>
          <w:rFonts w:hint="eastAsia" w:eastAsia="仿宋_GB2312"/>
          <w:b w:val="0"/>
          <w:color w:val="000000" w:themeColor="text1"/>
          <w:sz w:val="32"/>
          <w:szCs w:val="32"/>
          <w14:textFill>
            <w14:solidFill>
              <w14:schemeClr w14:val="tx1"/>
            </w14:solidFill>
          </w14:textFill>
        </w:rPr>
        <w:t>2</w:t>
      </w:r>
      <w:r>
        <w:rPr>
          <w:rFonts w:eastAsia="仿宋_GB2312"/>
          <w:b w:val="0"/>
          <w:color w:val="000000" w:themeColor="text1"/>
          <w:sz w:val="32"/>
          <w:szCs w:val="32"/>
          <w14:textFill>
            <w14:solidFill>
              <w14:schemeClr w14:val="tx1"/>
            </w14:solidFill>
          </w14:textFill>
        </w:rPr>
        <w:t>.5米的地下室、半地下室</w:t>
      </w:r>
      <w:r>
        <w:rPr>
          <w:rFonts w:hint="eastAsia" w:eastAsia="仿宋_GB2312"/>
          <w:b w:val="0"/>
          <w:color w:val="000000" w:themeColor="text1"/>
          <w:sz w:val="32"/>
          <w:szCs w:val="32"/>
          <w14:textFill>
            <w14:solidFill>
              <w14:schemeClr w14:val="tx1"/>
            </w14:solidFill>
          </w14:textFill>
        </w:rPr>
        <w:t>的建筑面积。</w:t>
      </w:r>
    </w:p>
    <w:p w14:paraId="2F38D7A2">
      <w:pPr>
        <w:spacing w:line="580" w:lineRule="exact"/>
        <w:ind w:firstLine="640" w:firstLineChars="200"/>
        <w:rPr>
          <w:rFonts w:eastAsia="黑体"/>
          <w:color w:val="000000" w:themeColor="text1"/>
          <w:szCs w:val="32"/>
          <w:u w:val="single"/>
          <w14:textFill>
            <w14:solidFill>
              <w14:schemeClr w14:val="tx1"/>
            </w14:solidFill>
          </w14:textFill>
        </w:rPr>
      </w:pPr>
      <w:r>
        <w:rPr>
          <w:rFonts w:hint="eastAsia"/>
          <w:color w:val="000000" w:themeColor="text1"/>
          <w:szCs w:val="32"/>
          <w14:textFill>
            <w14:solidFill>
              <w14:schemeClr w14:val="tx1"/>
            </w14:solidFill>
          </w14:textFill>
        </w:rPr>
        <w:t>2</w:t>
      </w:r>
      <w:r>
        <w:rPr>
          <w:color w:val="000000" w:themeColor="text1"/>
          <w:szCs w:val="32"/>
          <w14:textFill>
            <w14:solidFill>
              <w14:schemeClr w14:val="tx1"/>
            </w14:solidFill>
          </w14:textFill>
        </w:rPr>
        <w:t>.</w:t>
      </w:r>
      <w:r>
        <w:rPr>
          <w:rFonts w:hint="eastAsia"/>
          <w:color w:val="000000" w:themeColor="text1"/>
          <w:szCs w:val="32"/>
          <w14:textFill>
            <w14:solidFill>
              <w14:schemeClr w14:val="tx1"/>
            </w14:solidFill>
          </w14:textFill>
        </w:rPr>
        <w:t>场地高差较大的坡地建筑，</w:t>
      </w:r>
      <w:r>
        <w:rPr>
          <w:color w:val="000000" w:themeColor="text1"/>
          <w:szCs w:val="32"/>
          <w14:textFill>
            <w14:solidFill>
              <w14:schemeClr w14:val="tx1"/>
            </w14:solidFill>
          </w14:textFill>
        </w:rPr>
        <w:t>顶板</w:t>
      </w:r>
      <w:r>
        <w:rPr>
          <w:rFonts w:hint="eastAsia"/>
          <w:color w:val="000000" w:themeColor="text1"/>
          <w:szCs w:val="32"/>
          <w14:textFill>
            <w14:solidFill>
              <w14:schemeClr w14:val="tx1"/>
            </w14:solidFill>
          </w14:textFill>
        </w:rPr>
        <w:t>高度超过</w:t>
      </w:r>
      <w:r>
        <w:rPr>
          <w:color w:val="000000" w:themeColor="text1"/>
          <w:szCs w:val="32"/>
          <w14:textFill>
            <w14:solidFill>
              <w14:schemeClr w14:val="tx1"/>
            </w14:solidFill>
          </w14:textFill>
        </w:rPr>
        <w:t>相邻城市道路</w:t>
      </w:r>
      <w:r>
        <w:rPr>
          <w:rFonts w:hint="eastAsia"/>
          <w:color w:val="000000" w:themeColor="text1"/>
          <w:szCs w:val="32"/>
          <w14:textFill>
            <w14:solidFill>
              <w14:schemeClr w14:val="tx1"/>
            </w14:solidFill>
          </w14:textFill>
        </w:rPr>
        <w:t>2</w:t>
      </w:r>
      <w:r>
        <w:rPr>
          <w:color w:val="000000" w:themeColor="text1"/>
          <w:szCs w:val="32"/>
          <w14:textFill>
            <w14:solidFill>
              <w14:schemeClr w14:val="tx1"/>
            </w14:solidFill>
          </w14:textFill>
        </w:rPr>
        <w:t>.5米的地下室、半地下室</w:t>
      </w:r>
      <w:r>
        <w:rPr>
          <w:rFonts w:hint="eastAsia"/>
          <w:color w:val="000000" w:themeColor="text1"/>
          <w:szCs w:val="32"/>
          <w14:textFill>
            <w14:solidFill>
              <w14:schemeClr w14:val="tx1"/>
            </w14:solidFill>
          </w14:textFill>
        </w:rPr>
        <w:t>，当符合地下室计算埋深（室内地平面低于室外地面的高度超过室内净高的1/2）部分的外墙长度不少于地下室全部外墙长度的1/3时，该层</w:t>
      </w:r>
      <w:r>
        <w:rPr>
          <w:color w:val="000000" w:themeColor="text1"/>
          <w:szCs w:val="32"/>
          <w14:textFill>
            <w14:solidFill>
              <w14:schemeClr w14:val="tx1"/>
            </w14:solidFill>
          </w14:textFill>
        </w:rPr>
        <w:t>建筑面积</w:t>
      </w:r>
      <w:r>
        <w:rPr>
          <w:rFonts w:hint="eastAsia"/>
          <w:color w:val="000000" w:themeColor="text1"/>
          <w:szCs w:val="32"/>
          <w14:textFill>
            <w14:solidFill>
              <w14:schemeClr w14:val="tx1"/>
            </w14:solidFill>
          </w14:textFill>
        </w:rPr>
        <w:t>不</w:t>
      </w:r>
      <w:r>
        <w:rPr>
          <w:color w:val="000000" w:themeColor="text1"/>
          <w:szCs w:val="32"/>
          <w14:textFill>
            <w14:solidFill>
              <w14:schemeClr w14:val="tx1"/>
            </w14:solidFill>
          </w14:textFill>
        </w:rPr>
        <w:t>计入容积率。</w:t>
      </w:r>
    </w:p>
    <w:p w14:paraId="32B520A5">
      <w:pPr>
        <w:spacing w:line="580" w:lineRule="exact"/>
        <w:ind w:firstLine="640" w:firstLineChars="200"/>
        <w:rPr>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3</w:t>
      </w:r>
      <w:r>
        <w:rPr>
          <w:color w:val="000000" w:themeColor="text1"/>
          <w:szCs w:val="32"/>
          <w14:textFill>
            <w14:solidFill>
              <w14:schemeClr w14:val="tx1"/>
            </w14:solidFill>
          </w14:textFill>
        </w:rPr>
        <w:t>.首层架空部分只作为公共活动、绿化使用时的建筑面积。</w:t>
      </w:r>
    </w:p>
    <w:p w14:paraId="69B215A8">
      <w:pPr>
        <w:spacing w:line="580" w:lineRule="exact"/>
        <w:ind w:firstLine="640" w:firstLineChars="200"/>
        <w:rPr>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4</w:t>
      </w:r>
      <w:r>
        <w:rPr>
          <w:color w:val="000000" w:themeColor="text1"/>
          <w:szCs w:val="32"/>
          <w14:textFill>
            <w14:solidFill>
              <w14:schemeClr w14:val="tx1"/>
            </w14:solidFill>
          </w14:textFill>
        </w:rPr>
        <w:t>.超高层建筑避难层的建筑面积。</w:t>
      </w:r>
    </w:p>
    <w:p w14:paraId="6FF5C551">
      <w:pPr>
        <w:spacing w:line="580" w:lineRule="exact"/>
        <w:ind w:firstLine="640" w:firstLineChars="200"/>
        <w:rPr>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5</w:t>
      </w:r>
      <w:r>
        <w:rPr>
          <w:color w:val="000000" w:themeColor="text1"/>
          <w:szCs w:val="32"/>
          <w14:textFill>
            <w14:solidFill>
              <w14:schemeClr w14:val="tx1"/>
            </w14:solidFill>
          </w14:textFill>
        </w:rPr>
        <w:t>.地上建筑作为停车库，层高在2.2米以下的建筑面积。</w:t>
      </w:r>
    </w:p>
    <w:p w14:paraId="429F94DC">
      <w:pPr>
        <w:spacing w:line="580" w:lineRule="exact"/>
        <w:ind w:firstLine="640" w:firstLineChars="200"/>
        <w:rPr>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6</w:t>
      </w:r>
      <w:r>
        <w:rPr>
          <w:color w:val="000000" w:themeColor="text1"/>
          <w:szCs w:val="32"/>
          <w14:textFill>
            <w14:solidFill>
              <w14:schemeClr w14:val="tx1"/>
            </w14:solidFill>
          </w14:textFill>
        </w:rPr>
        <w:t>.独立设置的停车楼。</w:t>
      </w:r>
    </w:p>
    <w:p w14:paraId="7F1E8D11">
      <w:pPr>
        <w:spacing w:line="580" w:lineRule="exact"/>
        <w:ind w:firstLine="640" w:firstLineChars="200"/>
        <w:rPr>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7</w:t>
      </w:r>
      <w:r>
        <w:rPr>
          <w:color w:val="000000" w:themeColor="text1"/>
          <w:szCs w:val="32"/>
          <w14:textFill>
            <w14:solidFill>
              <w14:schemeClr w14:val="tx1"/>
            </w14:solidFill>
          </w14:textFill>
        </w:rPr>
        <w:t>.捐建的对外公厕及管理用房、垃圾收集房。</w:t>
      </w:r>
    </w:p>
    <w:p w14:paraId="5216BA83">
      <w:pPr>
        <w:spacing w:line="580" w:lineRule="exact"/>
        <w:ind w:firstLine="640" w:firstLineChars="200"/>
        <w:rPr>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8</w:t>
      </w:r>
      <w:r>
        <w:rPr>
          <w:color w:val="000000" w:themeColor="text1"/>
          <w:szCs w:val="32"/>
          <w14:textFill>
            <w14:solidFill>
              <w14:schemeClr w14:val="tx1"/>
            </w14:solidFill>
          </w14:textFill>
        </w:rPr>
        <w:t>.捐建的社区综合服务用房。</w:t>
      </w:r>
    </w:p>
    <w:p w14:paraId="4CFE1ED0">
      <w:pPr>
        <w:spacing w:line="580" w:lineRule="exact"/>
        <w:ind w:firstLine="640" w:firstLineChars="200"/>
        <w:rPr>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9</w:t>
      </w:r>
      <w:r>
        <w:rPr>
          <w:color w:val="000000" w:themeColor="text1"/>
          <w:szCs w:val="32"/>
          <w14:textFill>
            <w14:solidFill>
              <w14:schemeClr w14:val="tx1"/>
            </w14:solidFill>
          </w14:textFill>
        </w:rPr>
        <w:t>.配建的养老服务设施。</w:t>
      </w:r>
    </w:p>
    <w:p w14:paraId="4BF0E8A1">
      <w:pPr>
        <w:spacing w:line="580" w:lineRule="exact"/>
        <w:ind w:firstLine="640" w:firstLineChars="200"/>
        <w:rPr>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10</w:t>
      </w:r>
      <w:r>
        <w:rPr>
          <w:color w:val="000000" w:themeColor="text1"/>
          <w:szCs w:val="32"/>
          <w14:textFill>
            <w14:solidFill>
              <w14:schemeClr w14:val="tx1"/>
            </w14:solidFill>
          </w14:textFill>
        </w:rPr>
        <w:t>.建筑物外墙外保温层的建筑面积。</w:t>
      </w:r>
    </w:p>
    <w:p w14:paraId="741944DF">
      <w:pPr>
        <w:spacing w:line="580" w:lineRule="exact"/>
        <w:ind w:firstLine="640" w:firstLineChars="200"/>
        <w:rPr>
          <w:rFonts w:eastAsia="黑体"/>
          <w:color w:val="000000" w:themeColor="text1"/>
          <w:szCs w:val="32"/>
          <w14:textFill>
            <w14:solidFill>
              <w14:schemeClr w14:val="tx1"/>
            </w14:solidFill>
          </w14:textFill>
        </w:rPr>
      </w:pPr>
      <w:r>
        <w:rPr>
          <w:rFonts w:eastAsia="黑体"/>
          <w:color w:val="000000" w:themeColor="text1"/>
          <w:szCs w:val="32"/>
          <w14:textFill>
            <w14:solidFill>
              <w14:schemeClr w14:val="tx1"/>
            </w14:solidFill>
          </w14:textFill>
        </w:rPr>
        <w:t>三、建筑密度计算规则</w:t>
      </w:r>
    </w:p>
    <w:p w14:paraId="08741DCB">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（一）独立的建筑，按墙体外围及立柱外边水平面积计算；室外有顶盖、有立柱或墙体落地的走廊、门廊、门厅、阳台、平台、楼梯等按墙体外围及立柱外边水平面积计算。</w:t>
      </w:r>
    </w:p>
    <w:p w14:paraId="69A7B51B">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（二）以下面积不计入建筑密度：</w:t>
      </w:r>
    </w:p>
    <w:p w14:paraId="61DBCE22">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1.室外地坪3.5米以上悬挑不落地的房间、阳台。</w:t>
      </w:r>
    </w:p>
    <w:p w14:paraId="487FDBD2">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2.地下车库出入口顶棚。</w:t>
      </w:r>
    </w:p>
    <w:p w14:paraId="6C20EF96">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3.捐建的对外公厕、垃圾收集房。</w:t>
      </w:r>
    </w:p>
    <w:p w14:paraId="469447B3">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4.变配电设施。</w:t>
      </w:r>
    </w:p>
    <w:p w14:paraId="418F81C2">
      <w:pPr>
        <w:spacing w:line="580" w:lineRule="exact"/>
        <w:ind w:firstLine="640" w:firstLineChars="200"/>
        <w:rPr>
          <w:rFonts w:eastAsia="黑体"/>
          <w:color w:val="000000" w:themeColor="text1"/>
          <w:szCs w:val="32"/>
          <w14:textFill>
            <w14:solidFill>
              <w14:schemeClr w14:val="tx1"/>
            </w14:solidFill>
          </w14:textFill>
        </w:rPr>
      </w:pPr>
      <w:r>
        <w:rPr>
          <w:rFonts w:eastAsia="黑体"/>
          <w:color w:val="000000" w:themeColor="text1"/>
          <w:szCs w:val="32"/>
          <w14:textFill>
            <w14:solidFill>
              <w14:schemeClr w14:val="tx1"/>
            </w14:solidFill>
          </w14:textFill>
        </w:rPr>
        <w:t>四、绿地率计算规则</w:t>
      </w:r>
    </w:p>
    <w:p w14:paraId="3971C040">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（一）宅旁（宅间）绿地、院落式组团绿地、开敞型院落组团绿地、其他块状、带状公园绿地面积起止界的计算：</w:t>
      </w:r>
    </w:p>
    <w:p w14:paraId="5BE929BF">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1.绿地边界对宅间路、内部道路算到路边，对有明确红线的组团或以上道路算至红线。</w:t>
      </w:r>
    </w:p>
    <w:p w14:paraId="1AF35DB4">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2.算至用地红线。</w:t>
      </w:r>
    </w:p>
    <w:p w14:paraId="055E89A7">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3.绿地中，作为景观组成部分的小品、亭台、曲廊、步道、小广场等，可以一并计入绿地面积，但面积不大于绿地面积的25%。</w:t>
      </w:r>
    </w:p>
    <w:p w14:paraId="16D3752E">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（二）水景观计入绿地率，游泳池、喷泉景观等硬质水景不纳入绿地率计算。</w:t>
      </w:r>
    </w:p>
    <w:p w14:paraId="49433150">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（三）新建室外停车场采用树荫式停车场（位），当用地全部为生态现浇植草地坪，平均1个车位种植1棵树（胸径不小于15厘米）时，可将室外停车场用地面积按20%计入绿地率。</w:t>
      </w:r>
    </w:p>
    <w:p w14:paraId="31C7AE78">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（四）树阵及树池的绿地面积计算：</w:t>
      </w:r>
    </w:p>
    <w:p w14:paraId="547CF45B">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1.对于小区内一些采用树阵植树方式的场地，如均为乔木、胸径不小于10厘米、树距不大于5.0米、且树阵的面积不小于400平方米的，按树阵面积计算绿地面积。</w:t>
      </w:r>
    </w:p>
    <w:p w14:paraId="58B71AD4">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2.对于单植乔木（如行道树等），胸径不小于10厘米，按树池面积计入绿地面积，或按每株1.0平方米计入绿地面积。</w:t>
      </w:r>
    </w:p>
    <w:p w14:paraId="038D13B5">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3.绿地中的乔、灌比例应大于70%。</w:t>
      </w:r>
    </w:p>
    <w:p w14:paraId="5639AE51">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（五）小学、中学扣减用地内的塑胶运动场、胶草操场后的面积作为计算绿地率的基数。</w:t>
      </w:r>
    </w:p>
    <w:p w14:paraId="7DE12FAA">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（六）绿化设计方案审查要求：</w:t>
      </w:r>
    </w:p>
    <w:p w14:paraId="42EE8F95">
      <w:pPr>
        <w:spacing w:line="56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1.标明每一块绿地的位置、界限和面积；2.注明总用地面积、绿地总面积、绿地率、地下和半地下架空绿化面积、围墙外绿化面积、对外集中绿地面积、必须捐建用地对应的防护绿地面积和街头绿地面积；3.地下室、半地下室需绘制剖面关系图，标明种植土深度及与周边建构筑物竖向标高关系；4.分期实施的建设项目需在绿化分布图上明确各期建设用地范围以及分期绿地面积。</w:t>
      </w:r>
    </w:p>
    <w:p w14:paraId="550726A9">
      <w:pPr>
        <w:spacing w:line="560" w:lineRule="exact"/>
        <w:ind w:firstLine="640" w:firstLineChars="200"/>
        <w:rPr>
          <w:rFonts w:eastAsia="黑体"/>
          <w:color w:val="000000" w:themeColor="text1"/>
          <w:szCs w:val="32"/>
          <w14:textFill>
            <w14:solidFill>
              <w14:schemeClr w14:val="tx1"/>
            </w14:solidFill>
          </w14:textFill>
        </w:rPr>
      </w:pPr>
      <w:r>
        <w:rPr>
          <w:rFonts w:eastAsia="黑体"/>
          <w:color w:val="000000" w:themeColor="text1"/>
          <w:szCs w:val="32"/>
          <w14:textFill>
            <w14:solidFill>
              <w14:schemeClr w14:val="tx1"/>
            </w14:solidFill>
          </w14:textFill>
        </w:rPr>
        <w:t>五、建筑高度计算规则</w:t>
      </w:r>
    </w:p>
    <w:p w14:paraId="0E6311F1">
      <w:pPr>
        <w:spacing w:line="56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（一）平屋顶建筑按建筑物室外地面至其屋面面层的高度计算；坡屋顶建筑按建筑物室外地面至其屋檐檐口高度计算。</w:t>
      </w:r>
    </w:p>
    <w:p w14:paraId="09B3F749">
      <w:pPr>
        <w:spacing w:line="56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（二）下列突出物不计入建筑高度：</w:t>
      </w:r>
    </w:p>
    <w:p w14:paraId="58226FDA">
      <w:pPr>
        <w:spacing w:line="56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1.局部突出屋面的楼梯间、电梯机房、水箱间等辅助用房占屋顶平面面积不超过1/4的。</w:t>
      </w:r>
    </w:p>
    <w:p w14:paraId="3C29F136">
      <w:pPr>
        <w:spacing w:line="56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2.突出屋面的通风道、装饰构件、花架、通信设施等。</w:t>
      </w:r>
    </w:p>
    <w:p w14:paraId="3017777D">
      <w:pPr>
        <w:spacing w:line="56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3.空调</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冷却塔等设备。</w:t>
      </w:r>
    </w:p>
    <w:p w14:paraId="0F4FCC35">
      <w:pPr>
        <w:spacing w:line="56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（三）电台、电信、微波通信、气象台、卫星地面站、军事要塞工程等周围建筑，当其处在各种技术作业控制范围内，应按建筑物室外地面及建筑物和构筑物最高点计算。</w:t>
      </w:r>
    </w:p>
    <w:p w14:paraId="0359BFE9">
      <w:pPr>
        <w:spacing w:line="560" w:lineRule="exact"/>
        <w:ind w:firstLine="640" w:firstLineChars="200"/>
        <w:rPr>
          <w:rFonts w:eastAsia="黑体"/>
          <w:color w:val="000000" w:themeColor="text1"/>
          <w:szCs w:val="32"/>
          <w14:textFill>
            <w14:solidFill>
              <w14:schemeClr w14:val="tx1"/>
            </w14:solidFill>
          </w14:textFill>
        </w:rPr>
      </w:pPr>
      <w:r>
        <w:rPr>
          <w:rFonts w:eastAsia="黑体"/>
          <w:color w:val="000000" w:themeColor="text1"/>
          <w:szCs w:val="32"/>
          <w14:textFill>
            <w14:solidFill>
              <w14:schemeClr w14:val="tx1"/>
            </w14:solidFill>
          </w14:textFill>
        </w:rPr>
        <w:t>六、建筑间距计算规则</w:t>
      </w:r>
    </w:p>
    <w:p w14:paraId="2523F908">
      <w:pPr>
        <w:spacing w:line="56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（一）建筑间距按两栋建筑物（构筑物）外墙最近点之间的水平距离计算。建筑外墙突出的阳台，其累计长度超过外墙长度50%时，按阳台外边缘计算间距。</w:t>
      </w:r>
    </w:p>
    <w:p w14:paraId="19CE73D1">
      <w:pPr>
        <w:spacing w:line="560" w:lineRule="exact"/>
        <w:ind w:firstLine="640" w:firstLineChars="200"/>
      </w:pPr>
      <w:r>
        <w:rPr>
          <w:color w:val="000000" w:themeColor="text1"/>
          <w:szCs w:val="32"/>
          <w14:textFill>
            <w14:solidFill>
              <w14:schemeClr w14:val="tx1"/>
            </w14:solidFill>
          </w14:textFill>
        </w:rPr>
        <w:t>（二）顶层为跃层户型的跃层部分，层高计入间距或后退距离计算。</w:t>
      </w:r>
      <w:r>
        <w:br w:type="page"/>
      </w:r>
    </w:p>
    <w:p w14:paraId="4D47651D">
      <w:pPr>
        <w:spacing w:line="580" w:lineRule="exact"/>
        <w:jc w:val="left"/>
        <w:rPr>
          <w:rFonts w:eastAsia="黑体"/>
          <w:color w:val="000000" w:themeColor="text1"/>
          <w:sz w:val="28"/>
          <w:szCs w:val="28"/>
          <w14:textFill>
            <w14:solidFill>
              <w14:schemeClr w14:val="tx1"/>
            </w14:solidFill>
          </w14:textFill>
        </w:rPr>
      </w:pPr>
      <w:r>
        <w:rPr>
          <w:rFonts w:eastAsia="黑体"/>
          <w:color w:val="000000" w:themeColor="text1"/>
          <w:sz w:val="28"/>
          <w:szCs w:val="28"/>
          <w14:textFill>
            <w14:solidFill>
              <w14:schemeClr w14:val="tx1"/>
            </w14:solidFill>
          </w14:textFill>
        </w:rPr>
        <w:t>附录4</w:t>
      </w:r>
    </w:p>
    <w:p w14:paraId="46FEF5F5">
      <w:pPr>
        <w:spacing w:line="580" w:lineRule="exact"/>
        <w:jc w:val="center"/>
        <w:rPr>
          <w:rFonts w:eastAsia="方正小标宋简体"/>
          <w:color w:val="000000" w:themeColor="text1"/>
          <w:sz w:val="44"/>
          <w:szCs w:val="44"/>
          <w14:textFill>
            <w14:solidFill>
              <w14:schemeClr w14:val="tx1"/>
            </w14:solidFill>
          </w14:textFill>
        </w:rPr>
      </w:pPr>
      <w:r>
        <w:rPr>
          <w:rFonts w:eastAsia="方正小标宋简体"/>
          <w:color w:val="000000" w:themeColor="text1"/>
          <w:sz w:val="44"/>
          <w:szCs w:val="44"/>
          <w14:textFill>
            <w14:solidFill>
              <w14:schemeClr w14:val="tx1"/>
            </w14:solidFill>
          </w14:textFill>
        </w:rPr>
        <w:t>名词解释</w:t>
      </w:r>
    </w:p>
    <w:p w14:paraId="3E2E8B79">
      <w:pPr>
        <w:spacing w:line="580" w:lineRule="exact"/>
        <w:rPr>
          <w:color w:val="000000" w:themeColor="text1"/>
          <w:szCs w:val="32"/>
          <w14:textFill>
            <w14:solidFill>
              <w14:schemeClr w14:val="tx1"/>
            </w14:solidFill>
          </w14:textFill>
        </w:rPr>
      </w:pPr>
    </w:p>
    <w:p w14:paraId="1AA98823">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1.民用建筑：供人们居住和进行公共活动的建筑的总称。按建筑使用功能可分为居住建筑和公共建筑两大类。</w:t>
      </w:r>
    </w:p>
    <w:p w14:paraId="74D85EC2">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2.居住建筑：供人们居住使用的建筑。包括高层住宅建筑、多层住宅建筑、低层住宅建筑、综合楼中的住宅部分。</w:t>
      </w:r>
    </w:p>
    <w:p w14:paraId="2BB83396">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3.公共建筑：供人们进行各种公共活动的建筑。</w:t>
      </w:r>
    </w:p>
    <w:p w14:paraId="549FC5C0">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4.民用建筑按地上建筑高度或层数分类划分如下：</w:t>
      </w:r>
    </w:p>
    <w:p w14:paraId="107242CD">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（1）建筑高度不大于27.0米的住宅建筑、建筑高度不大于24.0米的公共建筑及建筑高度大于24.0米的单层公共建筑为低层或多层民用建筑。</w:t>
      </w:r>
    </w:p>
    <w:p w14:paraId="0A79631B">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（2）建筑高度大于27.0米的住宅建筑和建筑高度大于24.0米的非单层公共建筑，且高度不大于100.0米的，为高层民用建筑。</w:t>
      </w:r>
    </w:p>
    <w:p w14:paraId="6DDBB1DC">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（3）建筑高度大于100.0米的为超高层建筑。</w:t>
      </w:r>
    </w:p>
    <w:p w14:paraId="204347D3">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（4）城市居住区住宅建筑平均层数类别：低层（1层</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3层）；多层I类（4层</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6层）；多层II类（7层</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9层）；高层I类（10层</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18层）；高层II类（19层</w:t>
      </w:r>
      <w:r>
        <w:rPr>
          <w:rFonts w:hint="eastAsia"/>
          <w:color w:val="000000" w:themeColor="text1"/>
          <w:szCs w:val="32"/>
          <w14:textFill>
            <w14:solidFill>
              <w14:schemeClr w14:val="tx1"/>
            </w14:solidFill>
          </w14:textFill>
        </w:rPr>
        <w:t>—</w:t>
      </w:r>
      <w:r>
        <w:rPr>
          <w:color w:val="000000" w:themeColor="text1"/>
          <w:szCs w:val="32"/>
          <w14:textFill>
            <w14:solidFill>
              <w14:schemeClr w14:val="tx1"/>
            </w14:solidFill>
          </w14:textFill>
        </w:rPr>
        <w:t>26层）。</w:t>
      </w:r>
    </w:p>
    <w:p w14:paraId="502729B7">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5.住宅平均层数：住宅总建筑面积与住宅基底总面积的比值（层）。</w:t>
      </w:r>
    </w:p>
    <w:p w14:paraId="097836F0">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6.非居住建筑：除居住建筑以外的其他民用建筑（本规定中不包括工业建筑）。</w:t>
      </w:r>
    </w:p>
    <w:p w14:paraId="63E0466A">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7.综合楼：由二种及二种以上用途的楼层组成的公共建筑。</w:t>
      </w:r>
    </w:p>
    <w:p w14:paraId="2DFA3750">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8.公寓：除日照要求外均满足《住宅设计规范》和《住宅建筑规范》其他强制性内容的一类特殊的生活单元。</w:t>
      </w:r>
    </w:p>
    <w:p w14:paraId="7328B3A1">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9.裙房：与高层建筑相连的建筑高度不超过24.0米的附属建筑。</w:t>
      </w:r>
    </w:p>
    <w:p w14:paraId="7B8010D6">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10.地下室：房间地平面低于室外地平面的高度超过该房间净高的1/2者为地下室。</w:t>
      </w:r>
    </w:p>
    <w:p w14:paraId="7B12CA90">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11.半地下室：房间地平面低于室外地平面的高度超过该房间净高的1/3，且不超过1/2者为半地下室。</w:t>
      </w:r>
    </w:p>
    <w:p w14:paraId="1AF1FB03">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12.入户花园：设置于入户门与客厅之间，至少有一边设有栏杆或栏板的开敞空间。</w:t>
      </w:r>
    </w:p>
    <w:p w14:paraId="50376FF1">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13.设备平台：附属在建筑外围护结构外，不与户室连通的用于空调外机、热水机组等设备搁置、检修的室外空间。</w:t>
      </w:r>
    </w:p>
    <w:p w14:paraId="79CE3FD2">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14.设备层：建筑物中专为设置暖通、空调、给水排水和配电变等的设备和管道且供人员进入操作用的空间层。</w:t>
      </w:r>
    </w:p>
    <w:p w14:paraId="7873623B">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15.避难层：建筑高度超过100米的高层建筑，为消防安全专门设置的供人们疏散避难的楼层。</w:t>
      </w:r>
    </w:p>
    <w:p w14:paraId="7D8C76E1">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16.架空层：仅有结构支撑而无外围护结构的开敞空间层。</w:t>
      </w:r>
    </w:p>
    <w:p w14:paraId="10B982E9">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17.低层辅助用房：与主体建筑配套使用的高度不大于6.0米，且不直接临路开设出入口的门卫、车库、垃圾房、市政设施用房、物管用房等。</w:t>
      </w:r>
    </w:p>
    <w:p w14:paraId="37DFF126">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18.停车空间：停放机动车和非机动车的室内、外空间。</w:t>
      </w:r>
    </w:p>
    <w:p w14:paraId="253303BE">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19.容积率：在规划项目建设用地内，计算容积率的建筑面积总和与规划项目建设用地面积的比值。</w:t>
      </w:r>
    </w:p>
    <w:p w14:paraId="312347B2">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20.建筑密度：在规划项目建设用地内，建筑物的基底面积总和与规划项目建设用地面积的比值（%）。</w:t>
      </w:r>
    </w:p>
    <w:p w14:paraId="31824FEE">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21.绿地率：在规划项目建设用地内，各类绿地面积的总和与规划项目建设用地面积的比值（%）。</w:t>
      </w:r>
    </w:p>
    <w:p w14:paraId="6F413640">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22.高层建筑主要朝向：</w:t>
      </w:r>
      <w:r>
        <w:rPr>
          <w:rFonts w:eastAsia="宋体"/>
          <w:color w:val="000000" w:themeColor="text1"/>
          <w:szCs w:val="32"/>
          <w14:textFill>
            <w14:solidFill>
              <w14:schemeClr w14:val="tx1"/>
            </w14:solidFill>
          </w14:textFill>
        </w:rPr>
        <w:t>①</w:t>
      </w:r>
      <w:r>
        <w:rPr>
          <w:color w:val="000000" w:themeColor="text1"/>
          <w:szCs w:val="32"/>
          <w14:textFill>
            <w14:solidFill>
              <w14:schemeClr w14:val="tx1"/>
            </w14:solidFill>
          </w14:textFill>
        </w:rPr>
        <w:t>高层居住建筑中主要房间如卧室、起居室、书房、健身房等的开窗（含阳台）面的朝向。</w:t>
      </w:r>
      <w:r>
        <w:rPr>
          <w:rFonts w:eastAsia="宋体"/>
          <w:color w:val="000000" w:themeColor="text1"/>
          <w:szCs w:val="32"/>
          <w14:textFill>
            <w14:solidFill>
              <w14:schemeClr w14:val="tx1"/>
            </w14:solidFill>
          </w14:textFill>
        </w:rPr>
        <w:t>②</w:t>
      </w:r>
      <w:r>
        <w:rPr>
          <w:color w:val="000000" w:themeColor="text1"/>
          <w:szCs w:val="32"/>
          <w14:textFill>
            <w14:solidFill>
              <w14:schemeClr w14:val="tx1"/>
            </w14:solidFill>
          </w14:textFill>
        </w:rPr>
        <w:t>高层非居住建筑中次要朝向以外的朝向。</w:t>
      </w:r>
      <w:r>
        <w:rPr>
          <w:rFonts w:eastAsia="宋体"/>
          <w:color w:val="000000" w:themeColor="text1"/>
          <w:szCs w:val="32"/>
          <w14:textFill>
            <w14:solidFill>
              <w14:schemeClr w14:val="tx1"/>
            </w14:solidFill>
          </w14:textFill>
        </w:rPr>
        <w:t>③</w:t>
      </w:r>
      <w:r>
        <w:rPr>
          <w:color w:val="000000" w:themeColor="text1"/>
          <w:szCs w:val="32"/>
          <w14:textFill>
            <w14:solidFill>
              <w14:schemeClr w14:val="tx1"/>
            </w14:solidFill>
          </w14:textFill>
        </w:rPr>
        <w:t>高层建筑中面宽大于20.0米的各类朝向。</w:t>
      </w:r>
    </w:p>
    <w:p w14:paraId="33CB1875">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23.高层建筑次要朝向：次要朝向可设置卫生间、盥洗室、厨房、储物间、开水间、楼梯、内走廊窗以及服务阳台等。</w:t>
      </w:r>
    </w:p>
    <w:p w14:paraId="117606DD">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24.点式高层住宅：主要朝向投影面宽小于35.0米的高层住宅。</w:t>
      </w:r>
    </w:p>
    <w:p w14:paraId="77F21543">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25.多、低层建筑长边：主要功能房间开窗面、阳台设置面以及面宽大于18.0米的山墙面。</w:t>
      </w:r>
    </w:p>
    <w:p w14:paraId="1D26A866">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26.多、低层建筑山墙：多、低层建筑面宽不大于18.0米的短边。山墙面每层可设置面积不大于1.8平方米的走道窗、楼梯间窗；面积不大于0.6平方米的卫生间窗、盥洗室窗、开水间窗、储物间高窗。</w:t>
      </w:r>
    </w:p>
    <w:p w14:paraId="6F170AAC">
      <w:pPr>
        <w:shd w:val="clear" w:color="auto" w:fill="FFFFFF"/>
        <w:spacing w:line="580" w:lineRule="exact"/>
        <w:ind w:firstLine="640" w:firstLineChars="200"/>
        <w:rPr>
          <w:color w:val="000000" w:themeColor="text1"/>
          <w:kern w:val="0"/>
          <w:szCs w:val="21"/>
          <w14:textFill>
            <w14:solidFill>
              <w14:schemeClr w14:val="tx1"/>
            </w14:solidFill>
          </w14:textFill>
        </w:rPr>
      </w:pPr>
      <w:r>
        <w:rPr>
          <w:color w:val="000000" w:themeColor="text1"/>
          <w:szCs w:val="32"/>
          <w14:textFill>
            <w14:solidFill>
              <w14:schemeClr w14:val="tx1"/>
            </w14:solidFill>
          </w14:textFill>
        </w:rPr>
        <w:t>27.层高：是指上下两层楼面（或地面至楼面）结构标高之间的垂直距离；屋顶层由该层楼面面层（完成面）至平屋面的结构层或至坡顶的结构面层与外墙外皮延长线的交点计算的垂直距离。</w:t>
      </w:r>
    </w:p>
    <w:p w14:paraId="62015C79">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28.建筑工程规划建设总建筑面积：指一定地块内建筑工程规划建设的总建筑面积，包括地面以上和地面以下建筑面积的总和。</w:t>
      </w:r>
    </w:p>
    <w:p w14:paraId="69456EB0">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29.工业建筑：包括直接用于生产的建筑、必要的生产配套办公用房和服务用房。</w:t>
      </w:r>
    </w:p>
    <w:p w14:paraId="27B442E3">
      <w:pPr>
        <w:spacing w:line="580" w:lineRule="exact"/>
        <w:ind w:firstLine="645"/>
        <w:rPr>
          <w:color w:val="000000" w:themeColor="text1"/>
          <w:szCs w:val="32"/>
          <w14:textFill>
            <w14:solidFill>
              <w14:schemeClr w14:val="tx1"/>
            </w14:solidFill>
          </w14:textFill>
        </w:rPr>
      </w:pPr>
      <w:r>
        <w:rPr>
          <w:color w:val="000000" w:themeColor="text1"/>
          <w:szCs w:val="32"/>
          <w14:textFill>
            <w14:solidFill>
              <w14:schemeClr w14:val="tx1"/>
            </w14:solidFill>
          </w14:textFill>
        </w:rPr>
        <w:t>30.</w:t>
      </w:r>
      <w:r>
        <w:rPr>
          <w:rFonts w:hint="eastAsia"/>
          <w:color w:val="000000" w:themeColor="text1"/>
          <w:szCs w:val="32"/>
          <w14:textFill>
            <w14:solidFill>
              <w14:schemeClr w14:val="tx1"/>
            </w14:solidFill>
          </w14:textFill>
        </w:rPr>
        <w:t>丹棱中心城区</w:t>
      </w:r>
      <w:r>
        <w:rPr>
          <w:color w:val="000000" w:themeColor="text1"/>
          <w:szCs w:val="32"/>
          <w14:textFill>
            <w14:solidFill>
              <w14:schemeClr w14:val="tx1"/>
            </w14:solidFill>
          </w14:textFill>
        </w:rPr>
        <w:t>是指由省政府批准的</w:t>
      </w:r>
      <w:r>
        <w:rPr>
          <w:rFonts w:hint="eastAsia"/>
          <w:color w:val="000000" w:themeColor="text1"/>
          <w:szCs w:val="32"/>
          <w14:textFill>
            <w14:solidFill>
              <w14:schemeClr w14:val="tx1"/>
            </w14:solidFill>
          </w14:textFill>
        </w:rPr>
        <w:t>丹棱县</w:t>
      </w:r>
      <w:r>
        <w:rPr>
          <w:color w:val="000000" w:themeColor="text1"/>
          <w:szCs w:val="32"/>
          <w14:textFill>
            <w14:solidFill>
              <w14:schemeClr w14:val="tx1"/>
            </w14:solidFill>
          </w14:textFill>
        </w:rPr>
        <w:t>国土空间总体规划确定的中心城区区域</w:t>
      </w:r>
      <w:r>
        <w:rPr>
          <w:rFonts w:hint="eastAsia"/>
          <w:color w:val="000000" w:themeColor="text1"/>
          <w:szCs w:val="32"/>
          <w14:textFill>
            <w14:solidFill>
              <w14:schemeClr w14:val="tx1"/>
            </w14:solidFill>
          </w14:textFill>
        </w:rPr>
        <w:t>，乡镇镇区是指市人民政府批准的丹棱县乡镇级国土空间总体规划确定的乡镇镇区</w:t>
      </w:r>
      <w:r>
        <w:rPr>
          <w:color w:val="000000" w:themeColor="text1"/>
          <w:szCs w:val="32"/>
          <w14:textFill>
            <w14:solidFill>
              <w14:schemeClr w14:val="tx1"/>
            </w14:solidFill>
          </w14:textFill>
        </w:rPr>
        <w:t>。</w:t>
      </w:r>
    </w:p>
    <w:p w14:paraId="4976B5FD">
      <w:pPr>
        <w:spacing w:line="580" w:lineRule="exact"/>
        <w:ind w:firstLine="640" w:firstLineChars="200"/>
        <w:rPr>
          <w:color w:val="000000" w:themeColor="text1"/>
          <w:szCs w:val="32"/>
          <w14:textFill>
            <w14:solidFill>
              <w14:schemeClr w14:val="tx1"/>
            </w14:solidFill>
          </w14:textFill>
        </w:rPr>
      </w:pPr>
      <w:r>
        <w:rPr>
          <w:color w:val="000000" w:themeColor="text1"/>
          <w:szCs w:val="32"/>
          <w14:textFill>
            <w14:solidFill>
              <w14:schemeClr w14:val="tx1"/>
            </w14:solidFill>
          </w14:textFill>
        </w:rPr>
        <w:t>31.带状绿地：在控制性详细规划中标注有宽度的城市各种类型和规模的绿地。</w:t>
      </w:r>
    </w:p>
    <w:p w14:paraId="6A30753D">
      <w:pPr>
        <w:spacing w:line="580" w:lineRule="exact"/>
        <w:ind w:firstLine="645"/>
        <w:rPr>
          <w:color w:val="000000" w:themeColor="text1"/>
          <w:szCs w:val="32"/>
          <w14:textFill>
            <w14:solidFill>
              <w14:schemeClr w14:val="tx1"/>
            </w14:solidFill>
          </w14:textFill>
        </w:rPr>
      </w:pPr>
      <w:r>
        <w:rPr>
          <w:color w:val="000000" w:themeColor="text1"/>
          <w:szCs w:val="32"/>
          <w14:textFill>
            <w14:solidFill>
              <w14:schemeClr w14:val="tx1"/>
            </w14:solidFill>
          </w14:textFill>
        </w:rPr>
        <w:t>32.块状绿地：除带状绿地之外的城市各种类型和规模的绿地。</w:t>
      </w:r>
    </w:p>
    <w:p w14:paraId="600E8631">
      <w:pPr>
        <w:spacing w:line="580" w:lineRule="exact"/>
        <w:ind w:firstLine="645"/>
        <w:rPr>
          <w:color w:val="000000" w:themeColor="text1"/>
          <w:szCs w:val="32"/>
          <w14:textFill>
            <w14:solidFill>
              <w14:schemeClr w14:val="tx1"/>
            </w14:solidFill>
          </w14:textFill>
        </w:rPr>
      </w:pPr>
      <w:r>
        <w:rPr>
          <w:color w:val="000000" w:themeColor="text1"/>
          <w:szCs w:val="32"/>
          <w14:textFill>
            <w14:solidFill>
              <w14:schemeClr w14:val="tx1"/>
            </w14:solidFill>
          </w14:textFill>
        </w:rPr>
        <w:t>33.道路红线：规划的城市道路（含居住区级道路）用地的边界线。</w:t>
      </w:r>
    </w:p>
    <w:p w14:paraId="283EE842">
      <w:pPr>
        <w:spacing w:line="580" w:lineRule="exact"/>
        <w:ind w:firstLine="645"/>
        <w:rPr>
          <w:color w:val="000000" w:themeColor="text1"/>
          <w:szCs w:val="32"/>
          <w14:textFill>
            <w14:solidFill>
              <w14:schemeClr w14:val="tx1"/>
            </w14:solidFill>
          </w14:textFill>
        </w:rPr>
      </w:pPr>
      <w:r>
        <w:rPr>
          <w:color w:val="000000" w:themeColor="text1"/>
          <w:szCs w:val="32"/>
          <w14:textFill>
            <w14:solidFill>
              <w14:schemeClr w14:val="tx1"/>
            </w14:solidFill>
          </w14:textFill>
        </w:rPr>
        <w:t>34.用地界线：各类建筑工程项目用地的使用权属范围的边界线。</w:t>
      </w:r>
    </w:p>
    <w:p w14:paraId="1060F961">
      <w:pPr>
        <w:spacing w:line="580" w:lineRule="exact"/>
        <w:ind w:firstLine="645"/>
        <w:rPr>
          <w:color w:val="000000" w:themeColor="text1"/>
          <w:szCs w:val="32"/>
          <w14:textFill>
            <w14:solidFill>
              <w14:schemeClr w14:val="tx1"/>
            </w14:solidFill>
          </w14:textFill>
        </w:rPr>
      </w:pPr>
      <w:r>
        <w:rPr>
          <w:color w:val="000000" w:themeColor="text1"/>
          <w:szCs w:val="32"/>
          <w14:textFill>
            <w14:solidFill>
              <w14:schemeClr w14:val="tx1"/>
            </w14:solidFill>
          </w14:textFill>
        </w:rPr>
        <w:t>35.城市绿线：城市各类绿地范围的控制线。</w:t>
      </w:r>
    </w:p>
    <w:p w14:paraId="734BCA10">
      <w:pPr>
        <w:spacing w:line="580" w:lineRule="exact"/>
        <w:ind w:firstLine="645"/>
        <w:rPr>
          <w:color w:val="000000" w:themeColor="text1"/>
          <w:szCs w:val="32"/>
          <w14:textFill>
            <w14:solidFill>
              <w14:schemeClr w14:val="tx1"/>
            </w14:solidFill>
          </w14:textFill>
        </w:rPr>
      </w:pPr>
      <w:r>
        <w:rPr>
          <w:color w:val="000000" w:themeColor="text1"/>
          <w:szCs w:val="32"/>
          <w14:textFill>
            <w14:solidFill>
              <w14:schemeClr w14:val="tx1"/>
            </w14:solidFill>
          </w14:textFill>
        </w:rPr>
        <w:t>36.城市蓝线：城市规划确定的江、河、湖、库、渠、湿地等城市地表水体保护和控制的地域界线。包括城市取水点上游100米和穿过城市的江河、溪流在城市规划区范围之外的相应区段。</w:t>
      </w:r>
    </w:p>
    <w:p w14:paraId="3D93C11F">
      <w:pPr>
        <w:spacing w:line="580" w:lineRule="exact"/>
        <w:ind w:firstLine="645"/>
        <w:rPr>
          <w:color w:val="000000" w:themeColor="text1"/>
          <w:szCs w:val="32"/>
          <w14:textFill>
            <w14:solidFill>
              <w14:schemeClr w14:val="tx1"/>
            </w14:solidFill>
          </w14:textFill>
        </w:rPr>
      </w:pPr>
      <w:r>
        <w:rPr>
          <w:color w:val="000000" w:themeColor="text1"/>
          <w:szCs w:val="32"/>
          <w14:textFill>
            <w14:solidFill>
              <w14:schemeClr w14:val="tx1"/>
            </w14:solidFill>
          </w14:textFill>
        </w:rPr>
        <w:t>37.城市紫线：指国家历史文化名城内的历史文化街区和省、自治区、直辖市人民政府公布的历史文化街区的保护范围界线，以及历史文化街区外经县级以上人民政府公布保护的历史建筑的保护范围界线。</w:t>
      </w:r>
    </w:p>
    <w:p w14:paraId="68649F19">
      <w:pPr>
        <w:spacing w:line="580" w:lineRule="exact"/>
        <w:ind w:firstLine="645"/>
        <w:rPr>
          <w:color w:val="000000" w:themeColor="text1"/>
          <w:szCs w:val="32"/>
          <w14:textFill>
            <w14:solidFill>
              <w14:schemeClr w14:val="tx1"/>
            </w14:solidFill>
          </w14:textFill>
        </w:rPr>
      </w:pPr>
      <w:r>
        <w:rPr>
          <w:color w:val="000000" w:themeColor="text1"/>
          <w:szCs w:val="32"/>
          <w14:textFill>
            <w14:solidFill>
              <w14:schemeClr w14:val="tx1"/>
            </w14:solidFill>
          </w14:textFill>
        </w:rPr>
        <w:t>38.城市黄线：对城市发展全局有影响的、城市规划中确定的、必须控制的城市基础设施用地的控制界线。</w:t>
      </w:r>
    </w:p>
    <w:p w14:paraId="77385DF1">
      <w:pPr>
        <w:spacing w:line="580" w:lineRule="exact"/>
        <w:ind w:firstLine="645"/>
        <w:rPr>
          <w:color w:val="000000" w:themeColor="text1"/>
          <w:szCs w:val="32"/>
          <w14:textFill>
            <w14:solidFill>
              <w14:schemeClr w14:val="tx1"/>
            </w14:solidFill>
          </w14:textFill>
        </w:rPr>
      </w:pPr>
      <w:r>
        <w:rPr>
          <w:color w:val="000000" w:themeColor="text1"/>
          <w:szCs w:val="32"/>
          <w14:textFill>
            <w14:solidFill>
              <w14:schemeClr w14:val="tx1"/>
            </w14:solidFill>
          </w14:textFill>
        </w:rPr>
        <w:t>39.特殊控制线：如机场净空限高控制线、等值线、城市微波通道等其他规划要求控制范围的界线。</w:t>
      </w:r>
    </w:p>
    <w:p w14:paraId="4878DAEA">
      <w:pPr>
        <w:spacing w:line="580" w:lineRule="exact"/>
        <w:ind w:firstLine="645"/>
        <w:rPr>
          <w:color w:val="000000" w:themeColor="text1"/>
          <w:szCs w:val="32"/>
          <w14:textFill>
            <w14:solidFill>
              <w14:schemeClr w14:val="tx1"/>
            </w14:solidFill>
          </w14:textFill>
        </w:rPr>
      </w:pPr>
      <w:r>
        <w:rPr>
          <w:color w:val="000000" w:themeColor="text1"/>
          <w:szCs w:val="32"/>
          <w14:textFill>
            <w14:solidFill>
              <w14:schemeClr w14:val="tx1"/>
            </w14:solidFill>
          </w14:textFill>
        </w:rPr>
        <w:t>40.建筑红线：有关法规或控制性详细规划确定的建筑物、构筑物的主体外轮廓必须依此线型设计，不得超过或后退的界线。</w:t>
      </w:r>
    </w:p>
    <w:p w14:paraId="5F73204B">
      <w:pPr>
        <w:spacing w:line="580" w:lineRule="exact"/>
        <w:ind w:firstLine="656" w:firstLineChars="205"/>
        <w:rPr>
          <w:color w:val="000000" w:themeColor="text1"/>
          <w:szCs w:val="32"/>
          <w14:textFill>
            <w14:solidFill>
              <w14:schemeClr w14:val="tx1"/>
            </w14:solidFill>
          </w14:textFill>
        </w:rPr>
      </w:pPr>
      <w:r>
        <w:rPr>
          <w:color w:val="000000" w:themeColor="text1"/>
          <w:szCs w:val="32"/>
          <w14:textFill>
            <w14:solidFill>
              <w14:schemeClr w14:val="tx1"/>
            </w14:solidFill>
          </w14:textFill>
        </w:rPr>
        <w:t>41.半地下车库：是指净高不超过2.2米，内地平面低于室外地平面的高度超过车库净高的1/3，且不超过车库净高的1/2的地下车库。</w:t>
      </w:r>
    </w:p>
    <w:p w14:paraId="5EAABC8E">
      <w:pPr>
        <w:spacing w:line="580" w:lineRule="exact"/>
        <w:ind w:firstLine="645"/>
        <w:rPr>
          <w:color w:val="000000" w:themeColor="text1"/>
          <w:szCs w:val="32"/>
          <w14:textFill>
            <w14:solidFill>
              <w14:schemeClr w14:val="tx1"/>
            </w14:solidFill>
          </w14:textFill>
        </w:rPr>
      </w:pPr>
      <w:r>
        <w:rPr>
          <w:color w:val="000000" w:themeColor="text1"/>
          <w:szCs w:val="32"/>
          <w14:textFill>
            <w14:solidFill>
              <w14:schemeClr w14:val="tx1"/>
            </w14:solidFill>
          </w14:textFill>
        </w:rPr>
        <w:t>42.+1层：由室内楼梯通向上一层且上一层面积小于本层建筑面积的1/3的为+1层；上一层面积大于本层建筑面积的1/3的应按单独一层计算。</w:t>
      </w:r>
    </w:p>
    <w:p w14:paraId="57106F39">
      <w:pPr>
        <w:spacing w:line="580" w:lineRule="exact"/>
        <w:ind w:firstLine="640" w:firstLineChars="200"/>
        <w:rPr>
          <w:color w:val="000000" w:themeColor="text1"/>
          <w:szCs w:val="32"/>
          <w:u w:val="single"/>
          <w14:textFill>
            <w14:solidFill>
              <w14:schemeClr w14:val="tx1"/>
            </w14:solidFill>
          </w14:textFill>
        </w:rPr>
      </w:pPr>
      <w:r>
        <w:rPr>
          <w:color w:val="000000" w:themeColor="text1"/>
          <w:szCs w:val="32"/>
          <w14:textFill>
            <w14:solidFill>
              <w14:schemeClr w14:val="tx1"/>
            </w14:solidFill>
          </w14:textFill>
        </w:rPr>
        <w:t>43.建筑的基底面积：建筑物接触地面的自然层建筑外墙或结构外围水平投影面积。</w:t>
      </w:r>
    </w:p>
    <w:p w14:paraId="2C87BD2B">
      <w:pPr>
        <w:spacing w:line="594" w:lineRule="exact"/>
        <w:rPr>
          <w:color w:val="000000" w:themeColor="text1"/>
          <w:szCs w:val="32"/>
          <w14:textFill>
            <w14:solidFill>
              <w14:schemeClr w14:val="tx1"/>
            </w14:solidFill>
          </w14:textFill>
        </w:rPr>
      </w:pPr>
    </w:p>
    <w:p w14:paraId="4F4E3C5C">
      <w:pPr>
        <w:widowControl/>
        <w:jc w:val="left"/>
        <w:rPr>
          <w:rFonts w:eastAsia="黑体"/>
          <w:color w:val="000000" w:themeColor="text1"/>
          <w:sz w:val="28"/>
          <w:szCs w:val="28"/>
          <w14:textFill>
            <w14:solidFill>
              <w14:schemeClr w14:val="tx1"/>
            </w14:solidFill>
          </w14:textFill>
        </w:rPr>
      </w:pPr>
      <w:r>
        <w:rPr>
          <w:rFonts w:eastAsia="黑体"/>
          <w:color w:val="000000" w:themeColor="text1"/>
          <w:sz w:val="28"/>
          <w:szCs w:val="28"/>
          <w14:textFill>
            <w14:solidFill>
              <w14:schemeClr w14:val="tx1"/>
            </w14:solidFill>
          </w14:textFill>
        </w:rPr>
        <w:br w:type="page"/>
      </w:r>
    </w:p>
    <w:p w14:paraId="6E70DDD4">
      <w:pPr>
        <w:spacing w:line="594" w:lineRule="exact"/>
        <w:rPr>
          <w:rFonts w:eastAsia="黑体"/>
          <w:color w:val="000000" w:themeColor="text1"/>
          <w:sz w:val="28"/>
          <w:szCs w:val="28"/>
          <w14:textFill>
            <w14:solidFill>
              <w14:schemeClr w14:val="tx1"/>
            </w14:solidFill>
          </w14:textFill>
        </w:rPr>
      </w:pPr>
      <w:r>
        <w:rPr>
          <w:rFonts w:eastAsia="黑体"/>
          <w:color w:val="000000" w:themeColor="text1"/>
          <w:sz w:val="28"/>
          <w:szCs w:val="28"/>
          <w14:textFill>
            <w14:solidFill>
              <w14:schemeClr w14:val="tx1"/>
            </w14:solidFill>
          </w14:textFill>
        </w:rPr>
        <w:t xml:space="preserve">附录5  </w:t>
      </w:r>
    </w:p>
    <w:p w14:paraId="7AFB0B98">
      <w:pPr>
        <w:pStyle w:val="2"/>
        <w:rPr>
          <w:rFonts w:eastAsia="黑体"/>
          <w:b w:val="0"/>
          <w:color w:val="000000" w:themeColor="text1"/>
          <w:sz w:val="28"/>
          <w:szCs w:val="28"/>
          <w14:textFill>
            <w14:solidFill>
              <w14:schemeClr w14:val="tx1"/>
            </w14:solidFill>
          </w14:textFill>
        </w:rPr>
      </w:pPr>
    </w:p>
    <w:p w14:paraId="0BF8B08C">
      <w:pPr>
        <w:rPr>
          <w:rFonts w:eastAsia="黑体"/>
          <w:color w:val="000000" w:themeColor="text1"/>
          <w:sz w:val="28"/>
          <w:szCs w:val="28"/>
          <w14:textFill>
            <w14:solidFill>
              <w14:schemeClr w14:val="tx1"/>
            </w14:solidFill>
          </w14:textFill>
        </w:rPr>
      </w:pPr>
    </w:p>
    <w:p w14:paraId="5E9994BE">
      <w:pPr>
        <w:spacing w:line="594" w:lineRule="exact"/>
        <w:jc w:val="center"/>
        <w:rPr>
          <w:rFonts w:eastAsia="方正小标宋简体"/>
          <w:color w:val="000000" w:themeColor="text1"/>
          <w:sz w:val="44"/>
          <w:szCs w:val="44"/>
          <w14:textFill>
            <w14:solidFill>
              <w14:schemeClr w14:val="tx1"/>
            </w14:solidFill>
          </w14:textFill>
        </w:rPr>
      </w:pPr>
      <w:r>
        <w:rPr>
          <w:rFonts w:eastAsia="方正小标宋简体"/>
          <w:color w:val="000000" w:themeColor="text1"/>
          <w:sz w:val="44"/>
          <w:szCs w:val="44"/>
          <w14:textFill>
            <w14:solidFill>
              <w14:schemeClr w14:val="tx1"/>
            </w14:solidFill>
          </w14:textFill>
        </w:rPr>
        <w:t>规划管理分区图</w:t>
      </w:r>
    </w:p>
    <w:p w14:paraId="44EC2B78">
      <w:pPr>
        <w:pStyle w:val="2"/>
        <w:rPr>
          <w:rFonts w:eastAsia="方正小标宋简体"/>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933950" cy="4933950"/>
            <wp:effectExtent l="0" t="0" r="0" b="0"/>
            <wp:docPr id="8962791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79158" name="图片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933950" cy="4933950"/>
                    </a:xfrm>
                    <a:prstGeom prst="rect">
                      <a:avLst/>
                    </a:prstGeom>
                    <a:noFill/>
                    <a:ln>
                      <a:noFill/>
                    </a:ln>
                  </pic:spPr>
                </pic:pic>
              </a:graphicData>
            </a:graphic>
          </wp:inline>
        </w:drawing>
      </w:r>
    </w:p>
    <w:p w14:paraId="5FC77DAD">
      <w:pPr>
        <w:rPr>
          <w:rFonts w:eastAsia="黑体"/>
          <w:bCs/>
          <w:color w:val="000000" w:themeColor="text1"/>
          <w14:textFill>
            <w14:solidFill>
              <w14:schemeClr w14:val="tx1"/>
            </w14:solidFill>
          </w14:textFill>
        </w:rPr>
      </w:pPr>
    </w:p>
    <w:p w14:paraId="51B31977">
      <w:pPr>
        <w:rPr>
          <w:color w:val="000000" w:themeColor="text1"/>
          <w14:textFill>
            <w14:solidFill>
              <w14:schemeClr w14:val="tx1"/>
            </w14:solidFill>
          </w14:textFill>
        </w:rPr>
      </w:pPr>
      <w:r>
        <w:rPr>
          <w:rFonts w:eastAsia="黑体"/>
          <w:bCs/>
          <w:color w:val="000000" w:themeColor="text1"/>
          <w14:textFill>
            <w14:solidFill>
              <w14:schemeClr w14:val="tx1"/>
            </w14:solidFill>
          </w14:textFill>
        </w:rPr>
        <w:t>信息公开选项：主动公开</w:t>
      </w:r>
    </w:p>
    <w:sectPr>
      <w:pgSz w:w="11906" w:h="16838"/>
      <w:pgMar w:top="2098" w:right="1474" w:bottom="1928" w:left="1588" w:header="851" w:footer="1701" w:gutter="0"/>
      <w:cols w:space="720" w:num="1"/>
      <w:docGrid w:type="lines" w:linePitch="43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E984BE0-7963-4E11-8383-B218C74D4FF7}"/>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embedRegular r:id="rId2" w:fontKey="{B7738D87-103F-4B77-BFB2-F51EEF2D8253}"/>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embedRegular r:id="rId3" w:fontKey="{5E453A31-A026-4033-AB70-4D4EE22A63C7}"/>
  </w:font>
  <w:font w:name="方正小标宋简体">
    <w:panose1 w:val="02010600010101010101"/>
    <w:charset w:val="86"/>
    <w:family w:val="auto"/>
    <w:pitch w:val="default"/>
    <w:sig w:usb0="00000001" w:usb1="080E0000" w:usb2="00000000" w:usb3="00000000" w:csb0="00040000" w:csb1="00000000"/>
    <w:embedRegular r:id="rId4" w:fontKey="{C3E00631-787F-4A50-9D15-3C6E50A830FC}"/>
  </w:font>
  <w:font w:name="Arial">
    <w:panose1 w:val="020B0604020202020204"/>
    <w:charset w:val="00"/>
    <w:family w:val="swiss"/>
    <w:pitch w:val="default"/>
    <w:sig w:usb0="E0002AFF" w:usb1="C0007843" w:usb2="00000009" w:usb3="00000000" w:csb0="400001FF" w:csb1="FFFF0000"/>
    <w:embedRegular r:id="rId5" w:fontKey="{B05C81FA-86DA-4401-9AFB-173DA8A830B2}"/>
  </w:font>
  <w:font w:name="方正大标宋简体">
    <w:altName w:val="微软雅黑"/>
    <w:panose1 w:val="00000000000000000000"/>
    <w:charset w:val="86"/>
    <w:family w:val="auto"/>
    <w:pitch w:val="default"/>
    <w:sig w:usb0="00000000" w:usb1="00000000" w:usb2="00000010" w:usb3="00000000" w:csb0="00040000" w:csb1="00000000"/>
    <w:embedRegular r:id="rId6" w:fontKey="{6F06117B-D51C-45A0-93DE-730F2D959265}"/>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BDE3A">
    <w:pPr>
      <w:pStyle w:val="10"/>
      <w:jc w:val="right"/>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52363">
    <w:pPr>
      <w:pStyle w:val="10"/>
      <w:rPr>
        <w:rFonts w:hint="eastAsia"/>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A72AC">
    <w:pPr>
      <w:pStyle w:val="10"/>
    </w:pPr>
    <w:r>
      <mc:AlternateContent>
        <mc:Choice Requires="wps">
          <w:drawing>
            <wp:anchor distT="0" distB="0" distL="114300" distR="114300" simplePos="0" relativeHeight="251661312" behindDoc="0" locked="0" layoutInCell="1" allowOverlap="1">
              <wp:simplePos x="0" y="0"/>
              <wp:positionH relativeFrom="margin">
                <wp:posOffset>5566410</wp:posOffset>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A3FA79">
                          <w:pPr>
                            <w:pStyle w:val="1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38.3pt;margin-top:0pt;height:144pt;width:144pt;mso-position-horizontal-relative:margin;mso-wrap-style:none;z-index:251661312;mso-width-relative:page;mso-height-relative:page;" filled="f" stroked="f" coordsize="21600,21600" o:gfxdata="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TiytDVAAAACQEAAA8AAAAAAAAAAQAgAAAAIgAAAGRycy9kb3ducmV2LnhtbFBLAQIUABQA&#10;AAAIAIdO4kAr7evWLAIAAFcEAAAOAAAAAAAAAAEAIAAAACQBAABkcnMvZTJvRG9jLnhtbFBLBQYA&#10;AAAABgAGAFkBAADCBQAAAAA=&#10;">
              <v:fill on="f" focussize="0,0"/>
              <v:stroke on="f" weight="0.5pt"/>
              <v:imagedata o:title=""/>
              <o:lock v:ext="edit" aspectratio="f"/>
              <v:textbox inset="0mm,0mm,0mm,0mm" style="mso-fit-shape-to-text:t;">
                <w:txbxContent>
                  <w:p w14:paraId="0FA3FA79">
                    <w:pPr>
                      <w:pStyle w:val="10"/>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92B9B">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276E0">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05CDA">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6"/>
    <w:multiLevelType w:val="multilevel"/>
    <w:tmpl w:val="00000016"/>
    <w:lvl w:ilvl="0" w:tentative="0">
      <w:start w:val="2"/>
      <w:numFmt w:val="japaneseCounting"/>
      <w:lvlText w:val="第%1章"/>
      <w:lvlJc w:val="left"/>
      <w:pPr>
        <w:tabs>
          <w:tab w:val="left" w:pos="1935"/>
        </w:tabs>
        <w:ind w:left="1935" w:hanging="1320"/>
      </w:pPr>
      <w:rPr>
        <w:rFonts w:hint="eastAsia"/>
        <w:sz w:val="32"/>
        <w:szCs w:val="32"/>
      </w:rPr>
    </w:lvl>
    <w:lvl w:ilvl="1" w:tentative="0">
      <w:start w:val="1"/>
      <w:numFmt w:val="lowerLetter"/>
      <w:lvlText w:val="%2)"/>
      <w:lvlJc w:val="left"/>
      <w:pPr>
        <w:tabs>
          <w:tab w:val="left" w:pos="1455"/>
        </w:tabs>
        <w:ind w:left="1455" w:hanging="420"/>
      </w:pPr>
    </w:lvl>
    <w:lvl w:ilvl="2" w:tentative="0">
      <w:start w:val="1"/>
      <w:numFmt w:val="lowerRoman"/>
      <w:lvlText w:val="%3."/>
      <w:lvlJc w:val="right"/>
      <w:pPr>
        <w:tabs>
          <w:tab w:val="left" w:pos="1875"/>
        </w:tabs>
        <w:ind w:left="1875" w:hanging="420"/>
      </w:pPr>
    </w:lvl>
    <w:lvl w:ilvl="3" w:tentative="0">
      <w:start w:val="1"/>
      <w:numFmt w:val="decimal"/>
      <w:lvlText w:val="%4."/>
      <w:lvlJc w:val="left"/>
      <w:pPr>
        <w:tabs>
          <w:tab w:val="left" w:pos="2295"/>
        </w:tabs>
        <w:ind w:left="2295" w:hanging="420"/>
      </w:pPr>
    </w:lvl>
    <w:lvl w:ilvl="4" w:tentative="0">
      <w:start w:val="1"/>
      <w:numFmt w:val="lowerLetter"/>
      <w:lvlText w:val="%5)"/>
      <w:lvlJc w:val="left"/>
      <w:pPr>
        <w:tabs>
          <w:tab w:val="left" w:pos="2715"/>
        </w:tabs>
        <w:ind w:left="2715" w:hanging="420"/>
      </w:pPr>
    </w:lvl>
    <w:lvl w:ilvl="5" w:tentative="0">
      <w:start w:val="1"/>
      <w:numFmt w:val="lowerRoman"/>
      <w:lvlText w:val="%6."/>
      <w:lvlJc w:val="right"/>
      <w:pPr>
        <w:tabs>
          <w:tab w:val="left" w:pos="3135"/>
        </w:tabs>
        <w:ind w:left="3135" w:hanging="420"/>
      </w:pPr>
    </w:lvl>
    <w:lvl w:ilvl="6" w:tentative="0">
      <w:start w:val="1"/>
      <w:numFmt w:val="decimal"/>
      <w:lvlText w:val="%7."/>
      <w:lvlJc w:val="left"/>
      <w:pPr>
        <w:tabs>
          <w:tab w:val="left" w:pos="3555"/>
        </w:tabs>
        <w:ind w:left="3555" w:hanging="420"/>
      </w:pPr>
    </w:lvl>
    <w:lvl w:ilvl="7" w:tentative="0">
      <w:start w:val="1"/>
      <w:numFmt w:val="lowerLetter"/>
      <w:lvlText w:val="%8)"/>
      <w:lvlJc w:val="left"/>
      <w:pPr>
        <w:tabs>
          <w:tab w:val="left" w:pos="3975"/>
        </w:tabs>
        <w:ind w:left="3975" w:hanging="420"/>
      </w:pPr>
    </w:lvl>
    <w:lvl w:ilvl="8" w:tentative="0">
      <w:start w:val="1"/>
      <w:numFmt w:val="lowerRoman"/>
      <w:lvlText w:val="%9."/>
      <w:lvlJc w:val="right"/>
      <w:pPr>
        <w:tabs>
          <w:tab w:val="left" w:pos="4395"/>
        </w:tabs>
        <w:ind w:left="4395"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cumentProtection w:enforcement="0"/>
  <w:defaultTabStop w:val="420"/>
  <w:doNotHyphenateCaps/>
  <w:evenAndOddHeaders w:val="1"/>
  <w:drawingGridHorizontalSpacing w:val="160"/>
  <w:drawingGridVerticalSpacing w:val="435"/>
  <w:displayHorizontalDrawingGridEvery w:val="2"/>
  <w:noPunctuationKerning w:val="1"/>
  <w:characterSpacingControl w:val="compressPunctuation"/>
  <w:noLineBreaksAfter w:lang="zh-CN" w:val="$([{£¥·‘“〈《「『【〔〖〝﹙﹛﹝＄（．［｛￡￥"/>
  <w:noLineBreaksBefore w:lang="zh-CN" w:val="!%),.:;&gt;?]}¢¨°·ˇˉ―‖’”…‰′″›℃∶、。〃〉》」』】〕〗〞︶︺︾﹀﹄﹚﹜﹞！＂％＇），．：；？］｀｜｝～￠"/>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FkMDUyODgxZmUzNDM1Y2IxNDZjZjk5NmEzNTFmZTIifQ=="/>
  </w:docVars>
  <w:rsids>
    <w:rsidRoot w:val="00F2237A"/>
    <w:rsid w:val="00017A3C"/>
    <w:rsid w:val="00022C6B"/>
    <w:rsid w:val="000247B0"/>
    <w:rsid w:val="000250D6"/>
    <w:rsid w:val="00026833"/>
    <w:rsid w:val="000304D8"/>
    <w:rsid w:val="000311FD"/>
    <w:rsid w:val="00032EF0"/>
    <w:rsid w:val="00036109"/>
    <w:rsid w:val="00037CA0"/>
    <w:rsid w:val="00042BCC"/>
    <w:rsid w:val="00043741"/>
    <w:rsid w:val="000451EC"/>
    <w:rsid w:val="00046C4D"/>
    <w:rsid w:val="0005012F"/>
    <w:rsid w:val="000570FB"/>
    <w:rsid w:val="0005747C"/>
    <w:rsid w:val="00057C68"/>
    <w:rsid w:val="00060359"/>
    <w:rsid w:val="000640C3"/>
    <w:rsid w:val="0006787D"/>
    <w:rsid w:val="00067F6C"/>
    <w:rsid w:val="0007454B"/>
    <w:rsid w:val="00074E78"/>
    <w:rsid w:val="00093A79"/>
    <w:rsid w:val="00096498"/>
    <w:rsid w:val="000A366A"/>
    <w:rsid w:val="000A3A24"/>
    <w:rsid w:val="000A71DF"/>
    <w:rsid w:val="000A7463"/>
    <w:rsid w:val="000B0887"/>
    <w:rsid w:val="000B6EBB"/>
    <w:rsid w:val="000C0EE9"/>
    <w:rsid w:val="000C2F9E"/>
    <w:rsid w:val="000C4EC8"/>
    <w:rsid w:val="000D485D"/>
    <w:rsid w:val="000D4FE8"/>
    <w:rsid w:val="000E1350"/>
    <w:rsid w:val="000E65A5"/>
    <w:rsid w:val="000E69A3"/>
    <w:rsid w:val="000E7C7B"/>
    <w:rsid w:val="000F25A9"/>
    <w:rsid w:val="000F618A"/>
    <w:rsid w:val="000F78BC"/>
    <w:rsid w:val="00102819"/>
    <w:rsid w:val="00103789"/>
    <w:rsid w:val="00103E44"/>
    <w:rsid w:val="0011157A"/>
    <w:rsid w:val="00113487"/>
    <w:rsid w:val="00113596"/>
    <w:rsid w:val="00126897"/>
    <w:rsid w:val="001319CE"/>
    <w:rsid w:val="001411FD"/>
    <w:rsid w:val="001467A1"/>
    <w:rsid w:val="00147E16"/>
    <w:rsid w:val="0015379A"/>
    <w:rsid w:val="00155204"/>
    <w:rsid w:val="0015620E"/>
    <w:rsid w:val="00161D5C"/>
    <w:rsid w:val="00162976"/>
    <w:rsid w:val="0016370E"/>
    <w:rsid w:val="0017556A"/>
    <w:rsid w:val="00177D7C"/>
    <w:rsid w:val="00185CA2"/>
    <w:rsid w:val="001938CB"/>
    <w:rsid w:val="00195C7E"/>
    <w:rsid w:val="001A0D03"/>
    <w:rsid w:val="001A3FD6"/>
    <w:rsid w:val="001A5F1E"/>
    <w:rsid w:val="001A7423"/>
    <w:rsid w:val="001B074A"/>
    <w:rsid w:val="001B2E14"/>
    <w:rsid w:val="001C377B"/>
    <w:rsid w:val="001C3F12"/>
    <w:rsid w:val="001C5008"/>
    <w:rsid w:val="001C5A6F"/>
    <w:rsid w:val="001D081E"/>
    <w:rsid w:val="001D2363"/>
    <w:rsid w:val="001D3525"/>
    <w:rsid w:val="001D555A"/>
    <w:rsid w:val="001D792D"/>
    <w:rsid w:val="001E0EC4"/>
    <w:rsid w:val="001E102B"/>
    <w:rsid w:val="001E1637"/>
    <w:rsid w:val="001E4087"/>
    <w:rsid w:val="001E4F57"/>
    <w:rsid w:val="001E59E9"/>
    <w:rsid w:val="001E614C"/>
    <w:rsid w:val="001E6F15"/>
    <w:rsid w:val="001E7497"/>
    <w:rsid w:val="001F2A07"/>
    <w:rsid w:val="001F54AF"/>
    <w:rsid w:val="001F7956"/>
    <w:rsid w:val="00200543"/>
    <w:rsid w:val="002023A3"/>
    <w:rsid w:val="002105BC"/>
    <w:rsid w:val="00211D3A"/>
    <w:rsid w:val="00213F45"/>
    <w:rsid w:val="002165C2"/>
    <w:rsid w:val="00222A33"/>
    <w:rsid w:val="00225986"/>
    <w:rsid w:val="00225A14"/>
    <w:rsid w:val="00225DDB"/>
    <w:rsid w:val="00227205"/>
    <w:rsid w:val="00232219"/>
    <w:rsid w:val="002368B0"/>
    <w:rsid w:val="00237DAC"/>
    <w:rsid w:val="002436CD"/>
    <w:rsid w:val="00245DE5"/>
    <w:rsid w:val="00246387"/>
    <w:rsid w:val="00246B43"/>
    <w:rsid w:val="0024753A"/>
    <w:rsid w:val="00250E4D"/>
    <w:rsid w:val="00252600"/>
    <w:rsid w:val="00256B9C"/>
    <w:rsid w:val="002579C9"/>
    <w:rsid w:val="00275C49"/>
    <w:rsid w:val="00275F27"/>
    <w:rsid w:val="00276959"/>
    <w:rsid w:val="00284A38"/>
    <w:rsid w:val="002918A6"/>
    <w:rsid w:val="00294DB1"/>
    <w:rsid w:val="00296BB3"/>
    <w:rsid w:val="002A3313"/>
    <w:rsid w:val="002A5E8B"/>
    <w:rsid w:val="002B2AF0"/>
    <w:rsid w:val="002B5ED5"/>
    <w:rsid w:val="002B6AFB"/>
    <w:rsid w:val="002C0994"/>
    <w:rsid w:val="002C2154"/>
    <w:rsid w:val="002C362F"/>
    <w:rsid w:val="002C3DF1"/>
    <w:rsid w:val="002C5007"/>
    <w:rsid w:val="002C552C"/>
    <w:rsid w:val="002D412F"/>
    <w:rsid w:val="002D68E5"/>
    <w:rsid w:val="002D7B67"/>
    <w:rsid w:val="002D7B8B"/>
    <w:rsid w:val="002E03E0"/>
    <w:rsid w:val="002E3168"/>
    <w:rsid w:val="002F76D4"/>
    <w:rsid w:val="002F7EC2"/>
    <w:rsid w:val="00307775"/>
    <w:rsid w:val="00307A55"/>
    <w:rsid w:val="00307D4D"/>
    <w:rsid w:val="00307E76"/>
    <w:rsid w:val="00311141"/>
    <w:rsid w:val="003115CB"/>
    <w:rsid w:val="0031233F"/>
    <w:rsid w:val="003161E5"/>
    <w:rsid w:val="003165B9"/>
    <w:rsid w:val="00320328"/>
    <w:rsid w:val="00320AAF"/>
    <w:rsid w:val="003249D2"/>
    <w:rsid w:val="00326C47"/>
    <w:rsid w:val="00330414"/>
    <w:rsid w:val="0033130D"/>
    <w:rsid w:val="003334B6"/>
    <w:rsid w:val="003336E0"/>
    <w:rsid w:val="00337510"/>
    <w:rsid w:val="003414DD"/>
    <w:rsid w:val="00342D9F"/>
    <w:rsid w:val="0034344C"/>
    <w:rsid w:val="003509B5"/>
    <w:rsid w:val="00351A3F"/>
    <w:rsid w:val="0035248F"/>
    <w:rsid w:val="0035313A"/>
    <w:rsid w:val="00353AE3"/>
    <w:rsid w:val="00355948"/>
    <w:rsid w:val="0036414F"/>
    <w:rsid w:val="00365062"/>
    <w:rsid w:val="00367EBD"/>
    <w:rsid w:val="0037192B"/>
    <w:rsid w:val="00372437"/>
    <w:rsid w:val="00372DAC"/>
    <w:rsid w:val="00375E1C"/>
    <w:rsid w:val="00376FA8"/>
    <w:rsid w:val="00380450"/>
    <w:rsid w:val="003805F8"/>
    <w:rsid w:val="0038501E"/>
    <w:rsid w:val="00387C24"/>
    <w:rsid w:val="0039047F"/>
    <w:rsid w:val="0039089A"/>
    <w:rsid w:val="003925B0"/>
    <w:rsid w:val="00393E07"/>
    <w:rsid w:val="003A0953"/>
    <w:rsid w:val="003A1913"/>
    <w:rsid w:val="003A3422"/>
    <w:rsid w:val="003A5779"/>
    <w:rsid w:val="003A5809"/>
    <w:rsid w:val="003B1346"/>
    <w:rsid w:val="003B2C4B"/>
    <w:rsid w:val="003B4106"/>
    <w:rsid w:val="003B6A8C"/>
    <w:rsid w:val="003C0F50"/>
    <w:rsid w:val="003C389D"/>
    <w:rsid w:val="003C3D5A"/>
    <w:rsid w:val="003C41CA"/>
    <w:rsid w:val="003D5D2B"/>
    <w:rsid w:val="003D6987"/>
    <w:rsid w:val="003D6DA3"/>
    <w:rsid w:val="003E058F"/>
    <w:rsid w:val="003E11E8"/>
    <w:rsid w:val="003E25B8"/>
    <w:rsid w:val="003E30EE"/>
    <w:rsid w:val="003E3396"/>
    <w:rsid w:val="003E5D76"/>
    <w:rsid w:val="003E7B5F"/>
    <w:rsid w:val="003F5DB7"/>
    <w:rsid w:val="003F7677"/>
    <w:rsid w:val="00400A9A"/>
    <w:rsid w:val="004012C4"/>
    <w:rsid w:val="00404A89"/>
    <w:rsid w:val="004101B5"/>
    <w:rsid w:val="00410F9E"/>
    <w:rsid w:val="00411F26"/>
    <w:rsid w:val="004123F3"/>
    <w:rsid w:val="0041290F"/>
    <w:rsid w:val="0041423D"/>
    <w:rsid w:val="0041599E"/>
    <w:rsid w:val="00422FA1"/>
    <w:rsid w:val="0042640F"/>
    <w:rsid w:val="004274C0"/>
    <w:rsid w:val="00433418"/>
    <w:rsid w:val="00440357"/>
    <w:rsid w:val="00444323"/>
    <w:rsid w:val="004460A1"/>
    <w:rsid w:val="00446D19"/>
    <w:rsid w:val="0044750B"/>
    <w:rsid w:val="00450123"/>
    <w:rsid w:val="004532CD"/>
    <w:rsid w:val="00455577"/>
    <w:rsid w:val="00462C4E"/>
    <w:rsid w:val="00467E81"/>
    <w:rsid w:val="00470D60"/>
    <w:rsid w:val="00471B22"/>
    <w:rsid w:val="0047729C"/>
    <w:rsid w:val="00490803"/>
    <w:rsid w:val="00490826"/>
    <w:rsid w:val="00494160"/>
    <w:rsid w:val="00495AAE"/>
    <w:rsid w:val="004B33F1"/>
    <w:rsid w:val="004B4F14"/>
    <w:rsid w:val="004C251C"/>
    <w:rsid w:val="004C4AA4"/>
    <w:rsid w:val="004D221E"/>
    <w:rsid w:val="004D2EF0"/>
    <w:rsid w:val="004D4CBC"/>
    <w:rsid w:val="004D65CC"/>
    <w:rsid w:val="004D7FA7"/>
    <w:rsid w:val="004E1392"/>
    <w:rsid w:val="004E2487"/>
    <w:rsid w:val="004E2F8A"/>
    <w:rsid w:val="004E4D53"/>
    <w:rsid w:val="004E5D05"/>
    <w:rsid w:val="004E7F34"/>
    <w:rsid w:val="004F2864"/>
    <w:rsid w:val="00512866"/>
    <w:rsid w:val="00520AC9"/>
    <w:rsid w:val="0052513A"/>
    <w:rsid w:val="00527A3B"/>
    <w:rsid w:val="005324E4"/>
    <w:rsid w:val="00532C60"/>
    <w:rsid w:val="0053664D"/>
    <w:rsid w:val="00536A5E"/>
    <w:rsid w:val="0054467A"/>
    <w:rsid w:val="0055006B"/>
    <w:rsid w:val="00550C8D"/>
    <w:rsid w:val="00552919"/>
    <w:rsid w:val="00554824"/>
    <w:rsid w:val="00555A0D"/>
    <w:rsid w:val="0055703F"/>
    <w:rsid w:val="00561B8A"/>
    <w:rsid w:val="00577316"/>
    <w:rsid w:val="0058076A"/>
    <w:rsid w:val="00580E55"/>
    <w:rsid w:val="005810E1"/>
    <w:rsid w:val="005816F6"/>
    <w:rsid w:val="0058259D"/>
    <w:rsid w:val="00584D51"/>
    <w:rsid w:val="00586000"/>
    <w:rsid w:val="00587EB3"/>
    <w:rsid w:val="00590B23"/>
    <w:rsid w:val="005922E4"/>
    <w:rsid w:val="005939D8"/>
    <w:rsid w:val="0059409F"/>
    <w:rsid w:val="005950A0"/>
    <w:rsid w:val="005A4873"/>
    <w:rsid w:val="005A50C7"/>
    <w:rsid w:val="005A6AA0"/>
    <w:rsid w:val="005B1A2E"/>
    <w:rsid w:val="005B240C"/>
    <w:rsid w:val="005C2466"/>
    <w:rsid w:val="005C3B93"/>
    <w:rsid w:val="005C6F01"/>
    <w:rsid w:val="005D201E"/>
    <w:rsid w:val="005E62E9"/>
    <w:rsid w:val="005E71C1"/>
    <w:rsid w:val="005F0D5A"/>
    <w:rsid w:val="005F1FAD"/>
    <w:rsid w:val="005F41FD"/>
    <w:rsid w:val="006011C0"/>
    <w:rsid w:val="00603A77"/>
    <w:rsid w:val="00604B61"/>
    <w:rsid w:val="00605CCD"/>
    <w:rsid w:val="00606F6F"/>
    <w:rsid w:val="00610E81"/>
    <w:rsid w:val="00612CAD"/>
    <w:rsid w:val="00615262"/>
    <w:rsid w:val="00615FC9"/>
    <w:rsid w:val="00616972"/>
    <w:rsid w:val="00621E84"/>
    <w:rsid w:val="00627A06"/>
    <w:rsid w:val="00630A8E"/>
    <w:rsid w:val="006319F9"/>
    <w:rsid w:val="006337D2"/>
    <w:rsid w:val="00634060"/>
    <w:rsid w:val="00642CB4"/>
    <w:rsid w:val="0064402B"/>
    <w:rsid w:val="00644E31"/>
    <w:rsid w:val="00644EC9"/>
    <w:rsid w:val="00652844"/>
    <w:rsid w:val="00654B7D"/>
    <w:rsid w:val="00657928"/>
    <w:rsid w:val="00661E59"/>
    <w:rsid w:val="00663111"/>
    <w:rsid w:val="006658D6"/>
    <w:rsid w:val="00665D9D"/>
    <w:rsid w:val="00666BE6"/>
    <w:rsid w:val="006673B2"/>
    <w:rsid w:val="0067037E"/>
    <w:rsid w:val="00671DC7"/>
    <w:rsid w:val="00672677"/>
    <w:rsid w:val="006736DA"/>
    <w:rsid w:val="0067393B"/>
    <w:rsid w:val="0067521C"/>
    <w:rsid w:val="00677F92"/>
    <w:rsid w:val="00683FAF"/>
    <w:rsid w:val="00686F9F"/>
    <w:rsid w:val="006911CD"/>
    <w:rsid w:val="00694257"/>
    <w:rsid w:val="006A1453"/>
    <w:rsid w:val="006A2EC2"/>
    <w:rsid w:val="006A4887"/>
    <w:rsid w:val="006B2258"/>
    <w:rsid w:val="006B28E0"/>
    <w:rsid w:val="006B3A15"/>
    <w:rsid w:val="006D257D"/>
    <w:rsid w:val="006D3959"/>
    <w:rsid w:val="006D4864"/>
    <w:rsid w:val="006E1704"/>
    <w:rsid w:val="006E67D9"/>
    <w:rsid w:val="006F2720"/>
    <w:rsid w:val="007006BD"/>
    <w:rsid w:val="00704336"/>
    <w:rsid w:val="00706EEF"/>
    <w:rsid w:val="00707DDD"/>
    <w:rsid w:val="00713732"/>
    <w:rsid w:val="0072092F"/>
    <w:rsid w:val="0072196A"/>
    <w:rsid w:val="00721C23"/>
    <w:rsid w:val="00722D5D"/>
    <w:rsid w:val="00726ED4"/>
    <w:rsid w:val="00727B4D"/>
    <w:rsid w:val="00743F1E"/>
    <w:rsid w:val="00746CEC"/>
    <w:rsid w:val="0075167A"/>
    <w:rsid w:val="00752840"/>
    <w:rsid w:val="00752E9F"/>
    <w:rsid w:val="00753735"/>
    <w:rsid w:val="00754C27"/>
    <w:rsid w:val="00756713"/>
    <w:rsid w:val="007575F8"/>
    <w:rsid w:val="00760B6C"/>
    <w:rsid w:val="00760F21"/>
    <w:rsid w:val="0076603F"/>
    <w:rsid w:val="00771CF4"/>
    <w:rsid w:val="007744C7"/>
    <w:rsid w:val="00774551"/>
    <w:rsid w:val="007764D1"/>
    <w:rsid w:val="0077668A"/>
    <w:rsid w:val="0078082D"/>
    <w:rsid w:val="00782499"/>
    <w:rsid w:val="00783418"/>
    <w:rsid w:val="00783A9D"/>
    <w:rsid w:val="00786EFC"/>
    <w:rsid w:val="007957C7"/>
    <w:rsid w:val="007A32FF"/>
    <w:rsid w:val="007A426E"/>
    <w:rsid w:val="007A737C"/>
    <w:rsid w:val="007B32C4"/>
    <w:rsid w:val="007B3A52"/>
    <w:rsid w:val="007B3E21"/>
    <w:rsid w:val="007B3F91"/>
    <w:rsid w:val="007B506D"/>
    <w:rsid w:val="007B6D22"/>
    <w:rsid w:val="007B71F2"/>
    <w:rsid w:val="007C0C45"/>
    <w:rsid w:val="007C3287"/>
    <w:rsid w:val="007C7742"/>
    <w:rsid w:val="007D2C29"/>
    <w:rsid w:val="007D342C"/>
    <w:rsid w:val="007D44F4"/>
    <w:rsid w:val="007E0FB6"/>
    <w:rsid w:val="007E19ED"/>
    <w:rsid w:val="007E728B"/>
    <w:rsid w:val="007F4D0C"/>
    <w:rsid w:val="007F6AFE"/>
    <w:rsid w:val="007F6F4C"/>
    <w:rsid w:val="00801AD9"/>
    <w:rsid w:val="008037B7"/>
    <w:rsid w:val="0081244B"/>
    <w:rsid w:val="00812EBF"/>
    <w:rsid w:val="008205F9"/>
    <w:rsid w:val="00820CD9"/>
    <w:rsid w:val="00823C77"/>
    <w:rsid w:val="00824021"/>
    <w:rsid w:val="00824A9D"/>
    <w:rsid w:val="00825EDF"/>
    <w:rsid w:val="0082639A"/>
    <w:rsid w:val="00836DE5"/>
    <w:rsid w:val="008406A4"/>
    <w:rsid w:val="00840CDE"/>
    <w:rsid w:val="0084525D"/>
    <w:rsid w:val="00846C2C"/>
    <w:rsid w:val="008527D9"/>
    <w:rsid w:val="008652C9"/>
    <w:rsid w:val="00865958"/>
    <w:rsid w:val="00872D06"/>
    <w:rsid w:val="00873A78"/>
    <w:rsid w:val="00873BFD"/>
    <w:rsid w:val="0087647F"/>
    <w:rsid w:val="0087735B"/>
    <w:rsid w:val="008775DA"/>
    <w:rsid w:val="00880303"/>
    <w:rsid w:val="00882D29"/>
    <w:rsid w:val="00891E47"/>
    <w:rsid w:val="008938F7"/>
    <w:rsid w:val="008946A0"/>
    <w:rsid w:val="00894B46"/>
    <w:rsid w:val="00895258"/>
    <w:rsid w:val="00896F90"/>
    <w:rsid w:val="008A4FFA"/>
    <w:rsid w:val="008B16C8"/>
    <w:rsid w:val="008B1C1F"/>
    <w:rsid w:val="008B4885"/>
    <w:rsid w:val="008C7701"/>
    <w:rsid w:val="008D3436"/>
    <w:rsid w:val="008D38A3"/>
    <w:rsid w:val="008D6D7B"/>
    <w:rsid w:val="008E1DCA"/>
    <w:rsid w:val="008E6AD1"/>
    <w:rsid w:val="008F2336"/>
    <w:rsid w:val="0090188B"/>
    <w:rsid w:val="00901D3C"/>
    <w:rsid w:val="009071D5"/>
    <w:rsid w:val="00912DAB"/>
    <w:rsid w:val="00913E27"/>
    <w:rsid w:val="00920400"/>
    <w:rsid w:val="00920904"/>
    <w:rsid w:val="00926442"/>
    <w:rsid w:val="00927891"/>
    <w:rsid w:val="009328EE"/>
    <w:rsid w:val="00932D17"/>
    <w:rsid w:val="00932EA3"/>
    <w:rsid w:val="00933402"/>
    <w:rsid w:val="00933C15"/>
    <w:rsid w:val="00934329"/>
    <w:rsid w:val="009356A1"/>
    <w:rsid w:val="00945CB2"/>
    <w:rsid w:val="00953397"/>
    <w:rsid w:val="00961DBF"/>
    <w:rsid w:val="009625C6"/>
    <w:rsid w:val="00963F4E"/>
    <w:rsid w:val="00964335"/>
    <w:rsid w:val="00976040"/>
    <w:rsid w:val="00977134"/>
    <w:rsid w:val="009824A8"/>
    <w:rsid w:val="009825A8"/>
    <w:rsid w:val="009831E0"/>
    <w:rsid w:val="00993160"/>
    <w:rsid w:val="00995BBF"/>
    <w:rsid w:val="009A039C"/>
    <w:rsid w:val="009A1532"/>
    <w:rsid w:val="009A4073"/>
    <w:rsid w:val="009A4B88"/>
    <w:rsid w:val="009A651B"/>
    <w:rsid w:val="009A6E84"/>
    <w:rsid w:val="009B2D8D"/>
    <w:rsid w:val="009B317F"/>
    <w:rsid w:val="009B42BB"/>
    <w:rsid w:val="009B56D8"/>
    <w:rsid w:val="009B5A47"/>
    <w:rsid w:val="009B5E89"/>
    <w:rsid w:val="009B639C"/>
    <w:rsid w:val="009B6D84"/>
    <w:rsid w:val="009C199C"/>
    <w:rsid w:val="009C1D70"/>
    <w:rsid w:val="009D48B3"/>
    <w:rsid w:val="009D7A3F"/>
    <w:rsid w:val="009E28F2"/>
    <w:rsid w:val="009E501D"/>
    <w:rsid w:val="009E5872"/>
    <w:rsid w:val="009F074B"/>
    <w:rsid w:val="009F1A9C"/>
    <w:rsid w:val="00A032A6"/>
    <w:rsid w:val="00A03318"/>
    <w:rsid w:val="00A03A53"/>
    <w:rsid w:val="00A044DE"/>
    <w:rsid w:val="00A056BC"/>
    <w:rsid w:val="00A05B8B"/>
    <w:rsid w:val="00A0770D"/>
    <w:rsid w:val="00A13892"/>
    <w:rsid w:val="00A16007"/>
    <w:rsid w:val="00A23A64"/>
    <w:rsid w:val="00A254EE"/>
    <w:rsid w:val="00A32FEF"/>
    <w:rsid w:val="00A331A4"/>
    <w:rsid w:val="00A3676A"/>
    <w:rsid w:val="00A62946"/>
    <w:rsid w:val="00A62B2C"/>
    <w:rsid w:val="00A70BE8"/>
    <w:rsid w:val="00A755D3"/>
    <w:rsid w:val="00A75706"/>
    <w:rsid w:val="00A75B36"/>
    <w:rsid w:val="00A8041C"/>
    <w:rsid w:val="00A81DB6"/>
    <w:rsid w:val="00A85700"/>
    <w:rsid w:val="00A90B98"/>
    <w:rsid w:val="00A92182"/>
    <w:rsid w:val="00A925B8"/>
    <w:rsid w:val="00A946BA"/>
    <w:rsid w:val="00AA5BB8"/>
    <w:rsid w:val="00AA727D"/>
    <w:rsid w:val="00AA7E75"/>
    <w:rsid w:val="00AB1338"/>
    <w:rsid w:val="00AB16BF"/>
    <w:rsid w:val="00AB16CA"/>
    <w:rsid w:val="00AB56A3"/>
    <w:rsid w:val="00AC480D"/>
    <w:rsid w:val="00AC6409"/>
    <w:rsid w:val="00AD128E"/>
    <w:rsid w:val="00AD2849"/>
    <w:rsid w:val="00AD4DB8"/>
    <w:rsid w:val="00AD6C6D"/>
    <w:rsid w:val="00AD7433"/>
    <w:rsid w:val="00AE030E"/>
    <w:rsid w:val="00AE04EA"/>
    <w:rsid w:val="00AE21D7"/>
    <w:rsid w:val="00AE3B03"/>
    <w:rsid w:val="00AF1B45"/>
    <w:rsid w:val="00AF2B37"/>
    <w:rsid w:val="00AF4D64"/>
    <w:rsid w:val="00AF6137"/>
    <w:rsid w:val="00B010FF"/>
    <w:rsid w:val="00B12171"/>
    <w:rsid w:val="00B14DDF"/>
    <w:rsid w:val="00B14FFB"/>
    <w:rsid w:val="00B177B0"/>
    <w:rsid w:val="00B17B2B"/>
    <w:rsid w:val="00B212AD"/>
    <w:rsid w:val="00B21D83"/>
    <w:rsid w:val="00B309D9"/>
    <w:rsid w:val="00B355E2"/>
    <w:rsid w:val="00B36577"/>
    <w:rsid w:val="00B3747D"/>
    <w:rsid w:val="00B41F90"/>
    <w:rsid w:val="00B42818"/>
    <w:rsid w:val="00B51C95"/>
    <w:rsid w:val="00B52375"/>
    <w:rsid w:val="00B60A06"/>
    <w:rsid w:val="00B61A67"/>
    <w:rsid w:val="00B624E5"/>
    <w:rsid w:val="00B63D65"/>
    <w:rsid w:val="00B640B9"/>
    <w:rsid w:val="00B64911"/>
    <w:rsid w:val="00B64ACF"/>
    <w:rsid w:val="00B67902"/>
    <w:rsid w:val="00B70D2F"/>
    <w:rsid w:val="00B75449"/>
    <w:rsid w:val="00B77F0D"/>
    <w:rsid w:val="00B86010"/>
    <w:rsid w:val="00B87F82"/>
    <w:rsid w:val="00B914C3"/>
    <w:rsid w:val="00B94939"/>
    <w:rsid w:val="00B97587"/>
    <w:rsid w:val="00B97BDE"/>
    <w:rsid w:val="00BA0C91"/>
    <w:rsid w:val="00BA1EFE"/>
    <w:rsid w:val="00BB1B49"/>
    <w:rsid w:val="00BB55F4"/>
    <w:rsid w:val="00BC0A3F"/>
    <w:rsid w:val="00BC5E26"/>
    <w:rsid w:val="00BD3C6C"/>
    <w:rsid w:val="00BD462D"/>
    <w:rsid w:val="00BD49BF"/>
    <w:rsid w:val="00BE57FF"/>
    <w:rsid w:val="00BF2D15"/>
    <w:rsid w:val="00BF439C"/>
    <w:rsid w:val="00BF44CC"/>
    <w:rsid w:val="00C101CC"/>
    <w:rsid w:val="00C1574B"/>
    <w:rsid w:val="00C15D9D"/>
    <w:rsid w:val="00C1607F"/>
    <w:rsid w:val="00C16390"/>
    <w:rsid w:val="00C221AA"/>
    <w:rsid w:val="00C22DCF"/>
    <w:rsid w:val="00C25153"/>
    <w:rsid w:val="00C2551B"/>
    <w:rsid w:val="00C27531"/>
    <w:rsid w:val="00C330AF"/>
    <w:rsid w:val="00C336F3"/>
    <w:rsid w:val="00C355B3"/>
    <w:rsid w:val="00C35A7D"/>
    <w:rsid w:val="00C4435B"/>
    <w:rsid w:val="00C51EE3"/>
    <w:rsid w:val="00C52F70"/>
    <w:rsid w:val="00C55361"/>
    <w:rsid w:val="00C5778A"/>
    <w:rsid w:val="00C6292C"/>
    <w:rsid w:val="00C62E95"/>
    <w:rsid w:val="00C63EFC"/>
    <w:rsid w:val="00C667CD"/>
    <w:rsid w:val="00C679AD"/>
    <w:rsid w:val="00C81ABA"/>
    <w:rsid w:val="00C835BC"/>
    <w:rsid w:val="00C9052A"/>
    <w:rsid w:val="00C909DE"/>
    <w:rsid w:val="00C90AFF"/>
    <w:rsid w:val="00C915EF"/>
    <w:rsid w:val="00C935A2"/>
    <w:rsid w:val="00C97678"/>
    <w:rsid w:val="00CA02A2"/>
    <w:rsid w:val="00CB403E"/>
    <w:rsid w:val="00CB4438"/>
    <w:rsid w:val="00CB6376"/>
    <w:rsid w:val="00CC154A"/>
    <w:rsid w:val="00CC2AF9"/>
    <w:rsid w:val="00CC77EF"/>
    <w:rsid w:val="00CD0CC5"/>
    <w:rsid w:val="00CD2BDD"/>
    <w:rsid w:val="00CD44C7"/>
    <w:rsid w:val="00CD4DCB"/>
    <w:rsid w:val="00CD5B42"/>
    <w:rsid w:val="00CD5DC2"/>
    <w:rsid w:val="00CE161B"/>
    <w:rsid w:val="00CE2A5B"/>
    <w:rsid w:val="00CF473D"/>
    <w:rsid w:val="00CF52B7"/>
    <w:rsid w:val="00CF610E"/>
    <w:rsid w:val="00CF7F57"/>
    <w:rsid w:val="00D03475"/>
    <w:rsid w:val="00D077B4"/>
    <w:rsid w:val="00D11705"/>
    <w:rsid w:val="00D27472"/>
    <w:rsid w:val="00D3017D"/>
    <w:rsid w:val="00D30851"/>
    <w:rsid w:val="00D33906"/>
    <w:rsid w:val="00D33F5B"/>
    <w:rsid w:val="00D3515B"/>
    <w:rsid w:val="00D37473"/>
    <w:rsid w:val="00D51E4D"/>
    <w:rsid w:val="00D52507"/>
    <w:rsid w:val="00D553A6"/>
    <w:rsid w:val="00D5556C"/>
    <w:rsid w:val="00D5712E"/>
    <w:rsid w:val="00D57405"/>
    <w:rsid w:val="00D65410"/>
    <w:rsid w:val="00D66F31"/>
    <w:rsid w:val="00D672DD"/>
    <w:rsid w:val="00D67A4F"/>
    <w:rsid w:val="00D67A9E"/>
    <w:rsid w:val="00D72026"/>
    <w:rsid w:val="00D721CA"/>
    <w:rsid w:val="00D8106E"/>
    <w:rsid w:val="00D85E9D"/>
    <w:rsid w:val="00D94FE4"/>
    <w:rsid w:val="00D970EF"/>
    <w:rsid w:val="00DA10FD"/>
    <w:rsid w:val="00DA1D01"/>
    <w:rsid w:val="00DA354D"/>
    <w:rsid w:val="00DA3ACC"/>
    <w:rsid w:val="00DA6428"/>
    <w:rsid w:val="00DA66F3"/>
    <w:rsid w:val="00DB043B"/>
    <w:rsid w:val="00DB1184"/>
    <w:rsid w:val="00DB2470"/>
    <w:rsid w:val="00DB5664"/>
    <w:rsid w:val="00DC0CA1"/>
    <w:rsid w:val="00DC29C4"/>
    <w:rsid w:val="00DC5480"/>
    <w:rsid w:val="00DC64F7"/>
    <w:rsid w:val="00DC6B08"/>
    <w:rsid w:val="00DD08E0"/>
    <w:rsid w:val="00DD0E6F"/>
    <w:rsid w:val="00DD1E4A"/>
    <w:rsid w:val="00DD3E6B"/>
    <w:rsid w:val="00DD549A"/>
    <w:rsid w:val="00DD7B84"/>
    <w:rsid w:val="00DE05D7"/>
    <w:rsid w:val="00DE22D2"/>
    <w:rsid w:val="00DE3598"/>
    <w:rsid w:val="00DE5662"/>
    <w:rsid w:val="00DE79F8"/>
    <w:rsid w:val="00DF02E1"/>
    <w:rsid w:val="00DF1F08"/>
    <w:rsid w:val="00DF5DB0"/>
    <w:rsid w:val="00DF7C11"/>
    <w:rsid w:val="00E018A3"/>
    <w:rsid w:val="00E043D8"/>
    <w:rsid w:val="00E04875"/>
    <w:rsid w:val="00E071B3"/>
    <w:rsid w:val="00E07B44"/>
    <w:rsid w:val="00E144B1"/>
    <w:rsid w:val="00E14B8D"/>
    <w:rsid w:val="00E15496"/>
    <w:rsid w:val="00E207AC"/>
    <w:rsid w:val="00E20F0C"/>
    <w:rsid w:val="00E22205"/>
    <w:rsid w:val="00E262AC"/>
    <w:rsid w:val="00E26DB1"/>
    <w:rsid w:val="00E30D43"/>
    <w:rsid w:val="00E34CB7"/>
    <w:rsid w:val="00E3514F"/>
    <w:rsid w:val="00E37AEE"/>
    <w:rsid w:val="00E401FF"/>
    <w:rsid w:val="00E4106F"/>
    <w:rsid w:val="00E4153B"/>
    <w:rsid w:val="00E426E9"/>
    <w:rsid w:val="00E467A7"/>
    <w:rsid w:val="00E4702F"/>
    <w:rsid w:val="00E5046C"/>
    <w:rsid w:val="00E53D81"/>
    <w:rsid w:val="00E55742"/>
    <w:rsid w:val="00E55A5D"/>
    <w:rsid w:val="00E560A3"/>
    <w:rsid w:val="00E57CBD"/>
    <w:rsid w:val="00E64073"/>
    <w:rsid w:val="00E64DF2"/>
    <w:rsid w:val="00E70A9A"/>
    <w:rsid w:val="00E734C7"/>
    <w:rsid w:val="00E74DDB"/>
    <w:rsid w:val="00E80CE4"/>
    <w:rsid w:val="00E8241B"/>
    <w:rsid w:val="00E82807"/>
    <w:rsid w:val="00E82C03"/>
    <w:rsid w:val="00E86038"/>
    <w:rsid w:val="00E8622F"/>
    <w:rsid w:val="00E86395"/>
    <w:rsid w:val="00EA08FF"/>
    <w:rsid w:val="00EA38C3"/>
    <w:rsid w:val="00EA7589"/>
    <w:rsid w:val="00EB5A70"/>
    <w:rsid w:val="00EC1B4F"/>
    <w:rsid w:val="00EC27D2"/>
    <w:rsid w:val="00EC3935"/>
    <w:rsid w:val="00ED2785"/>
    <w:rsid w:val="00ED2B6A"/>
    <w:rsid w:val="00ED721F"/>
    <w:rsid w:val="00ED7D35"/>
    <w:rsid w:val="00EF15DE"/>
    <w:rsid w:val="00F03290"/>
    <w:rsid w:val="00F05EFC"/>
    <w:rsid w:val="00F07505"/>
    <w:rsid w:val="00F10E2E"/>
    <w:rsid w:val="00F120F3"/>
    <w:rsid w:val="00F12DC2"/>
    <w:rsid w:val="00F140F6"/>
    <w:rsid w:val="00F16A5E"/>
    <w:rsid w:val="00F20ADF"/>
    <w:rsid w:val="00F21262"/>
    <w:rsid w:val="00F2237A"/>
    <w:rsid w:val="00F234FF"/>
    <w:rsid w:val="00F3093C"/>
    <w:rsid w:val="00F37A84"/>
    <w:rsid w:val="00F41D7A"/>
    <w:rsid w:val="00F41EBE"/>
    <w:rsid w:val="00F42A7E"/>
    <w:rsid w:val="00F42EDA"/>
    <w:rsid w:val="00F4350D"/>
    <w:rsid w:val="00F4417B"/>
    <w:rsid w:val="00F47040"/>
    <w:rsid w:val="00F54323"/>
    <w:rsid w:val="00F60F50"/>
    <w:rsid w:val="00F63A24"/>
    <w:rsid w:val="00F64C2E"/>
    <w:rsid w:val="00F662C4"/>
    <w:rsid w:val="00F7234E"/>
    <w:rsid w:val="00F74212"/>
    <w:rsid w:val="00F7715B"/>
    <w:rsid w:val="00F80831"/>
    <w:rsid w:val="00F81A30"/>
    <w:rsid w:val="00F90191"/>
    <w:rsid w:val="00F904CE"/>
    <w:rsid w:val="00F92660"/>
    <w:rsid w:val="00F9630E"/>
    <w:rsid w:val="00F96DF5"/>
    <w:rsid w:val="00FA074D"/>
    <w:rsid w:val="00FA15F3"/>
    <w:rsid w:val="00FA1E4C"/>
    <w:rsid w:val="00FA2DA2"/>
    <w:rsid w:val="00FA32D2"/>
    <w:rsid w:val="00FA5133"/>
    <w:rsid w:val="00FA770A"/>
    <w:rsid w:val="00FB4751"/>
    <w:rsid w:val="00FB590A"/>
    <w:rsid w:val="00FC2D9D"/>
    <w:rsid w:val="00FC42FA"/>
    <w:rsid w:val="00FC51F0"/>
    <w:rsid w:val="00FD0F28"/>
    <w:rsid w:val="00FD2401"/>
    <w:rsid w:val="00FD2E90"/>
    <w:rsid w:val="00FD4F5C"/>
    <w:rsid w:val="00FE2708"/>
    <w:rsid w:val="00FE502B"/>
    <w:rsid w:val="00FF0BBE"/>
    <w:rsid w:val="00FF3489"/>
    <w:rsid w:val="00FF7C27"/>
    <w:rsid w:val="011278D8"/>
    <w:rsid w:val="01A55873"/>
    <w:rsid w:val="02C8737D"/>
    <w:rsid w:val="02E9435F"/>
    <w:rsid w:val="03096A77"/>
    <w:rsid w:val="033F7A0D"/>
    <w:rsid w:val="0340573A"/>
    <w:rsid w:val="03513857"/>
    <w:rsid w:val="03D84087"/>
    <w:rsid w:val="03F5179B"/>
    <w:rsid w:val="04385E86"/>
    <w:rsid w:val="044875EA"/>
    <w:rsid w:val="044D4B83"/>
    <w:rsid w:val="05425D64"/>
    <w:rsid w:val="05514EDF"/>
    <w:rsid w:val="055B6F19"/>
    <w:rsid w:val="05E24C77"/>
    <w:rsid w:val="06085D78"/>
    <w:rsid w:val="0613251F"/>
    <w:rsid w:val="064F4183"/>
    <w:rsid w:val="066D1749"/>
    <w:rsid w:val="06BC02D5"/>
    <w:rsid w:val="06C10292"/>
    <w:rsid w:val="070B3246"/>
    <w:rsid w:val="074825F0"/>
    <w:rsid w:val="076A0E9F"/>
    <w:rsid w:val="078E43CC"/>
    <w:rsid w:val="07972412"/>
    <w:rsid w:val="07D759DC"/>
    <w:rsid w:val="083426DB"/>
    <w:rsid w:val="0861107C"/>
    <w:rsid w:val="08B77CB8"/>
    <w:rsid w:val="09287452"/>
    <w:rsid w:val="09412537"/>
    <w:rsid w:val="099C676A"/>
    <w:rsid w:val="09AD7F09"/>
    <w:rsid w:val="09CD2263"/>
    <w:rsid w:val="09E9006F"/>
    <w:rsid w:val="09F56BA1"/>
    <w:rsid w:val="0A241DDE"/>
    <w:rsid w:val="0A3A21ED"/>
    <w:rsid w:val="0B0D7E59"/>
    <w:rsid w:val="0B2115AD"/>
    <w:rsid w:val="0B34223D"/>
    <w:rsid w:val="0B392273"/>
    <w:rsid w:val="0B8C25DB"/>
    <w:rsid w:val="0BB03527"/>
    <w:rsid w:val="0BC3697A"/>
    <w:rsid w:val="0C0369A6"/>
    <w:rsid w:val="0C196AC7"/>
    <w:rsid w:val="0C2B06F1"/>
    <w:rsid w:val="0C3E6467"/>
    <w:rsid w:val="0C8A302B"/>
    <w:rsid w:val="0CB1073E"/>
    <w:rsid w:val="0CBD3126"/>
    <w:rsid w:val="0CDF6541"/>
    <w:rsid w:val="0D125EB1"/>
    <w:rsid w:val="0D1A2651"/>
    <w:rsid w:val="0D1A60A0"/>
    <w:rsid w:val="0D1C1802"/>
    <w:rsid w:val="0D42253A"/>
    <w:rsid w:val="0DEA0327"/>
    <w:rsid w:val="0E0560D6"/>
    <w:rsid w:val="0E510C31"/>
    <w:rsid w:val="0E624D6D"/>
    <w:rsid w:val="0E8E31EC"/>
    <w:rsid w:val="0E8F0175"/>
    <w:rsid w:val="0F087D6A"/>
    <w:rsid w:val="0F0B2FD3"/>
    <w:rsid w:val="0FD67213"/>
    <w:rsid w:val="0FE61068"/>
    <w:rsid w:val="101E41B0"/>
    <w:rsid w:val="10210ADB"/>
    <w:rsid w:val="102652A9"/>
    <w:rsid w:val="10400485"/>
    <w:rsid w:val="11461B48"/>
    <w:rsid w:val="116234F1"/>
    <w:rsid w:val="1170333C"/>
    <w:rsid w:val="11A12B36"/>
    <w:rsid w:val="11BB5E37"/>
    <w:rsid w:val="11E70999"/>
    <w:rsid w:val="11E97456"/>
    <w:rsid w:val="12386575"/>
    <w:rsid w:val="128579E1"/>
    <w:rsid w:val="12A135CE"/>
    <w:rsid w:val="12C17BD3"/>
    <w:rsid w:val="12F66CC0"/>
    <w:rsid w:val="13230FEF"/>
    <w:rsid w:val="133A1F7A"/>
    <w:rsid w:val="133D2834"/>
    <w:rsid w:val="1381664A"/>
    <w:rsid w:val="138D6D6F"/>
    <w:rsid w:val="139C1A58"/>
    <w:rsid w:val="13C95A0B"/>
    <w:rsid w:val="13F233E1"/>
    <w:rsid w:val="14023925"/>
    <w:rsid w:val="1410083F"/>
    <w:rsid w:val="1438427E"/>
    <w:rsid w:val="145F0963"/>
    <w:rsid w:val="149418B3"/>
    <w:rsid w:val="14B75B4A"/>
    <w:rsid w:val="14DC1C15"/>
    <w:rsid w:val="1502758B"/>
    <w:rsid w:val="152720C3"/>
    <w:rsid w:val="155D1D21"/>
    <w:rsid w:val="15636447"/>
    <w:rsid w:val="15956183"/>
    <w:rsid w:val="16073E8B"/>
    <w:rsid w:val="16400A6F"/>
    <w:rsid w:val="167333C8"/>
    <w:rsid w:val="16FB6121"/>
    <w:rsid w:val="17DD6815"/>
    <w:rsid w:val="183C5199"/>
    <w:rsid w:val="1880582F"/>
    <w:rsid w:val="18896471"/>
    <w:rsid w:val="18E41393"/>
    <w:rsid w:val="19654DE0"/>
    <w:rsid w:val="199920B8"/>
    <w:rsid w:val="19BC6EA3"/>
    <w:rsid w:val="19E449A0"/>
    <w:rsid w:val="1A4811C3"/>
    <w:rsid w:val="1AB175CD"/>
    <w:rsid w:val="1AB94479"/>
    <w:rsid w:val="1AE94552"/>
    <w:rsid w:val="1B2D6CC3"/>
    <w:rsid w:val="1B3930B0"/>
    <w:rsid w:val="1B69065F"/>
    <w:rsid w:val="1BAB4AB0"/>
    <w:rsid w:val="1BC349BB"/>
    <w:rsid w:val="1C962E51"/>
    <w:rsid w:val="1DC01E85"/>
    <w:rsid w:val="1E006563"/>
    <w:rsid w:val="1E126B8E"/>
    <w:rsid w:val="1E6712BC"/>
    <w:rsid w:val="1E866D98"/>
    <w:rsid w:val="1ECB150C"/>
    <w:rsid w:val="1EE57F5A"/>
    <w:rsid w:val="1F2D0477"/>
    <w:rsid w:val="1FB24135"/>
    <w:rsid w:val="1FF20249"/>
    <w:rsid w:val="20250841"/>
    <w:rsid w:val="205065B2"/>
    <w:rsid w:val="20650120"/>
    <w:rsid w:val="20FB65E8"/>
    <w:rsid w:val="21021FA1"/>
    <w:rsid w:val="211D5ED1"/>
    <w:rsid w:val="21742ABE"/>
    <w:rsid w:val="21834103"/>
    <w:rsid w:val="218823F6"/>
    <w:rsid w:val="21A966B4"/>
    <w:rsid w:val="21BF0CCD"/>
    <w:rsid w:val="222B5DFF"/>
    <w:rsid w:val="2254606E"/>
    <w:rsid w:val="22BC0C61"/>
    <w:rsid w:val="22E95340"/>
    <w:rsid w:val="23700640"/>
    <w:rsid w:val="23AA16AF"/>
    <w:rsid w:val="23BE6BC6"/>
    <w:rsid w:val="24420C5D"/>
    <w:rsid w:val="244E1D0E"/>
    <w:rsid w:val="24BE0530"/>
    <w:rsid w:val="24C429FF"/>
    <w:rsid w:val="24E57F8A"/>
    <w:rsid w:val="25441675"/>
    <w:rsid w:val="25453673"/>
    <w:rsid w:val="257629D8"/>
    <w:rsid w:val="26201B07"/>
    <w:rsid w:val="26354919"/>
    <w:rsid w:val="2651784B"/>
    <w:rsid w:val="26710C2E"/>
    <w:rsid w:val="267C3837"/>
    <w:rsid w:val="267D35C8"/>
    <w:rsid w:val="268C0513"/>
    <w:rsid w:val="26C00EFA"/>
    <w:rsid w:val="271D1AFC"/>
    <w:rsid w:val="27204302"/>
    <w:rsid w:val="2724121A"/>
    <w:rsid w:val="27744AD0"/>
    <w:rsid w:val="278C02A3"/>
    <w:rsid w:val="27AF6805"/>
    <w:rsid w:val="27C162C7"/>
    <w:rsid w:val="28E21E22"/>
    <w:rsid w:val="292C116E"/>
    <w:rsid w:val="2941185E"/>
    <w:rsid w:val="29507516"/>
    <w:rsid w:val="2A0E0E1B"/>
    <w:rsid w:val="2A190E59"/>
    <w:rsid w:val="2A6D3ABD"/>
    <w:rsid w:val="2A892B2F"/>
    <w:rsid w:val="2A973E19"/>
    <w:rsid w:val="2ACD3FAF"/>
    <w:rsid w:val="2B5B7EFD"/>
    <w:rsid w:val="2B792DB3"/>
    <w:rsid w:val="2BC51C94"/>
    <w:rsid w:val="2CDB43DA"/>
    <w:rsid w:val="2CEE553D"/>
    <w:rsid w:val="2D32620D"/>
    <w:rsid w:val="2D475F27"/>
    <w:rsid w:val="2D4C3567"/>
    <w:rsid w:val="2D680602"/>
    <w:rsid w:val="2DAE1A11"/>
    <w:rsid w:val="2DDD02FF"/>
    <w:rsid w:val="2DDD79D1"/>
    <w:rsid w:val="2DF33709"/>
    <w:rsid w:val="2E0421ED"/>
    <w:rsid w:val="2E2E1584"/>
    <w:rsid w:val="2E2F207D"/>
    <w:rsid w:val="2E791DDA"/>
    <w:rsid w:val="2EBC29E1"/>
    <w:rsid w:val="2EEC103D"/>
    <w:rsid w:val="2F252BD6"/>
    <w:rsid w:val="2F33653D"/>
    <w:rsid w:val="2F4C55E0"/>
    <w:rsid w:val="2F7D1D75"/>
    <w:rsid w:val="2FE42C73"/>
    <w:rsid w:val="2FE944E1"/>
    <w:rsid w:val="3007431F"/>
    <w:rsid w:val="307932D8"/>
    <w:rsid w:val="30D07C08"/>
    <w:rsid w:val="30ED3DB3"/>
    <w:rsid w:val="312129D6"/>
    <w:rsid w:val="31457AAF"/>
    <w:rsid w:val="31BA443A"/>
    <w:rsid w:val="31E72151"/>
    <w:rsid w:val="3205445E"/>
    <w:rsid w:val="322E79AF"/>
    <w:rsid w:val="323E5D9D"/>
    <w:rsid w:val="32DF404F"/>
    <w:rsid w:val="32E06F93"/>
    <w:rsid w:val="33094D04"/>
    <w:rsid w:val="34225D31"/>
    <w:rsid w:val="349E2F7E"/>
    <w:rsid w:val="34F01EBC"/>
    <w:rsid w:val="34F968FA"/>
    <w:rsid w:val="355F24FB"/>
    <w:rsid w:val="3576350F"/>
    <w:rsid w:val="35BD7DF2"/>
    <w:rsid w:val="365A0D80"/>
    <w:rsid w:val="36A93C2D"/>
    <w:rsid w:val="3721786C"/>
    <w:rsid w:val="373A2070"/>
    <w:rsid w:val="374C6D18"/>
    <w:rsid w:val="376F6DE9"/>
    <w:rsid w:val="37AB4B44"/>
    <w:rsid w:val="37AF6B0E"/>
    <w:rsid w:val="38542EDB"/>
    <w:rsid w:val="387B23A5"/>
    <w:rsid w:val="38A92DC2"/>
    <w:rsid w:val="38B273EF"/>
    <w:rsid w:val="38EA2C1E"/>
    <w:rsid w:val="39056666"/>
    <w:rsid w:val="39362C71"/>
    <w:rsid w:val="39791492"/>
    <w:rsid w:val="3996796F"/>
    <w:rsid w:val="39991357"/>
    <w:rsid w:val="39E705D7"/>
    <w:rsid w:val="39F2381D"/>
    <w:rsid w:val="3A07502F"/>
    <w:rsid w:val="3A424306"/>
    <w:rsid w:val="3A7B54D5"/>
    <w:rsid w:val="3ABE4674"/>
    <w:rsid w:val="3AC377EB"/>
    <w:rsid w:val="3AFE7669"/>
    <w:rsid w:val="3B121390"/>
    <w:rsid w:val="3B146E5C"/>
    <w:rsid w:val="3B2F63F9"/>
    <w:rsid w:val="3B515D1E"/>
    <w:rsid w:val="3B73017B"/>
    <w:rsid w:val="3BD265D1"/>
    <w:rsid w:val="3BFD829C"/>
    <w:rsid w:val="3C0E7511"/>
    <w:rsid w:val="3C2719A8"/>
    <w:rsid w:val="3C8C1D74"/>
    <w:rsid w:val="3CDF0BB1"/>
    <w:rsid w:val="3D1B73E5"/>
    <w:rsid w:val="3D2005E8"/>
    <w:rsid w:val="3D225078"/>
    <w:rsid w:val="3D3F59BE"/>
    <w:rsid w:val="3D792643"/>
    <w:rsid w:val="3DAB2E02"/>
    <w:rsid w:val="3DE705C4"/>
    <w:rsid w:val="3DEA251C"/>
    <w:rsid w:val="3DF5317C"/>
    <w:rsid w:val="3E8E3DC0"/>
    <w:rsid w:val="3EB62F71"/>
    <w:rsid w:val="3EC3637B"/>
    <w:rsid w:val="3ED564BE"/>
    <w:rsid w:val="3EE2EEC5"/>
    <w:rsid w:val="3EEA7553"/>
    <w:rsid w:val="3EF118A3"/>
    <w:rsid w:val="3F0E7C66"/>
    <w:rsid w:val="3F59199B"/>
    <w:rsid w:val="3F8C5868"/>
    <w:rsid w:val="3FB55FB2"/>
    <w:rsid w:val="3FF9FA16"/>
    <w:rsid w:val="40984E49"/>
    <w:rsid w:val="40FC1EE4"/>
    <w:rsid w:val="41090C63"/>
    <w:rsid w:val="414A19E0"/>
    <w:rsid w:val="415A4C20"/>
    <w:rsid w:val="41801923"/>
    <w:rsid w:val="41A317B3"/>
    <w:rsid w:val="41E57726"/>
    <w:rsid w:val="41F5105B"/>
    <w:rsid w:val="41FF0A13"/>
    <w:rsid w:val="420553F8"/>
    <w:rsid w:val="4241240F"/>
    <w:rsid w:val="426D7F98"/>
    <w:rsid w:val="427B4F4D"/>
    <w:rsid w:val="428B4386"/>
    <w:rsid w:val="428B7880"/>
    <w:rsid w:val="42BC75A6"/>
    <w:rsid w:val="435F01E1"/>
    <w:rsid w:val="4386297C"/>
    <w:rsid w:val="43D95CE1"/>
    <w:rsid w:val="44031C91"/>
    <w:rsid w:val="44327105"/>
    <w:rsid w:val="44373837"/>
    <w:rsid w:val="443748B8"/>
    <w:rsid w:val="44612E01"/>
    <w:rsid w:val="44BF299E"/>
    <w:rsid w:val="44C71BD8"/>
    <w:rsid w:val="44F02268"/>
    <w:rsid w:val="44FD55FE"/>
    <w:rsid w:val="45150F18"/>
    <w:rsid w:val="45450A02"/>
    <w:rsid w:val="45776913"/>
    <w:rsid w:val="459668FF"/>
    <w:rsid w:val="45A74578"/>
    <w:rsid w:val="45B8381A"/>
    <w:rsid w:val="45BA721C"/>
    <w:rsid w:val="45E4202E"/>
    <w:rsid w:val="461B0F67"/>
    <w:rsid w:val="462A691C"/>
    <w:rsid w:val="4664171E"/>
    <w:rsid w:val="46E64EF7"/>
    <w:rsid w:val="47596DE9"/>
    <w:rsid w:val="47675273"/>
    <w:rsid w:val="47AA07A0"/>
    <w:rsid w:val="47F81791"/>
    <w:rsid w:val="48254EC1"/>
    <w:rsid w:val="482674B5"/>
    <w:rsid w:val="48330DEC"/>
    <w:rsid w:val="4869540B"/>
    <w:rsid w:val="48763EA1"/>
    <w:rsid w:val="48923EC6"/>
    <w:rsid w:val="48DA6690"/>
    <w:rsid w:val="48F04ABD"/>
    <w:rsid w:val="49604AF0"/>
    <w:rsid w:val="49A06785"/>
    <w:rsid w:val="4A39532B"/>
    <w:rsid w:val="4A641438"/>
    <w:rsid w:val="4A755D9F"/>
    <w:rsid w:val="4AB51448"/>
    <w:rsid w:val="4AFF0B20"/>
    <w:rsid w:val="4B2413FA"/>
    <w:rsid w:val="4B4C15CC"/>
    <w:rsid w:val="4BD30680"/>
    <w:rsid w:val="4BFC7E97"/>
    <w:rsid w:val="4C6412D6"/>
    <w:rsid w:val="4C7829F4"/>
    <w:rsid w:val="4C945770"/>
    <w:rsid w:val="4C9C1FA4"/>
    <w:rsid w:val="4CC21E7C"/>
    <w:rsid w:val="4D322323"/>
    <w:rsid w:val="4D3C2D5F"/>
    <w:rsid w:val="4D75721C"/>
    <w:rsid w:val="4DD00622"/>
    <w:rsid w:val="4DD50553"/>
    <w:rsid w:val="4E42707A"/>
    <w:rsid w:val="4E7E524F"/>
    <w:rsid w:val="4EAF74C0"/>
    <w:rsid w:val="4ED64346"/>
    <w:rsid w:val="4EFC3373"/>
    <w:rsid w:val="4F770017"/>
    <w:rsid w:val="4FBE6858"/>
    <w:rsid w:val="4FC96EA6"/>
    <w:rsid w:val="4FCE28B0"/>
    <w:rsid w:val="4FDD5C50"/>
    <w:rsid w:val="500C2077"/>
    <w:rsid w:val="50217392"/>
    <w:rsid w:val="50220966"/>
    <w:rsid w:val="50684713"/>
    <w:rsid w:val="50A423B0"/>
    <w:rsid w:val="51080249"/>
    <w:rsid w:val="5114693C"/>
    <w:rsid w:val="511958BF"/>
    <w:rsid w:val="514975F0"/>
    <w:rsid w:val="514A1B44"/>
    <w:rsid w:val="51620EEE"/>
    <w:rsid w:val="51742AB4"/>
    <w:rsid w:val="51C24E8C"/>
    <w:rsid w:val="51C420E9"/>
    <w:rsid w:val="51DD444A"/>
    <w:rsid w:val="527B4524"/>
    <w:rsid w:val="528D2F59"/>
    <w:rsid w:val="52995631"/>
    <w:rsid w:val="52A32762"/>
    <w:rsid w:val="52AA5FBB"/>
    <w:rsid w:val="5391537B"/>
    <w:rsid w:val="53B35AB0"/>
    <w:rsid w:val="53F24593"/>
    <w:rsid w:val="53FD6CB6"/>
    <w:rsid w:val="5417753F"/>
    <w:rsid w:val="547A3EB3"/>
    <w:rsid w:val="54A6279D"/>
    <w:rsid w:val="54AC6C82"/>
    <w:rsid w:val="54B16F54"/>
    <w:rsid w:val="54DD2746"/>
    <w:rsid w:val="54E90A2E"/>
    <w:rsid w:val="5513590F"/>
    <w:rsid w:val="55217A6D"/>
    <w:rsid w:val="55930D60"/>
    <w:rsid w:val="55D25E9F"/>
    <w:rsid w:val="563F1730"/>
    <w:rsid w:val="564D2C1F"/>
    <w:rsid w:val="56733C93"/>
    <w:rsid w:val="567D190D"/>
    <w:rsid w:val="56CE488D"/>
    <w:rsid w:val="571B7999"/>
    <w:rsid w:val="572855F0"/>
    <w:rsid w:val="57291647"/>
    <w:rsid w:val="57577CA1"/>
    <w:rsid w:val="5760054D"/>
    <w:rsid w:val="57A31A70"/>
    <w:rsid w:val="582E7837"/>
    <w:rsid w:val="583B6073"/>
    <w:rsid w:val="584C0621"/>
    <w:rsid w:val="5871411E"/>
    <w:rsid w:val="587327DA"/>
    <w:rsid w:val="588B505F"/>
    <w:rsid w:val="58CC0255"/>
    <w:rsid w:val="58D56FD1"/>
    <w:rsid w:val="58FB670E"/>
    <w:rsid w:val="59265547"/>
    <w:rsid w:val="59BC543B"/>
    <w:rsid w:val="59D50344"/>
    <w:rsid w:val="5A12294C"/>
    <w:rsid w:val="5A2356BE"/>
    <w:rsid w:val="5A44713E"/>
    <w:rsid w:val="5A664ECC"/>
    <w:rsid w:val="5AAF44C9"/>
    <w:rsid w:val="5AC93EE0"/>
    <w:rsid w:val="5AD059E6"/>
    <w:rsid w:val="5B693DF5"/>
    <w:rsid w:val="5BAC0B6D"/>
    <w:rsid w:val="5C43A116"/>
    <w:rsid w:val="5C533A65"/>
    <w:rsid w:val="5C5F78B6"/>
    <w:rsid w:val="5C993035"/>
    <w:rsid w:val="5CAE068D"/>
    <w:rsid w:val="5CB23FDF"/>
    <w:rsid w:val="5CBE8D60"/>
    <w:rsid w:val="5CCE237D"/>
    <w:rsid w:val="5D063F53"/>
    <w:rsid w:val="5D1E2594"/>
    <w:rsid w:val="5D272625"/>
    <w:rsid w:val="5D625D27"/>
    <w:rsid w:val="5D644CBB"/>
    <w:rsid w:val="5DA05E0B"/>
    <w:rsid w:val="5DFE07A9"/>
    <w:rsid w:val="5E7E5E6E"/>
    <w:rsid w:val="5ED8288D"/>
    <w:rsid w:val="5EDB1BD8"/>
    <w:rsid w:val="5EF9354D"/>
    <w:rsid w:val="5EFC155F"/>
    <w:rsid w:val="5F2D2C05"/>
    <w:rsid w:val="5F514E80"/>
    <w:rsid w:val="60292DB6"/>
    <w:rsid w:val="60D701F0"/>
    <w:rsid w:val="6120647B"/>
    <w:rsid w:val="617451E7"/>
    <w:rsid w:val="61DD2D90"/>
    <w:rsid w:val="61EA00E7"/>
    <w:rsid w:val="62192D48"/>
    <w:rsid w:val="62612D73"/>
    <w:rsid w:val="62B83782"/>
    <w:rsid w:val="62E1043A"/>
    <w:rsid w:val="62E12CB4"/>
    <w:rsid w:val="63BA379C"/>
    <w:rsid w:val="63CA2FD5"/>
    <w:rsid w:val="64266063"/>
    <w:rsid w:val="64473D7C"/>
    <w:rsid w:val="6477150E"/>
    <w:rsid w:val="64921C15"/>
    <w:rsid w:val="64A90195"/>
    <w:rsid w:val="64A974CF"/>
    <w:rsid w:val="65CF2AA9"/>
    <w:rsid w:val="65D47379"/>
    <w:rsid w:val="66830021"/>
    <w:rsid w:val="66857B47"/>
    <w:rsid w:val="668657C6"/>
    <w:rsid w:val="66B638D6"/>
    <w:rsid w:val="66FD7EC4"/>
    <w:rsid w:val="67145D6A"/>
    <w:rsid w:val="676131E4"/>
    <w:rsid w:val="677D1BA1"/>
    <w:rsid w:val="67A41391"/>
    <w:rsid w:val="67A848B0"/>
    <w:rsid w:val="67D81A73"/>
    <w:rsid w:val="682C2A5A"/>
    <w:rsid w:val="68391461"/>
    <w:rsid w:val="68455286"/>
    <w:rsid w:val="68991B6B"/>
    <w:rsid w:val="68B64F8D"/>
    <w:rsid w:val="68FC4432"/>
    <w:rsid w:val="69104195"/>
    <w:rsid w:val="69D41BB1"/>
    <w:rsid w:val="69F462D9"/>
    <w:rsid w:val="6A7A41C9"/>
    <w:rsid w:val="6AA6280C"/>
    <w:rsid w:val="6B4744E3"/>
    <w:rsid w:val="6B4A0CAF"/>
    <w:rsid w:val="6B5A5C23"/>
    <w:rsid w:val="6BE71329"/>
    <w:rsid w:val="6C066EA8"/>
    <w:rsid w:val="6C222248"/>
    <w:rsid w:val="6C2610D4"/>
    <w:rsid w:val="6C6F692E"/>
    <w:rsid w:val="6C7211AF"/>
    <w:rsid w:val="6C7F2CF9"/>
    <w:rsid w:val="6CCC12B5"/>
    <w:rsid w:val="6CFB1331"/>
    <w:rsid w:val="6DA4132D"/>
    <w:rsid w:val="6DA6528C"/>
    <w:rsid w:val="6E0A7FA7"/>
    <w:rsid w:val="6EE87098"/>
    <w:rsid w:val="6EFF2FD7"/>
    <w:rsid w:val="6F2D4332"/>
    <w:rsid w:val="6F6FA958"/>
    <w:rsid w:val="6F7A5132"/>
    <w:rsid w:val="6F9E2DA9"/>
    <w:rsid w:val="6FAD531E"/>
    <w:rsid w:val="6FFB713D"/>
    <w:rsid w:val="701865FD"/>
    <w:rsid w:val="70550A24"/>
    <w:rsid w:val="70753834"/>
    <w:rsid w:val="70FB2F03"/>
    <w:rsid w:val="71075971"/>
    <w:rsid w:val="718B099C"/>
    <w:rsid w:val="71A26B88"/>
    <w:rsid w:val="71B6766F"/>
    <w:rsid w:val="71FC7B8E"/>
    <w:rsid w:val="7229135C"/>
    <w:rsid w:val="72F8217C"/>
    <w:rsid w:val="73036C9C"/>
    <w:rsid w:val="732A7276"/>
    <w:rsid w:val="73BD0D58"/>
    <w:rsid w:val="73C2111B"/>
    <w:rsid w:val="73C7673C"/>
    <w:rsid w:val="740002F7"/>
    <w:rsid w:val="741C5EE8"/>
    <w:rsid w:val="741E39E8"/>
    <w:rsid w:val="74437DF8"/>
    <w:rsid w:val="75097780"/>
    <w:rsid w:val="755D6FBA"/>
    <w:rsid w:val="75895A98"/>
    <w:rsid w:val="75920B73"/>
    <w:rsid w:val="75B619D9"/>
    <w:rsid w:val="75FE6525"/>
    <w:rsid w:val="764A6B4B"/>
    <w:rsid w:val="764C1E0C"/>
    <w:rsid w:val="76671B07"/>
    <w:rsid w:val="77105037"/>
    <w:rsid w:val="77232B8E"/>
    <w:rsid w:val="776D4843"/>
    <w:rsid w:val="779230DB"/>
    <w:rsid w:val="77947D25"/>
    <w:rsid w:val="78075C21"/>
    <w:rsid w:val="78B550A3"/>
    <w:rsid w:val="793D2BC9"/>
    <w:rsid w:val="7943562F"/>
    <w:rsid w:val="794F4F81"/>
    <w:rsid w:val="79B46C18"/>
    <w:rsid w:val="79D1220E"/>
    <w:rsid w:val="79E81E64"/>
    <w:rsid w:val="7A2860D9"/>
    <w:rsid w:val="7A5011B2"/>
    <w:rsid w:val="7A566544"/>
    <w:rsid w:val="7A9A1C7A"/>
    <w:rsid w:val="7ACE044D"/>
    <w:rsid w:val="7AD132E5"/>
    <w:rsid w:val="7AF81539"/>
    <w:rsid w:val="7B1254DE"/>
    <w:rsid w:val="7B24770E"/>
    <w:rsid w:val="7BB00EA7"/>
    <w:rsid w:val="7BE01642"/>
    <w:rsid w:val="7BEF5519"/>
    <w:rsid w:val="7BFF7AF9"/>
    <w:rsid w:val="7C320327"/>
    <w:rsid w:val="7C4D5253"/>
    <w:rsid w:val="7C8675EF"/>
    <w:rsid w:val="7CF51F92"/>
    <w:rsid w:val="7D2B6FC2"/>
    <w:rsid w:val="7D2C732F"/>
    <w:rsid w:val="7DD74A43"/>
    <w:rsid w:val="7DE42A16"/>
    <w:rsid w:val="7DED3D01"/>
    <w:rsid w:val="7E517B31"/>
    <w:rsid w:val="7F4B9304"/>
    <w:rsid w:val="7F7F3336"/>
    <w:rsid w:val="7F962696"/>
    <w:rsid w:val="7FAA6F46"/>
    <w:rsid w:val="7FB53772"/>
    <w:rsid w:val="7FC274B3"/>
    <w:rsid w:val="7FDB4BF7"/>
    <w:rsid w:val="7FEB03B8"/>
    <w:rsid w:val="7FF666A3"/>
    <w:rsid w:val="7FFFE1A1"/>
    <w:rsid w:val="BBFD7781"/>
    <w:rsid w:val="BDBB86FC"/>
    <w:rsid w:val="BE73858F"/>
    <w:rsid w:val="D3FBA412"/>
    <w:rsid w:val="DDFD4B4B"/>
    <w:rsid w:val="DF32D0FC"/>
    <w:rsid w:val="E7EECC1E"/>
    <w:rsid w:val="EBFE4BF4"/>
    <w:rsid w:val="F9D887A0"/>
    <w:rsid w:val="FBBF293D"/>
    <w:rsid w:val="FCA7DCD1"/>
    <w:rsid w:val="FDD9F0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nhideWhenUsed="0" w:uiPriority="1" w:semiHidden="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ocked="1"/>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ocked="1"/>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ocked="1"/>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ocked="1"/>
    <w:lsdException w:qFormat="1" w:unhideWhenUsed="0" w:uiPriority="0" w:semiHidden="0" w:name="Emphasis" w:locked="1"/>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160" w:line="278" w:lineRule="auto"/>
      <w:jc w:val="both"/>
    </w:pPr>
    <w:rPr>
      <w:rFonts w:ascii="Times New Roman" w:hAnsi="Times New Roman" w:eastAsia="仿宋_GB2312" w:cs="Times New Roman"/>
      <w:kern w:val="2"/>
      <w:sz w:val="32"/>
      <w:szCs w:val="24"/>
      <w:lang w:val="en-US" w:eastAsia="zh-CN" w:bidi="ar-SA"/>
    </w:rPr>
  </w:style>
  <w:style w:type="paragraph" w:styleId="3">
    <w:name w:val="heading 2"/>
    <w:basedOn w:val="1"/>
    <w:next w:val="1"/>
    <w:qFormat/>
    <w:locked/>
    <w:uiPriority w:val="1"/>
    <w:pPr>
      <w:ind w:left="100"/>
      <w:jc w:val="center"/>
      <w:outlineLvl w:val="1"/>
    </w:pPr>
    <w:rPr>
      <w:rFonts w:ascii="宋体" w:hAnsi="宋体" w:eastAsia="黑体" w:cs="宋体"/>
      <w:bCs/>
      <w:kern w:val="0"/>
      <w:sz w:val="44"/>
      <w:szCs w:val="28"/>
      <w:lang w:eastAsia="en-US"/>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27"/>
    <w:qFormat/>
    <w:uiPriority w:val="0"/>
    <w:pPr>
      <w:jc w:val="center"/>
    </w:pPr>
    <w:rPr>
      <w:rFonts w:eastAsia="宋体"/>
      <w:b/>
      <w:sz w:val="44"/>
      <w:szCs w:val="20"/>
    </w:rPr>
  </w:style>
  <w:style w:type="paragraph" w:styleId="4">
    <w:name w:val="Normal Indent"/>
    <w:basedOn w:val="1"/>
    <w:qFormat/>
    <w:uiPriority w:val="0"/>
    <w:pPr>
      <w:ind w:firstLine="420"/>
    </w:pPr>
    <w:rPr>
      <w:rFonts w:eastAsia="宋体"/>
      <w:sz w:val="21"/>
      <w:szCs w:val="20"/>
    </w:rPr>
  </w:style>
  <w:style w:type="paragraph" w:styleId="5">
    <w:name w:val="annotation text"/>
    <w:basedOn w:val="1"/>
    <w:qFormat/>
    <w:uiPriority w:val="0"/>
    <w:pPr>
      <w:jc w:val="left"/>
    </w:pPr>
  </w:style>
  <w:style w:type="paragraph" w:styleId="6">
    <w:name w:val="Body Text Indent"/>
    <w:basedOn w:val="1"/>
    <w:link w:val="22"/>
    <w:qFormat/>
    <w:uiPriority w:val="0"/>
    <w:pPr>
      <w:spacing w:line="640" w:lineRule="exact"/>
      <w:ind w:firstLine="640"/>
    </w:pPr>
    <w:rPr>
      <w:sz w:val="24"/>
      <w:szCs w:val="20"/>
    </w:rPr>
  </w:style>
  <w:style w:type="paragraph" w:styleId="7">
    <w:name w:val="Date"/>
    <w:basedOn w:val="1"/>
    <w:next w:val="1"/>
    <w:link w:val="20"/>
    <w:qFormat/>
    <w:uiPriority w:val="0"/>
    <w:pPr>
      <w:ind w:left="100" w:leftChars="2500"/>
    </w:pPr>
    <w:rPr>
      <w:sz w:val="24"/>
      <w:szCs w:val="20"/>
    </w:rPr>
  </w:style>
  <w:style w:type="paragraph" w:styleId="8">
    <w:name w:val="Body Text Indent 2"/>
    <w:basedOn w:val="1"/>
    <w:link w:val="28"/>
    <w:qFormat/>
    <w:uiPriority w:val="0"/>
    <w:pPr>
      <w:spacing w:after="120" w:line="480" w:lineRule="auto"/>
      <w:ind w:left="420" w:leftChars="200"/>
    </w:pPr>
    <w:rPr>
      <w:rFonts w:eastAsia="宋体"/>
      <w:sz w:val="21"/>
    </w:rPr>
  </w:style>
  <w:style w:type="paragraph" w:styleId="9">
    <w:name w:val="Balloon Text"/>
    <w:basedOn w:val="1"/>
    <w:link w:val="26"/>
    <w:semiHidden/>
    <w:qFormat/>
    <w:uiPriority w:val="0"/>
    <w:rPr>
      <w:sz w:val="18"/>
      <w:szCs w:val="20"/>
    </w:rPr>
  </w:style>
  <w:style w:type="paragraph" w:styleId="10">
    <w:name w:val="footer"/>
    <w:basedOn w:val="1"/>
    <w:link w:val="21"/>
    <w:qFormat/>
    <w:uiPriority w:val="99"/>
    <w:pPr>
      <w:tabs>
        <w:tab w:val="center" w:pos="4153"/>
        <w:tab w:val="right" w:pos="8306"/>
      </w:tabs>
      <w:snapToGrid w:val="0"/>
      <w:jc w:val="left"/>
    </w:pPr>
    <w:rPr>
      <w:sz w:val="18"/>
      <w:szCs w:val="20"/>
    </w:rPr>
  </w:style>
  <w:style w:type="paragraph" w:styleId="11">
    <w:name w:val="header"/>
    <w:basedOn w:val="1"/>
    <w:link w:val="23"/>
    <w:qFormat/>
    <w:uiPriority w:val="0"/>
    <w:pPr>
      <w:pBdr>
        <w:bottom w:val="single" w:color="auto" w:sz="6" w:space="1"/>
      </w:pBdr>
      <w:tabs>
        <w:tab w:val="center" w:pos="4153"/>
        <w:tab w:val="right" w:pos="8306"/>
      </w:tabs>
      <w:snapToGrid w:val="0"/>
      <w:jc w:val="center"/>
    </w:pPr>
    <w:rPr>
      <w:sz w:val="18"/>
      <w:szCs w:val="20"/>
    </w:rPr>
  </w:style>
  <w:style w:type="paragraph" w:styleId="12">
    <w:name w:val="Body Text Indent 3"/>
    <w:basedOn w:val="1"/>
    <w:link w:val="29"/>
    <w:qFormat/>
    <w:uiPriority w:val="0"/>
    <w:pPr>
      <w:spacing w:after="120"/>
      <w:ind w:left="420" w:leftChars="200"/>
    </w:pPr>
    <w:rPr>
      <w:rFonts w:eastAsia="宋体"/>
      <w:sz w:val="16"/>
      <w:szCs w:val="16"/>
    </w:rPr>
  </w:style>
  <w:style w:type="paragraph" w:styleId="13">
    <w:name w:val="Normal (Web)"/>
    <w:basedOn w:val="1"/>
    <w:qFormat/>
    <w:uiPriority w:val="99"/>
    <w:pPr>
      <w:widowControl/>
      <w:spacing w:before="100" w:beforeAutospacing="1" w:after="100" w:afterAutospacing="1"/>
      <w:jc w:val="left"/>
    </w:pPr>
    <w:rPr>
      <w:rFonts w:ascii="宋体" w:hAnsi="宋体" w:eastAsia="宋体" w:cs="宋体"/>
      <w:kern w:val="0"/>
      <w:sz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qFormat/>
    <w:uiPriority w:val="0"/>
    <w:rPr>
      <w:rFonts w:cs="Times New Roman"/>
    </w:rPr>
  </w:style>
  <w:style w:type="character" w:styleId="18">
    <w:name w:val="Emphasis"/>
    <w:qFormat/>
    <w:locked/>
    <w:uiPriority w:val="0"/>
    <w:rPr>
      <w:color w:val="CC0000"/>
    </w:rPr>
  </w:style>
  <w:style w:type="character" w:styleId="19">
    <w:name w:val="Hyperlink"/>
    <w:qFormat/>
    <w:uiPriority w:val="0"/>
    <w:rPr>
      <w:color w:val="0000CC"/>
      <w:u w:val="single"/>
    </w:rPr>
  </w:style>
  <w:style w:type="character" w:customStyle="1" w:styleId="20">
    <w:name w:val="日期 字符"/>
    <w:link w:val="7"/>
    <w:qFormat/>
    <w:locked/>
    <w:uiPriority w:val="0"/>
    <w:rPr>
      <w:rFonts w:eastAsia="仿宋_GB2312"/>
      <w:kern w:val="2"/>
      <w:sz w:val="24"/>
    </w:rPr>
  </w:style>
  <w:style w:type="character" w:customStyle="1" w:styleId="21">
    <w:name w:val="页脚 字符"/>
    <w:link w:val="10"/>
    <w:qFormat/>
    <w:locked/>
    <w:uiPriority w:val="99"/>
    <w:rPr>
      <w:rFonts w:eastAsia="仿宋_GB2312"/>
      <w:kern w:val="2"/>
      <w:sz w:val="18"/>
    </w:rPr>
  </w:style>
  <w:style w:type="character" w:customStyle="1" w:styleId="22">
    <w:name w:val="正文文本缩进 字符"/>
    <w:link w:val="6"/>
    <w:qFormat/>
    <w:locked/>
    <w:uiPriority w:val="0"/>
    <w:rPr>
      <w:rFonts w:eastAsia="仿宋_GB2312"/>
      <w:kern w:val="2"/>
      <w:sz w:val="24"/>
      <w:lang w:val="en-US" w:eastAsia="zh-CN"/>
    </w:rPr>
  </w:style>
  <w:style w:type="character" w:customStyle="1" w:styleId="23">
    <w:name w:val="页眉 字符"/>
    <w:link w:val="11"/>
    <w:qFormat/>
    <w:locked/>
    <w:uiPriority w:val="0"/>
    <w:rPr>
      <w:rFonts w:eastAsia="仿宋_GB2312"/>
      <w:kern w:val="2"/>
      <w:sz w:val="18"/>
    </w:rPr>
  </w:style>
  <w:style w:type="paragraph" w:customStyle="1" w:styleId="24">
    <w:name w:val="Char1 Char Char Char"/>
    <w:basedOn w:val="1"/>
    <w:qFormat/>
    <w:uiPriority w:val="0"/>
    <w:rPr>
      <w:rFonts w:ascii="Tahoma" w:hAnsi="Tahoma" w:eastAsia="宋体"/>
      <w:sz w:val="21"/>
    </w:rPr>
  </w:style>
  <w:style w:type="paragraph" w:customStyle="1" w:styleId="25">
    <w:name w:val="Default"/>
    <w:qFormat/>
    <w:uiPriority w:val="0"/>
    <w:pPr>
      <w:autoSpaceDE w:val="0"/>
      <w:autoSpaceDN w:val="0"/>
      <w:adjustRightInd w:val="0"/>
      <w:spacing w:after="160" w:line="278" w:lineRule="auto"/>
      <w:ind w:firstLine="200" w:firstLineChars="200"/>
    </w:pPr>
    <w:rPr>
      <w:rFonts w:ascii="仿宋" w:hAnsi="Times New Roman" w:eastAsia="仿宋" w:cs="仿宋"/>
      <w:color w:val="000000"/>
      <w:sz w:val="24"/>
      <w:szCs w:val="24"/>
      <w:lang w:val="en-US" w:eastAsia="zh-CN" w:bidi="ar-SA"/>
    </w:rPr>
  </w:style>
  <w:style w:type="character" w:customStyle="1" w:styleId="26">
    <w:name w:val="批注框文本 字符"/>
    <w:link w:val="9"/>
    <w:qFormat/>
    <w:locked/>
    <w:uiPriority w:val="0"/>
    <w:rPr>
      <w:rFonts w:eastAsia="仿宋_GB2312"/>
      <w:kern w:val="2"/>
      <w:sz w:val="18"/>
    </w:rPr>
  </w:style>
  <w:style w:type="character" w:customStyle="1" w:styleId="27">
    <w:name w:val="正文文本 字符"/>
    <w:link w:val="2"/>
    <w:qFormat/>
    <w:uiPriority w:val="0"/>
    <w:rPr>
      <w:b/>
      <w:kern w:val="2"/>
      <w:sz w:val="44"/>
    </w:rPr>
  </w:style>
  <w:style w:type="character" w:customStyle="1" w:styleId="28">
    <w:name w:val="正文文本缩进 2 字符"/>
    <w:link w:val="8"/>
    <w:qFormat/>
    <w:uiPriority w:val="0"/>
    <w:rPr>
      <w:kern w:val="2"/>
      <w:sz w:val="21"/>
      <w:szCs w:val="24"/>
    </w:rPr>
  </w:style>
  <w:style w:type="character" w:customStyle="1" w:styleId="29">
    <w:name w:val="正文文本缩进 3 字符"/>
    <w:link w:val="12"/>
    <w:qFormat/>
    <w:uiPriority w:val="0"/>
    <w:rPr>
      <w:kern w:val="2"/>
      <w:sz w:val="16"/>
      <w:szCs w:val="16"/>
    </w:rPr>
  </w:style>
  <w:style w:type="character" w:customStyle="1" w:styleId="30">
    <w:name w:val="headline-content2"/>
    <w:basedOn w:val="16"/>
    <w:qFormat/>
    <w:uiPriority w:val="0"/>
  </w:style>
  <w:style w:type="paragraph" w:customStyle="1" w:styleId="31">
    <w:name w:val="样式 宋体 小四 左 行距: 1.5 倍行距1"/>
    <w:basedOn w:val="1"/>
    <w:qFormat/>
    <w:uiPriority w:val="0"/>
    <w:pPr>
      <w:spacing w:line="360" w:lineRule="auto"/>
      <w:ind w:firstLine="480" w:firstLineChars="200"/>
      <w:jc w:val="left"/>
    </w:pPr>
    <w:rPr>
      <w:rFonts w:ascii="宋体" w:hAnsi="宋体" w:eastAsia="楷体_GB2312" w:cs="宋体"/>
      <w:kern w:val="0"/>
      <w:sz w:val="24"/>
      <w:szCs w:val="20"/>
    </w:rPr>
  </w:style>
  <w:style w:type="paragraph" w:customStyle="1" w:styleId="32">
    <w:name w:val="Char Char Char Char Char"/>
    <w:basedOn w:val="1"/>
    <w:qFormat/>
    <w:uiPriority w:val="0"/>
    <w:pPr>
      <w:tabs>
        <w:tab w:val="left" w:pos="420"/>
      </w:tabs>
      <w:spacing w:beforeLines="50" w:afterLines="50" w:line="312" w:lineRule="auto"/>
      <w:ind w:left="420" w:hanging="420"/>
    </w:pPr>
    <w:rPr>
      <w:rFonts w:eastAsia="宋体"/>
      <w:sz w:val="21"/>
    </w:rPr>
  </w:style>
  <w:style w:type="paragraph" w:customStyle="1" w:styleId="33">
    <w:name w:val="列出段落1"/>
    <w:basedOn w:val="1"/>
    <w:qFormat/>
    <w:uiPriority w:val="0"/>
    <w:pPr>
      <w:ind w:firstLine="420" w:firstLineChars="200"/>
    </w:pPr>
    <w:rPr>
      <w:rFonts w:ascii="Calibri" w:hAnsi="Calibri" w:eastAsia="宋体"/>
      <w:sz w:val="21"/>
      <w:szCs w:val="22"/>
    </w:rPr>
  </w:style>
  <w:style w:type="paragraph" w:customStyle="1" w:styleId="34">
    <w:name w:val="洪雅"/>
    <w:basedOn w:val="2"/>
    <w:qFormat/>
    <w:uiPriority w:val="1"/>
    <w:pPr>
      <w:spacing w:line="400" w:lineRule="exact"/>
      <w:ind w:firstLine="200" w:firstLineChars="200"/>
      <w:contextualSpacing/>
    </w:pPr>
    <w:rPr>
      <w:rFonts w:eastAsia="仿宋"/>
      <w:spacing w:val="3"/>
    </w:rPr>
  </w:style>
  <w:style w:type="paragraph" w:customStyle="1" w:styleId="35">
    <w:name w:val="表"/>
    <w:basedOn w:val="36"/>
    <w:qFormat/>
    <w:uiPriority w:val="1"/>
    <w:pPr>
      <w:jc w:val="center"/>
    </w:pPr>
    <w:rPr>
      <w:rFonts w:ascii="Times New Roman" w:hAnsi="Times New Roman" w:eastAsia="仿宋"/>
      <w:sz w:val="18"/>
      <w:szCs w:val="18"/>
    </w:rPr>
  </w:style>
  <w:style w:type="paragraph" w:customStyle="1" w:styleId="36">
    <w:name w:val="Table Paragraph"/>
    <w:basedOn w:val="1"/>
    <w:qFormat/>
    <w:uiPriority w:val="1"/>
    <w:pPr>
      <w:jc w:val="left"/>
    </w:pPr>
    <w:rPr>
      <w:rFonts w:ascii="Calibri" w:hAnsi="Calibri" w:eastAsia="Calibri" w:cs="Calibri"/>
      <w:sz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57B10D9-6CA7-462A-A60D-0CAA9F963C3E}">
  <ds:schemaRefs/>
</ds:datastoreItem>
</file>

<file path=docProps/app.xml><?xml version="1.0" encoding="utf-8"?>
<Properties xmlns="http://schemas.openxmlformats.org/officeDocument/2006/extended-properties" xmlns:vt="http://schemas.openxmlformats.org/officeDocument/2006/docPropsVTypes">
  <Template>Normal</Template>
  <Company>WWW.YlmF.CoM</Company>
  <Pages>60</Pages>
  <Words>7639</Words>
  <Characters>8230</Characters>
  <Lines>185</Lines>
  <Paragraphs>52</Paragraphs>
  <TotalTime>0</TotalTime>
  <ScaleCrop>false</ScaleCrop>
  <LinksUpToDate>false</LinksUpToDate>
  <CharactersWithSpaces>8468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2024-04-02T03:05:00Z</dcterms:created>
  <dc:creator>user</dc:creator>
  <cp:lastModifiedBy>金韬</cp:lastModifiedBy>
  <cp:lastPrinted>2024-11-19T01:10:00Z</cp:lastPrinted>
  <dcterms:modified xsi:type="dcterms:W3CDTF">2025-05-12T02:09:11Z</dcterms:modified>
  <dc:title>眉山市城乡规划局</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CEC7C647F7354F439ABF06391085A924_13</vt:lpwstr>
  </property>
  <property fmtid="{D5CDD505-2E9C-101B-9397-08002B2CF9AE}" pid="4" name="KSOTemplateDocerSaveRecord">
    <vt:lpwstr>eyJoZGlkIjoiNmNiOGQzNzk2MGNlOTU2Y2I0MTM2ZDc3NWUyNmEwNWEiLCJ1c2VySWQiOiI1MTgxMzk2ODMifQ==</vt:lpwstr>
  </property>
</Properties>
</file>