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43DEE">
      <w:pPr>
        <w:pStyle w:val="10"/>
        <w:keepNext w:val="0"/>
        <w:keepLines w:val="0"/>
        <w:widowControl/>
        <w:suppressLineNumbers w:val="0"/>
        <w:spacing w:line="403" w:lineRule="atLeast"/>
        <w:ind w:left="0" w:firstLine="420"/>
        <w:jc w:val="both"/>
        <w:rPr>
          <w:rFonts w:hint="eastAsia" w:ascii="方正小标宋简体" w:hAnsi="方正小标宋简体" w:eastAsia="方正小标宋简体" w:cs="方正小标宋简体"/>
          <w:color w:val="000000" w:themeColor="text1"/>
          <w:spacing w:val="0"/>
          <w:kern w:val="0"/>
          <w:sz w:val="44"/>
          <w:szCs w:val="44"/>
          <w:lang w:val="en-US" w:eastAsia="zh-CN" w:bidi="ar-SA"/>
          <w14:textFill>
            <w14:solidFill>
              <w14:schemeClr w14:val="tx1"/>
            </w14:solidFill>
          </w14:textFill>
        </w:rPr>
      </w:pPr>
      <w:bookmarkStart w:id="0" w:name="_GoBack"/>
      <w:r>
        <w:rPr>
          <w:rFonts w:hint="eastAsia" w:ascii="方正小标宋简体" w:hAnsi="方正小标宋简体" w:eastAsia="方正小标宋简体" w:cs="方正小标宋简体"/>
          <w:color w:val="000000" w:themeColor="text1"/>
          <w:spacing w:val="0"/>
          <w:kern w:val="0"/>
          <w:sz w:val="44"/>
          <w:szCs w:val="44"/>
          <w:lang w:val="en-US" w:eastAsia="zh-CN" w:bidi="ar-SA"/>
          <w14:textFill>
            <w14:solidFill>
              <w14:schemeClr w14:val="tx1"/>
            </w14:solidFill>
          </w14:textFill>
        </w:rPr>
        <w:t>墨江哈尼族自治县城市建设管理暂行办法</w:t>
      </w:r>
    </w:p>
    <w:bookmarkEnd w:id="0"/>
    <w:p w14:paraId="2BFDCEE1">
      <w:pPr>
        <w:pStyle w:val="10"/>
        <w:keepNext w:val="0"/>
        <w:keepLines w:val="0"/>
        <w:widowControl/>
        <w:suppressLineNumbers w:val="0"/>
        <w:spacing w:line="403" w:lineRule="atLeast"/>
        <w:ind w:left="0" w:firstLine="420"/>
        <w:jc w:val="center"/>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rPr>
        <w:t>（征求意见稿）</w:t>
      </w:r>
    </w:p>
    <w:p w14:paraId="0C9C0B1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第一章 总则</w:t>
      </w:r>
    </w:p>
    <w:p w14:paraId="56A0611D">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第一条 为了加强城市规划、建设和管理，改善人居环境，促进经济社会协调发展，根据《中华人民共和国行政处罚法》《中华人民共和国城乡规划法》《城市道路管理条例》《城市市容和环境卫生管理条例》《云南省城市建设管理条例》等相关法律、行政法规、地方性法规的规定，结合墨江哈尼族自治县实际，制定本管理办法。</w:t>
      </w:r>
    </w:p>
    <w:p w14:paraId="0EE7488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第二条 本管理办法所称的城市建成区，是指城镇建成区以及因城镇建设和发展需要应当实行规划控制的区域。在城市建成区内的单位和个人，应当遵守本办法。</w:t>
      </w:r>
    </w:p>
    <w:p w14:paraId="695DE84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第三条 墨江哈尼族自治县人民政府（以下简称县人民政府）应当将城市建设管理纳入国民经济和社会发展规划，建立城市管理协调机制，提高城市管理和服务水平。</w:t>
      </w:r>
    </w:p>
    <w:p w14:paraId="55B6806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县人民政府相关行政主管部门、乡（镇）人民政府按照各自职责做好城市管理工作。住房和城乡建设管理部门按照批准的权限开展城市建设管理工作。</w:t>
      </w:r>
    </w:p>
    <w:p w14:paraId="67C5D5E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第四条 本办法所称城市建设管理是指对城市建成区范围内的市政设施、城市建设、城市市容、环境卫生、城市绿化、城市环境保护、城市交通、市场监督、水务监督、燃气管理等方面的管理。</w:t>
      </w:r>
    </w:p>
    <w:p w14:paraId="77A82041">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第五条 任何单位和个人都有参与城市建设的责任和义务，对违反本办法的行为都有劝阻、举报的权利和遵守本办法的义务。</w:t>
      </w:r>
    </w:p>
    <w:p w14:paraId="1398B74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对城市建设管理中涉及公民、法人及其他组织利益的重大问题，应当采取听证会、座谈会、媒体公告等形式听取意见，保障公民的合法权益。</w:t>
      </w:r>
    </w:p>
    <w:p w14:paraId="53A3EA4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第六条 县人民政府鼓励单位和个人依法规范投资城镇建设，并保护其合法权益。</w:t>
      </w:r>
    </w:p>
    <w:p w14:paraId="0DE4287A">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对在城市建设管理中做出显著贡献的单位和个人，由县人民政府给予表彰、奖励。</w:t>
      </w:r>
    </w:p>
    <w:p w14:paraId="34956BC1">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积极参与健康城市、文明城市等系列创建工作，科学合理确定城市园林绿化阶段性目标任务，实现绿化率量增加与质量提升目标，协同高效推进绿美城市建设工作。</w:t>
      </w:r>
    </w:p>
    <w:p w14:paraId="333FE54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第二章 市政与建设</w:t>
      </w:r>
    </w:p>
    <w:p w14:paraId="529877D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第七条 任何单位和个人应当积极支持老旧小区改造、棚户区改造等城市更新工作，城市各种地下管线应当与城市道路统一规划，统一设计，同步施工，由住房和城乡建设管理部门监督实施。城市道路、桥涵、河道、给水、排水、路灯、路标、消防、公共交通等设施以及城市水源地，都必须严加保护。</w:t>
      </w:r>
    </w:p>
    <w:p w14:paraId="5C82391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市政设施养护、维修的单位，应当严格执行技术规范，定期进行养护、维修，确保养护、维修工程质量，并接受住房和城乡建设管理部门的监督检查。</w:t>
      </w:r>
    </w:p>
    <w:p w14:paraId="65531D7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市政设施（含城市道路）养护、维修工程应当按照规定的期限修复竣工，并在养护、维修工程施工现场设置明显标志和安全防范设施，保证行人和车辆安全。</w:t>
      </w:r>
    </w:p>
    <w:p w14:paraId="738DBA3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第八条 城市建成区内禁止下列行为：</w:t>
      </w:r>
    </w:p>
    <w:p w14:paraId="5F8790E0">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（一）随地吐痰、便溺，乱扔果皮、纸屑、烟蒂等废弃物；</w:t>
      </w:r>
    </w:p>
    <w:p w14:paraId="0576063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（二）采摘花果，攀爬树木，翻越绿篱和道路交通隔离栏，损毁花木，踩踏草坪、花坛（池），在公共绿化地种植蔬菜；</w:t>
      </w:r>
    </w:p>
    <w:p w14:paraId="5F95056C">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（三）在公用设施或者树木上涂写、刻画和擅自张贴广告、宣传单；</w:t>
      </w:r>
    </w:p>
    <w:p w14:paraId="4A6DFA91">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（四）在临街面门窗和阳台外占用公共空间堆放和悬挂物品、晾晒衣物、擅自悬挂跨街横幅和架设管线；</w:t>
      </w:r>
    </w:p>
    <w:p w14:paraId="7512C65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（五）乱倒渣土、垃圾；</w:t>
      </w:r>
    </w:p>
    <w:p w14:paraId="236B818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（六）在非指定地点摆摊设点、占道经营；</w:t>
      </w:r>
    </w:p>
    <w:p w14:paraId="0CB76956">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（七）运输车辆沿街泄漏渣土、粉尘、垃圾和污物；</w:t>
      </w:r>
    </w:p>
    <w:p w14:paraId="2BCE8B3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（八）擅自挖砂、取土、采石；</w:t>
      </w:r>
    </w:p>
    <w:p w14:paraId="2CA021E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（九）在公共场所焚烧物件和放养畜禽；</w:t>
      </w:r>
    </w:p>
    <w:p w14:paraId="5D137B6B">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（十）在沿街路面及店外搭建拖把池及水龙头。</w:t>
      </w:r>
    </w:p>
    <w:p w14:paraId="6FD4DC8A">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第九条 禁止下列损坏市政公用设施的行为：</w:t>
      </w:r>
    </w:p>
    <w:p w14:paraId="6AC2CDBC">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（一）损毁道路、护栏、环卫设施、亮化设施、交通隔离栏、交通信号灯和标志牌；</w:t>
      </w:r>
    </w:p>
    <w:p w14:paraId="67B6EA7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（二）擅自在城镇道路两侧开挖入口；</w:t>
      </w:r>
    </w:p>
    <w:p w14:paraId="2F104D03">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（三）擅自在城市建成区道路、桥梁、河堤、广场、公园设置各种管线；</w:t>
      </w:r>
    </w:p>
    <w:p w14:paraId="5F4AA79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（四）擅自拆除、迁移、搭接供电、供水、排水、电信、广播电视等设施；</w:t>
      </w:r>
    </w:p>
    <w:p w14:paraId="1A79F8D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（五）其他损坏市政公用设施的行为。</w:t>
      </w:r>
    </w:p>
    <w:p w14:paraId="188C6FEA">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第十条 因交通事故等意外事故损坏市政设施的，责任单位或个人在采取应急措施的同时，应当立即向住房和城乡建设管理部门报告，及时配合抢修，并承担赔偿责任。</w:t>
      </w:r>
    </w:p>
    <w:p w14:paraId="17DB9A3C">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第十一条 县城建成区范围内（北至原林业局、原锦程山庄，南至阿布洛托、龙泉夜市，西至建材市场、墨江县第二幼儿园，东至环城路），钢材、水泥、石棉瓦、彩钢瓦、部分五金销售及加工、石材加工、木材加工类规范进驻墨江县建材商贸中心经营。</w:t>
      </w:r>
    </w:p>
    <w:p w14:paraId="69658D40">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第十二条 建设工程施工现场应当符合下列规定：</w:t>
      </w:r>
    </w:p>
    <w:p w14:paraId="1A043D0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（一）设置连续、封闭、高度不低于2米的硬质围挡，围挡30%面积应当规范张贴公益广告和明显的行车行人安全标识等，实行封闭式施工；</w:t>
      </w:r>
    </w:p>
    <w:p w14:paraId="1BC1EF2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（二）物料、机具和废弃物等堆放在建设工地范围内须采用密闭式防尘网遮盖；</w:t>
      </w:r>
    </w:p>
    <w:p w14:paraId="6E64FC2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（三）对裸露场地和集中堆放的土方、散料，采取覆盖、固化、绿化或者拦挡等措施；</w:t>
      </w:r>
    </w:p>
    <w:p w14:paraId="4670A316">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（四）施工工地采取分段作业、择时施工、洒水抑尘、冲洗地面等有效防尘降尘措施；</w:t>
      </w:r>
    </w:p>
    <w:p w14:paraId="6D0AAD8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（五）配备冲洗设施，保持运输车辆清洁；</w:t>
      </w:r>
    </w:p>
    <w:p w14:paraId="09B861A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（六）配置污水处理设施，对施工产生的废水、泥浆进行处理；</w:t>
      </w:r>
    </w:p>
    <w:p w14:paraId="317830CD">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（七）竣工后及时清理、平整场地，对因施工损坏的周边环境及时进行修复；</w:t>
      </w:r>
    </w:p>
    <w:p w14:paraId="38F1B0A6">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（八）暂时不能开工的建设用地，建设单位应当对裸露地面进行覆盖；超过三个月的，应当进行绿化或者遮盖。</w:t>
      </w:r>
    </w:p>
    <w:p w14:paraId="7C44AB2B">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第十三条 建设工程产生的建筑垃圾、渣土、泥浆等废弃物，由住房和城乡建设管理部门按照相关规定处置。</w:t>
      </w:r>
    </w:p>
    <w:p w14:paraId="309214B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运输建筑垃圾、渣土、泥浆的车辆，应当遵守下列规定：</w:t>
      </w:r>
    </w:p>
    <w:p w14:paraId="7C27A48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（一）密闭运输；</w:t>
      </w:r>
    </w:p>
    <w:p w14:paraId="2916F036">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（二）不得车轮带泥行驶；</w:t>
      </w:r>
    </w:p>
    <w:p w14:paraId="2000E326">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（三）不得沿途泼洒；</w:t>
      </w:r>
    </w:p>
    <w:p w14:paraId="495CC2F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（四）按照住房和城乡建设管理部门、公安部门、交通运输管理部门规定的时间和线路运送到指定场地。</w:t>
      </w:r>
    </w:p>
    <w:p w14:paraId="08B30E6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第十四条 施工工地通道口必须硬化，设置车辆清洗点，严禁施工车辆带泥土上街；建筑施工的污水必须经净化处理后，方可排放，不得直泻街道路面；严禁将带泥沙的污水排入下水道；严禁在道路上搅拌砂浆、混凝土。</w:t>
      </w:r>
    </w:p>
    <w:p w14:paraId="388084D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第十五条 各建设或施工单位，必须自行配备相应数量的保洁员，负责工地出入口、围墙及本施工地段的保洁。</w:t>
      </w:r>
    </w:p>
    <w:p w14:paraId="39BF8CAB">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第十六条 在河道管理范围内，未经水务行政主管部门批准，禁止从事下列活动：</w:t>
      </w:r>
    </w:p>
    <w:p w14:paraId="3CE6F86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（一）填堵、占用或拆毁河流故道、旧堤、原有工程设施；</w:t>
      </w:r>
    </w:p>
    <w:p w14:paraId="0EDAEBC6">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（二）损毁堤防。护岸、闸、坝、洪水位桩等水工建设物和防汛、水文观测、测量等设施；</w:t>
      </w:r>
    </w:p>
    <w:p w14:paraId="76EE57A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（三）修建厂房、仓库、工业与民用建筑；修建阻水的围堤、道路、渠道；修建厕所、猪厩；</w:t>
      </w:r>
    </w:p>
    <w:p w14:paraId="68FED48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（四）种植芦苇、树木等高秆作物（堤防护林除外）；</w:t>
      </w:r>
    </w:p>
    <w:p w14:paraId="5334DF3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（五）堆放物料和弃置、倾倒矿渣、石渣、煤灰、泥土、垃圾等阻碍行洪的物体；</w:t>
      </w:r>
    </w:p>
    <w:p w14:paraId="62B8D78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（六）烧制土焦、加工预制构件和开展集市贸易活动；</w:t>
      </w:r>
    </w:p>
    <w:p w14:paraId="5171551A">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（七）打井、挖窖和葬坟；</w:t>
      </w:r>
    </w:p>
    <w:p w14:paraId="4712A85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（八）采砂、采石、取土、爆破、钻探、截水阻水、排水和开采地下资源等；</w:t>
      </w:r>
    </w:p>
    <w:p w14:paraId="089A336B">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（九）修建挑坝或者其他工程设施。</w:t>
      </w:r>
    </w:p>
    <w:p w14:paraId="12CC03A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第十七条 禁止下列损害城市供水、排水、防洪设施等市政公用设施的行为：</w:t>
      </w:r>
    </w:p>
    <w:p w14:paraId="3A276EC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（一）擅自连接、改装、拆除供水、供气、排水等公用管线、公共管沟、亮化照明电源；</w:t>
      </w:r>
    </w:p>
    <w:p w14:paraId="75BA084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（二）擅自在城市公共供水管道上安装抽水水泵；</w:t>
      </w:r>
    </w:p>
    <w:p w14:paraId="3568A1CC">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（三）擅自将自建的供水、供气、排水、再生水利用等设施与城市相应的设施连接；</w:t>
      </w:r>
    </w:p>
    <w:p w14:paraId="48C4E52A">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（四）擅自停止运行再生水利用设施；</w:t>
      </w:r>
    </w:p>
    <w:p w14:paraId="20B6B8B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（五）向城市排水设施排放或者倾倒有毒、易燃、易爆和未达到排放标准的污水以及废弃物；</w:t>
      </w:r>
    </w:p>
    <w:p w14:paraId="63FFD42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（六）擅自在已实施雨水、污水分流的区域将雨水、污水系统混接；</w:t>
      </w:r>
    </w:p>
    <w:p w14:paraId="2332D15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（七）损坏城市道路、桥梁、供水、供气、排水、公共管沟、城市公共客运等市政公用设施、设备；</w:t>
      </w:r>
    </w:p>
    <w:p w14:paraId="67DC716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（八）损坏、偷盗窨井盖；</w:t>
      </w:r>
    </w:p>
    <w:p w14:paraId="0029C41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（九）在城区河道内倾倒废弃物及垃圾，直排污水等；</w:t>
      </w:r>
    </w:p>
    <w:p w14:paraId="76144EF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（十）其他有损城市供排水、防洪等市政公用设施的行为。</w:t>
      </w:r>
    </w:p>
    <w:p w14:paraId="340B147D">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第三章 园林与绿化</w:t>
      </w:r>
    </w:p>
    <w:p w14:paraId="3285763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第十八条 城市绿化应当符合城市绿地系统规划。建设项目配套的绿化工程的规划、设计方案应当按照规定经规划管理部门和住房和城乡建设管理部门批准后实施。绿化指标和绿化工程质量应当达到规定的标准和要求。</w:t>
      </w:r>
    </w:p>
    <w:p w14:paraId="16735DF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第十九条 城市绿化应当因地制宜，应当选用列入《云南省城市绿化树种名录》中的树种，其中地方特色树种的苗木数量占所选用树种苗木总量的60％以上。</w:t>
      </w:r>
    </w:p>
    <w:p w14:paraId="3650EFE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鼓励利用屋顶、露台、墙壁等进行绿化，推广应用节水、节地、节材等新技术。</w:t>
      </w:r>
    </w:p>
    <w:p w14:paraId="72A9BAF3">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第二十条 住房和城乡建设管理部门负责市政公共绿地的建设和养护，新开发区绿地、居住区绿地、单位附属绿地由开发单位或者产权人建设和养护。</w:t>
      </w:r>
    </w:p>
    <w:p w14:paraId="5240EDDC">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第二十一条 园林、公共绿地应当保持完好整洁。居住区内公共绿地需要改造或者改变使用性质的，应当报经规划主管部门和其他相关行政主管部门批准。</w:t>
      </w:r>
    </w:p>
    <w:p w14:paraId="38BD301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禁止下列破坏城市绿化的行为：</w:t>
      </w:r>
    </w:p>
    <w:p w14:paraId="0DADC93D">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（一）擅自砍伐、挖掘、损坏、损毁树木；</w:t>
      </w:r>
    </w:p>
    <w:p w14:paraId="563979A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（二）侵占绿地或者擅自改变绿地使用性质；</w:t>
      </w:r>
    </w:p>
    <w:p w14:paraId="663F4CD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（三）擅自在绿地内挖坑、取土；</w:t>
      </w:r>
    </w:p>
    <w:p w14:paraId="067A30E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（四）在绿地内堆放物料、倾倒垃圾、废液；</w:t>
      </w:r>
    </w:p>
    <w:p w14:paraId="1D99AE4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（五）未经许可在绿地内摆摊设点或者设置广告牌；</w:t>
      </w:r>
    </w:p>
    <w:p w14:paraId="42D2502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（六）损坏草坪、绿篱、花坛，攀折花木、采摘果实；</w:t>
      </w:r>
    </w:p>
    <w:p w14:paraId="29CEBF33">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（七）其他损坏、损毁城市绿地内绿化设施及附属设施等行为。</w:t>
      </w:r>
    </w:p>
    <w:p w14:paraId="63F8DE01">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第二十二条 电力、供排水、供气、通信、消防等单位敷设、维修管线时，应当避让城市绿地。无法避让的，应当报经住房和城乡建设管理部门同意。施工结束后，建设单位应当及时恢复绿地原状。</w:t>
      </w:r>
    </w:p>
    <w:p w14:paraId="6D2AC48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第二十三条 住房和城乡建设管理部门应当加强对古树名木的保护和管理，设立古树名木标识，落实养护管理责任单位。</w:t>
      </w:r>
    </w:p>
    <w:p w14:paraId="7190960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建设单位在进行建设项目规划、设计、施工时，应当对古树名木采取避让和保护措施。</w:t>
      </w:r>
    </w:p>
    <w:p w14:paraId="7F2DF70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第四章 市容与卫生</w:t>
      </w:r>
    </w:p>
    <w:p w14:paraId="00105C20">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第二十四条 城市中的建筑物和各种设施，应当符合国家、省、市、县规定的城市容貌标准。对影响市容景观的残墙断壁、危险建筑物、构筑物等，产权单位应当及时整修或拆除。</w:t>
      </w:r>
    </w:p>
    <w:p w14:paraId="72019861">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第二十五条 新建、扩建、改建的一切建筑物、构筑物应当符合城市建筑风貌管控要求，体现出当地的民族风格特征和历史文化内涵。</w:t>
      </w:r>
    </w:p>
    <w:p w14:paraId="7155900B">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第二十六条 从事废旧物品收购作业的，应当保持经营场所周围环境卫生整洁，回收物品不得占道堆放。</w:t>
      </w:r>
    </w:p>
    <w:p w14:paraId="7CB77976">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第二十七条 主次干道临街建筑物的阳台、平台、外走廊和窗户外不得堆放超过阳台栏杆高度，不得吊挂和晾晒有碍市容观瞻的物品。</w:t>
      </w:r>
    </w:p>
    <w:p w14:paraId="71C70FD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第二十八条 任何单位和个人不得在城市道路和公共场地擅自堆放物料或者设置其他设施。因建设等特殊需要，在城市道路和公共场地临时堆放物料，必须按照有关规定办理审批手续，到期应当及时清理或者拆除，并恢复原状。</w:t>
      </w:r>
    </w:p>
    <w:p w14:paraId="04FBAE2B">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第二十九条 临街门店应当遵守“门前五包”，保持店容店貌整洁、美观，店名、标牌用语准确规范，内容文明健康。店内卫生整洁、商品进店、摆放整齐。应当自备垃圾收集容器，及时清理产生的垃圾等废弃物，保持摊位和经营场地周围市容环境卫生整洁；其遮挡物、广告等不能影响市容市貌。</w:t>
      </w:r>
    </w:p>
    <w:p w14:paraId="38C1D7B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第三十条 城市道路范围内禁止占道经营和摆摊设点、堆放物料、杂物等，其他小巷未经批准不得私设摊点，占道堆放。经批准临时占用城市道路及其他公共场所的，必须在规定的时间、地点占道，不得随意改变占道地点或扩大占道面积和延长占道时间。</w:t>
      </w:r>
    </w:p>
    <w:p w14:paraId="000C72D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第三十一条 禁止各类游商、游贩沿街叫卖和流动兜售、占道经营，除公益宣传外，禁止各种商业宣传与大街流动宣传噪音扰民，禁止卖艺人员在街道游窜，从事占道经营活动，禁止流浪乞讨人员沿街乞讨。</w:t>
      </w:r>
    </w:p>
    <w:p w14:paraId="3C171C5A">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第三十二条 禁止占用城市道路和其他公共场所举办文化、商业促销宣传等活动。经批准临时占用道路、广场举办活动的，应当保持场地整洁，及时清除所产生的垃圾等废弃物，恢复原状。</w:t>
      </w:r>
    </w:p>
    <w:p w14:paraId="2A6D5316">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第三十三条 城市建成区电动车充电必须确保安全、规范，禁止飞线充电影响安全和市容市貌。</w:t>
      </w:r>
    </w:p>
    <w:p w14:paraId="36FFDD7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第三十四条 禁止占用机动车道、非机动车道、人行道从事修理车辆、制作加工钢门窗、堆放货物、上下货物等活动。</w:t>
      </w:r>
    </w:p>
    <w:p w14:paraId="4456D35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第三十五条 城市建成区内的车辆清洗站（点），应有专门的清洗场地和沉淀（沙）设施，从事车辆修理、清洗、材料加工等经营活动的，应配备建设专门的清洗场地和沉淀（沙）设施，经营场所应当按照规定配备污水、污泥处理设施及垃圾收集容器，对产生的污水、污泥和垃圾进行处理，不得超出门店范围堆放废旧轮胎等杂物，不得在城市道路上随地冲洗车辆，禁止各类脏车入城，污染城市路面，影响市容市貌。</w:t>
      </w:r>
    </w:p>
    <w:p w14:paraId="338290CA">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第三十六条 城区道路上设置的机动车、非机动车停车场地应当符合规划，应有明显标志，区划明显界线，车辆必须摆放整齐。禁止在停车位外停放车辆，对乱停乱放的车辆无法联系车主或联系拒不配合的，公安部门、住房和城乡建设管理部门可以采取拖移或用锁车装置锁车进行先期处置，再依据相关法条进行处置。</w:t>
      </w:r>
    </w:p>
    <w:p w14:paraId="484B69A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第三十七条 进入城区的各种交通运输工具应当保持外形完好、整洁。运载沙石、渣土、垃圾、粪便、泥浆、粉尘物等散装物品或液体货物的车辆，应当装载适量，关好挡板，采取密闭或者完善的覆盖措施，防止运输物品沿途抛撒、泄漏、遗散、飞扬，并按运输管理部门、公安部门规定的时间、路线和地点进行运输和处置。</w:t>
      </w:r>
    </w:p>
    <w:p w14:paraId="3F9D958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第三十八条 畜力车进入城区道路，应当按照指定道路、场地行驶、停放，不得撒漏粪便和饲料。</w:t>
      </w:r>
    </w:p>
    <w:p w14:paraId="64C29CCA">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第三十九条 城市建（构）筑物外立面应当符合城市规划设计要求，保持整洁、完好，禁止一切私搭乱建。建（构）筑物破损的，产权单位应当及时整修。</w:t>
      </w:r>
    </w:p>
    <w:p w14:paraId="74A9145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建筑物面对城市主干道和广场周边一侧封闭阳台、安装防盗门窗和空调外机等设施，应当符合有关规定。</w:t>
      </w:r>
    </w:p>
    <w:p w14:paraId="31CED26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第四十条 设置户外广告、店名招牌、指示牌及其他户外设施应当经过住房和城乡建设部门审批，确保外型美观、安全牢固和整洁完好，不妨碍交通安全，超过批准期限和闲置的应当及时拆除。</w:t>
      </w:r>
    </w:p>
    <w:p w14:paraId="1CFA9986">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第四十一条 禁止擅自在城市道路、广场等公共场所散发商业广告，在树木、地面、建（构）筑物以及其他设施上刻画、涂写、喷涂或者擅自悬挂、张贴宣传品。</w:t>
      </w:r>
    </w:p>
    <w:p w14:paraId="462AE4A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住房和城乡建设部门应当合理设置与城市总体风貌相适应的信息公布栏，社区、居民小区可以配设便民信息栏，引导便民信息有序、规范张贴。</w:t>
      </w:r>
    </w:p>
    <w:p w14:paraId="683E55AB">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住房和城乡建设管理部门、社区、街道等应当及时对乱刻、乱涂、乱写、乱张贴的户外小广告进行清理；城市建成区内各单位应当及时清理管辖范围内的户外小广告。</w:t>
      </w:r>
    </w:p>
    <w:p w14:paraId="7CF177B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第四十二条 禁止在城市建成区内饲养鸡、鸭、鹅、兔、羊、牛、猪等家畜家禽。城乡结合部农民饲养家畜家禽的，必须实行圈养。</w:t>
      </w:r>
    </w:p>
    <w:p w14:paraId="09FB82D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任何单位和个人在城市建成区内饲养犬只应当进行检疫、免疫，必须及时清理宠物粪便。禁止将大型犬只随意放养，遛狗必须牵绳，对此类行为住房和城乡建设管理部门可对流浪犬只采取捕捉、收容和无害化处理。</w:t>
      </w:r>
    </w:p>
    <w:p w14:paraId="59B6B27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第四十三条 物业服务企业或社区组织应当加强居住区内装饰、装修等建设行为的管理，对扰民或者违规行为应当劝阻、制止，并及时向住房和城乡建设管理部门报告。</w:t>
      </w:r>
    </w:p>
    <w:p w14:paraId="46D47CA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第五章 环境与保护</w:t>
      </w:r>
    </w:p>
    <w:p w14:paraId="3BD8469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第四十四条 城市中的环境卫生设施，应当符合国家规定的城市环境卫生标准。</w:t>
      </w:r>
    </w:p>
    <w:p w14:paraId="1B4C584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第四十五条 未经批准，任何单位和个人不得擅自关闭、闲置或者拆除城市生活垃圾处置设施、场所；确有必要关闭、闲置或者拆除的，必须经所在地县级以上地方人民政府建设（环境卫生）主管部门和环境保护主管部门核准，并采取措施，防止污染环境。</w:t>
      </w:r>
    </w:p>
    <w:p w14:paraId="6D8CC63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第四十六条 城市生产生活垃圾及废弃物按照以下规定处理:</w:t>
      </w:r>
    </w:p>
    <w:p w14:paraId="232B12EB">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（一）生活垃圾实现分类投放、收集、运输、利用和处置；</w:t>
      </w:r>
    </w:p>
    <w:p w14:paraId="325F5D9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（二）塑料购物袋、塑料包装物等塑料制品垃圾应当回收利用；</w:t>
      </w:r>
    </w:p>
    <w:p w14:paraId="4C962C86">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（三）产生餐厨废弃物的单位和经营者，应当按照规定设置收集点和收集容器，并交由专业机构运输、处置；</w:t>
      </w:r>
    </w:p>
    <w:p w14:paraId="1AA8AD2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（四）建筑垃圾、装饰装修垃圾、工业垃圾、医疗废弃物应当按照规定单独收集、运输和处置，不得混入生活垃圾；</w:t>
      </w:r>
    </w:p>
    <w:p w14:paraId="52299E0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（五）有毒有害废弃物，应当交由专业机构处理，不得任意堆放、倾倒、处置。</w:t>
      </w:r>
    </w:p>
    <w:p w14:paraId="615AA10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第四十七条 在城市建成区内，禁止以下行为：</w:t>
      </w:r>
    </w:p>
    <w:p w14:paraId="37119DB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（一）乱倾倒污水、污油、粪便和餐饮泔水的；</w:t>
      </w:r>
    </w:p>
    <w:p w14:paraId="6793AD8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（二）不按规定的时间、地点、方式，倾倒垃圾、粪便的；</w:t>
      </w:r>
    </w:p>
    <w:p w14:paraId="50497C1A">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（三）不履行卫生责任区清扫保洁义务或者不按规定清运、处理垃圾和粪便的；</w:t>
      </w:r>
    </w:p>
    <w:p w14:paraId="566CE4E1">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（四）从事城市生活垃圾经营性清扫、收集、运输的企业在运输过程中沿途丢弃、遗撒生活垃圾的。</w:t>
      </w:r>
    </w:p>
    <w:p w14:paraId="0C51653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第四十八条 在城市建成区内，禁止下列行为：</w:t>
      </w:r>
    </w:p>
    <w:p w14:paraId="223A7E6B">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（一）酒吧、歌舞娱乐、音像店、棋牌室等经营场所及机动车修配厂、食品加工厂等产生超过国家规定的环境噪声排放超限值的噪声；</w:t>
      </w:r>
    </w:p>
    <w:p w14:paraId="477B667C">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（二）商业经营、健身、集会等活动，使用音响器材音量超限值，临街门面、道路、公共场地使用发电设备噪声超限值；</w:t>
      </w:r>
    </w:p>
    <w:p w14:paraId="1BF1D3E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（三）夜市经营噪声超限值；</w:t>
      </w:r>
    </w:p>
    <w:p w14:paraId="4F0B4F4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（四）除抢修、抢险等工程及特殊需要必须连续作业的，夜间22时至凌晨6时在学校、医院和居住区等噪声敏感区域内进行产生噪声的施工、装修、加工等活动；</w:t>
      </w:r>
    </w:p>
    <w:p w14:paraId="2D76E2C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（五）从事食品加工、餐饮服务的单位和个人，使用高污染燃料，未配置废气（油烟）净化器和油烟排放管道或者不正常使用油烟净化器或者未采取其他油烟净化措施，超过排放标准排放油烟的。</w:t>
      </w:r>
    </w:p>
    <w:p w14:paraId="763D5CB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第四十九条 在城市排水管网及其附属设施覆盖范围内，排水户应当将污水、废水排入城市排水管网及其附属设施，不得直接排放。在供排水设施及其保护范围内禁止下列行为:</w:t>
      </w:r>
    </w:p>
    <w:p w14:paraId="1F170FC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（一）未采取隔油、滤渣等处理措施，直接排放污水、废水、油烟，倾倒杂物、垃圾；</w:t>
      </w:r>
    </w:p>
    <w:p w14:paraId="29B3CC8B">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（二）擅自安装管线或者其他设施；</w:t>
      </w:r>
    </w:p>
    <w:p w14:paraId="61C68AB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（三）擅自挖沟、采石、取土、堆物。</w:t>
      </w:r>
    </w:p>
    <w:p w14:paraId="4172775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第五十条 在城市建成区人口集中地区和其他依法需要特殊保护的区域内，禁止焚烧沥青、油毡、橡胶、塑料、皮革、垃圾以及其他产生有毒有害烟尘和恶臭气体的物质。</w:t>
      </w:r>
    </w:p>
    <w:p w14:paraId="4F51AF0D">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第五十一条 禁止在城市建成区露天焚烧秸秆、落叶等行为。</w:t>
      </w:r>
    </w:p>
    <w:p w14:paraId="7D63C123">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第五十二条 住房和城乡建设管理部门在高考、中考期间，可以对特定区域内可能产生环境噪声污染的建筑施工、商业经营、交通运输等活动采取临时限制措施，并提前10日向社会公告。</w:t>
      </w:r>
    </w:p>
    <w:p w14:paraId="08CD67A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第六章 法律与监督</w:t>
      </w:r>
    </w:p>
    <w:p w14:paraId="77B6AEB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第五十三条 县人民政府、乡（镇）人民政府、有关行政执法部门及其工作人员有下列情形之一的，由所在单位或者上级行政机关责令改正，对直接负责的主管人员和其他直接责任人员依法给予处分；构成犯罪的，依法追究刑事责任：</w:t>
      </w:r>
    </w:p>
    <w:p w14:paraId="0807FB1A">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（一）不履行法定职责的；</w:t>
      </w:r>
    </w:p>
    <w:p w14:paraId="7321EE2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（二）未按照法定程序实施行政管理和执法的；</w:t>
      </w:r>
    </w:p>
    <w:p w14:paraId="2344FBA1">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（三）打骂、侮辱当事人的；</w:t>
      </w:r>
    </w:p>
    <w:p w14:paraId="6432BB89">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（四）违规收费或者收缴罚款后不出具专用票据的；</w:t>
      </w:r>
    </w:p>
    <w:p w14:paraId="749A715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（五）其他玩忽职守、滥用职权、徇私舞弊的行为。</w:t>
      </w:r>
    </w:p>
    <w:p w14:paraId="172D0505">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第五十四条 违反本办法有关规定的，由相关行政主管部门责令停止违法行为，并按照有关法律法规给予行政处罚；构成犯罪的，依法追究刑事责任。</w:t>
      </w:r>
    </w:p>
    <w:p w14:paraId="4CBBA96F">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第五十五条 相关部门应当建立健全城市公共服务体系，加强城市基础设施和公共服务设施建设，建立和完善社区管理服务机构，提高城市公共服务水平。</w:t>
      </w:r>
    </w:p>
    <w:p w14:paraId="3E8645D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第五十六条 交通管理部门应当优先发展城市公共交通，科学合理规划、设计公交运营线路，适时调整公交车辆、出租汽车的投放量。</w:t>
      </w:r>
    </w:p>
    <w:p w14:paraId="33952D72">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第五十七条 公安部门应当会同住房和城乡建设管理部门在城市道路范围内科学合理施划临时停车泊位。</w:t>
      </w:r>
    </w:p>
    <w:p w14:paraId="725E3F33">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鼓励单位和个人依法规范建设立体式停车场和利用地下空间建设城市公共停车场，配建停车设施的单位、居住区可以向社会提供停车服务。</w:t>
      </w:r>
    </w:p>
    <w:p w14:paraId="3B4B46D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严禁在城区公共停车泊位上放置物品霸占车位、摆摊设点，侵占公共停车权益。</w:t>
      </w:r>
    </w:p>
    <w:p w14:paraId="52E9A1A4">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第五十八条 县人民政府及其相关部门应当建立健全数字化城市管理平台和公共停车、道路交通、应急指挥等城市管理综合信息系统。</w:t>
      </w:r>
    </w:p>
    <w:p w14:paraId="749320E7">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第五十九条 县人民政府应当在公共道路及公园、广场、商业区等重点公共建筑的人行道口、公交站候车区等区域配建无障碍设施，对已建成的没有无障碍设施的公共道路及各类公共建筑应当逐步改造。</w:t>
      </w:r>
    </w:p>
    <w:p w14:paraId="29029F9D">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第六十条 公共文化体育设施管理单位应当加强对设施的管理，定期维修和更新，保证设施完好、安全。</w:t>
      </w:r>
    </w:p>
    <w:p w14:paraId="6F70E88C">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国家法定节假日和学校寒暑假期间，应当适当延长公共文化体育设施开放时间。鼓励机关、学校、企业等单位内部的文化、体育和卫生设施向公众开放。</w:t>
      </w:r>
    </w:p>
    <w:p w14:paraId="41BBE99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图书馆、城市公园等公共设施免费向社会公众开放。</w:t>
      </w:r>
    </w:p>
    <w:p w14:paraId="2EF1DF2E">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第七章 附则</w:t>
      </w:r>
    </w:p>
    <w:p w14:paraId="0D327B18">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第六十一条 本管理办法由墨江哈尼族自治县住房和城乡建设局负责解释。</w:t>
      </w:r>
    </w:p>
    <w:p w14:paraId="095CFD60">
      <w:pPr>
        <w:pStyle w:val="10"/>
        <w:keepNext w:val="0"/>
        <w:keepLines w:val="0"/>
        <w:pageBreakBefore w:val="0"/>
        <w:widowControl/>
        <w:suppressLineNumbers w:val="0"/>
        <w:kinsoku/>
        <w:wordWrap/>
        <w:overflowPunct/>
        <w:topLinePunct w:val="0"/>
        <w:autoSpaceDE/>
        <w:autoSpaceDN/>
        <w:bidi w:val="0"/>
        <w:adjustRightInd/>
        <w:snapToGrid/>
        <w:spacing w:line="550" w:lineRule="atLeast"/>
        <w:ind w:lef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第六十二条 本管理办法适用于墨江哈尼族自治县联珠镇。</w:t>
      </w:r>
    </w:p>
    <w:p w14:paraId="40CBF542">
      <w:pPr>
        <w:pStyle w:val="10"/>
        <w:keepNext w:val="0"/>
        <w:keepLines w:val="0"/>
        <w:pageBreakBefore w:val="0"/>
        <w:widowControl/>
        <w:suppressLineNumbers w:val="0"/>
        <w:kinsoku/>
        <w:wordWrap/>
        <w:overflowPunct/>
        <w:topLinePunct w:val="0"/>
        <w:autoSpaceDE/>
        <w:autoSpaceDN/>
        <w:bidi w:val="0"/>
        <w:adjustRightInd/>
        <w:snapToGrid/>
        <w:spacing w:before="0" w:beforeAutospacing="1" w:after="0" w:afterAutospacing="1" w:line="550" w:lineRule="atLeast"/>
        <w:ind w:left="0" w:right="0" w:firstLine="420"/>
        <w:textAlignment w:val="auto"/>
        <w:rPr>
          <w:rFonts w:hint="eastAsia" w:ascii="仿宋" w:hAnsi="仿宋" w:eastAsia="仿宋" w:cs="仿宋"/>
          <w:color w:val="000000" w:themeColor="text1"/>
          <w:kern w:val="0"/>
          <w:sz w:val="32"/>
          <w:szCs w:val="32"/>
          <w:lang w:val="en-US" w:eastAsia="zh-CN" w:bidi="ar-SA"/>
          <w14:textFill>
            <w14:solidFill>
              <w14:schemeClr w14:val="tx1"/>
            </w14:solidFill>
          </w14:textFill>
        </w:rPr>
      </w:pPr>
      <w:r>
        <w:rPr>
          <w:rFonts w:hint="eastAsia" w:ascii="仿宋" w:hAnsi="仿宋" w:eastAsia="仿宋" w:cs="仿宋"/>
          <w:color w:val="000000" w:themeColor="text1"/>
          <w:kern w:val="0"/>
          <w:sz w:val="32"/>
          <w:szCs w:val="32"/>
          <w:lang w:val="en-US" w:eastAsia="zh-CN" w:bidi="ar-SA"/>
          <w14:textFill>
            <w14:solidFill>
              <w14:schemeClr w14:val="tx1"/>
            </w14:solidFill>
          </w14:textFill>
        </w:rPr>
        <w:t>第六十三条 本办法自印发之日起暂行一年。</w:t>
      </w:r>
    </w:p>
    <w:p w14:paraId="23C441C5">
      <w:pPr>
        <w:keepNext w:val="0"/>
        <w:keepLines w:val="0"/>
        <w:pageBreakBefore w:val="0"/>
        <w:widowControl w:val="0"/>
        <w:kinsoku/>
        <w:wordWrap/>
        <w:overflowPunct/>
        <w:topLinePunct w:val="0"/>
        <w:autoSpaceDE w:val="0"/>
        <w:autoSpaceDN w:val="0"/>
        <w:bidi w:val="0"/>
        <w:adjustRightInd w:val="0"/>
        <w:snapToGrid/>
        <w:spacing w:line="570" w:lineRule="exact"/>
        <w:ind w:firstLine="0" w:firstLineChars="0"/>
        <w:jc w:val="both"/>
        <w:textAlignment w:val="auto"/>
        <w:rPr>
          <w:rFonts w:hint="eastAsia" w:ascii="方正小标宋简体" w:hAnsi="方正小标宋简体" w:eastAsia="方正小标宋简体" w:cs="方正小标宋简体"/>
          <w:color w:val="000000" w:themeColor="text1"/>
          <w:kern w:val="0"/>
          <w:sz w:val="44"/>
          <w:szCs w:val="44"/>
          <w14:textFill>
            <w14:solidFill>
              <w14:schemeClr w14:val="tx1"/>
            </w14:solidFill>
          </w14:textFill>
        </w:rPr>
      </w:pPr>
    </w:p>
    <w:p w14:paraId="27EDAA79">
      <w:pPr>
        <w:keepNext w:val="0"/>
        <w:keepLines w:val="0"/>
        <w:pageBreakBefore w:val="0"/>
        <w:widowControl w:val="0"/>
        <w:kinsoku/>
        <w:wordWrap/>
        <w:overflowPunct/>
        <w:topLinePunct w:val="0"/>
        <w:autoSpaceDE/>
        <w:autoSpaceDN/>
        <w:bidi w:val="0"/>
        <w:adjustRightInd/>
        <w:snapToGrid/>
        <w:spacing w:line="400" w:lineRule="exact"/>
        <w:ind w:left="0" w:leftChars="0" w:firstLine="210" w:firstLineChars="100"/>
        <w:textAlignment w:val="auto"/>
        <w:rPr>
          <w:rFonts w:hint="eastAsia" w:ascii="Times New Roman" w:hAnsi="Times New Roman" w:eastAsia="仿宋" w:cs="Times New Roman"/>
          <w:lang w:val="en-US" w:eastAsia="zh-CN"/>
        </w:rPr>
      </w:pPr>
    </w:p>
    <w:sectPr>
      <w:headerReference r:id="rId3" w:type="default"/>
      <w:footerReference r:id="rId4" w:type="default"/>
      <w:footerReference r:id="rId5" w:type="even"/>
      <w:pgSz w:w="11850" w:h="16838"/>
      <w:pgMar w:top="2098" w:right="1474" w:bottom="1984" w:left="1587" w:header="851" w:footer="1587" w:gutter="0"/>
      <w:pgNumType w:fmt="decimal"/>
      <w:cols w:space="0" w:num="1"/>
      <w:rtlGutter w:val="0"/>
      <w:docGrid w:type="lines" w:linePitch="313"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Calibri Light">
    <w:panose1 w:val="020F03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楷体_GB2312">
    <w:panose1 w:val="02010609030101010101"/>
    <w:charset w:val="86"/>
    <w:family w:val="modern"/>
    <w:pitch w:val="default"/>
    <w:sig w:usb0="00000001" w:usb1="080E0000" w:usb2="00000000" w:usb3="00000000" w:csb0="00040000" w:csb1="00000000"/>
  </w:font>
  <w:font w:name="方正仿宋简体">
    <w:altName w:val="微软雅黑"/>
    <w:panose1 w:val="02000000000000000000"/>
    <w:charset w:val="86"/>
    <w:family w:val="script"/>
    <w:pitch w:val="default"/>
    <w:sig w:usb0="00000000" w:usb1="00000000" w:usb2="00000012"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F37D9">
    <w:pPr>
      <w:pStyle w:val="7"/>
      <w:ind w:right="360"/>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6F96F">
                          <w:pPr>
                            <w:pStyle w:val="7"/>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B16F96F">
                    <w:pPr>
                      <w:pStyle w:val="7"/>
                      <w:rPr>
                        <w:rFonts w:hint="eastAsia"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0D734">
    <w:pPr>
      <w:pStyle w:val="7"/>
    </w:pPr>
    <w:r>
      <w:rPr>
        <w:sz w:val="18"/>
      </w:rPr>
      <mc:AlternateContent>
        <mc:Choice Requires="wps">
          <w:drawing>
            <wp:anchor distT="0" distB="0" distL="114300" distR="114300" simplePos="0" relativeHeight="251660288" behindDoc="0" locked="0" layoutInCell="1" allowOverlap="1">
              <wp:simplePos x="0" y="0"/>
              <wp:positionH relativeFrom="margin">
                <wp:posOffset>209550</wp:posOffset>
              </wp:positionH>
              <wp:positionV relativeFrom="paragraph">
                <wp:posOffset>-95250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917CCD">
                          <w:pPr>
                            <w:pStyle w:val="7"/>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6.5pt;margin-top:-7.5pt;height:144pt;width:144pt;mso-position-horizontal-relative:margin;mso-wrap-style:none;z-index:251660288;mso-width-relative:page;mso-height-relative:page;" filled="f" stroked="f" coordsize="21600,21600" o:gfxdata="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F2YpK1gAAAAoBAAAPAAAAAAAAAAEAIAAAACIAAABkcnMvZG93bnJldi54bWxQ&#10;SwECFAAUAAAACACHTuJA9YuHZDICAABhBAAADgAAAAAAAAABACAAAAAlAQAAZHJzL2Uyb0RvYy54&#10;bWxQSwUGAAAAAAYABgBZAQAAyQUAAAAA&#10;">
              <v:fill on="f" focussize="0,0"/>
              <v:stroke on="f" weight="0.5pt"/>
              <v:imagedata o:title=""/>
              <o:lock v:ext="edit" aspectratio="f"/>
              <v:textbox inset="0mm,0mm,0mm,0mm" style="mso-fit-shape-to-text:t;">
                <w:txbxContent>
                  <w:p w14:paraId="3D917CCD">
                    <w:pPr>
                      <w:pStyle w:val="7"/>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1E075B">
    <w:pPr>
      <w:pStyle w:val="8"/>
      <w:pBdr>
        <w:bottom w:val="none" w:color="auto" w:sz="0" w:space="0"/>
      </w:pBd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evenAndOddHeaders w:val="1"/>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RkYjMxZWRjOTA2N2VjNDE1MGYyNWYxNmM3MDI2ZmIifQ=="/>
  </w:docVars>
  <w:rsids>
    <w:rsidRoot w:val="00922301"/>
    <w:rsid w:val="00106B07"/>
    <w:rsid w:val="00153758"/>
    <w:rsid w:val="002A244D"/>
    <w:rsid w:val="002C2786"/>
    <w:rsid w:val="00392704"/>
    <w:rsid w:val="003B4B2A"/>
    <w:rsid w:val="003D2C7E"/>
    <w:rsid w:val="00480A84"/>
    <w:rsid w:val="005F6169"/>
    <w:rsid w:val="00840B03"/>
    <w:rsid w:val="008B7FCB"/>
    <w:rsid w:val="009033BF"/>
    <w:rsid w:val="00922301"/>
    <w:rsid w:val="00984D41"/>
    <w:rsid w:val="00A5280D"/>
    <w:rsid w:val="00AF1FDE"/>
    <w:rsid w:val="00BD5313"/>
    <w:rsid w:val="00BE3183"/>
    <w:rsid w:val="00BF018F"/>
    <w:rsid w:val="00C46067"/>
    <w:rsid w:val="00D46C7B"/>
    <w:rsid w:val="00DC2E0D"/>
    <w:rsid w:val="00EA398B"/>
    <w:rsid w:val="00F355C0"/>
    <w:rsid w:val="0AA26383"/>
    <w:rsid w:val="1EFF4805"/>
    <w:rsid w:val="32DFE31F"/>
    <w:rsid w:val="35C023ED"/>
    <w:rsid w:val="3EAB0813"/>
    <w:rsid w:val="3F0F9B6B"/>
    <w:rsid w:val="3FFB35AB"/>
    <w:rsid w:val="436D4A57"/>
    <w:rsid w:val="4DDEDA8E"/>
    <w:rsid w:val="559317CE"/>
    <w:rsid w:val="5B6F5ED1"/>
    <w:rsid w:val="5ECED0B8"/>
    <w:rsid w:val="5F6FF648"/>
    <w:rsid w:val="5FBFE74C"/>
    <w:rsid w:val="67BDD0FF"/>
    <w:rsid w:val="6FFF5E14"/>
    <w:rsid w:val="7724E432"/>
    <w:rsid w:val="776A24B7"/>
    <w:rsid w:val="7D7566A1"/>
    <w:rsid w:val="7F7B8F63"/>
    <w:rsid w:val="7FEBD3F1"/>
    <w:rsid w:val="834FDA1D"/>
    <w:rsid w:val="8D658207"/>
    <w:rsid w:val="B4AA13BE"/>
    <w:rsid w:val="BA7B23C6"/>
    <w:rsid w:val="BFF3517A"/>
    <w:rsid w:val="CFFA8368"/>
    <w:rsid w:val="D75A7BDC"/>
    <w:rsid w:val="D7FAEC5B"/>
    <w:rsid w:val="DBFF3FED"/>
    <w:rsid w:val="DC7B081F"/>
    <w:rsid w:val="DDBBC925"/>
    <w:rsid w:val="DEFBF4FC"/>
    <w:rsid w:val="DF37D076"/>
    <w:rsid w:val="DFFEFD38"/>
    <w:rsid w:val="EEFF5FC8"/>
    <w:rsid w:val="F6AB1DC5"/>
    <w:rsid w:val="FE73487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widowControl w:val="0"/>
      <w:spacing w:before="340" w:after="330" w:line="578" w:lineRule="auto"/>
      <w:jc w:val="both"/>
      <w:outlineLvl w:val="0"/>
    </w:pPr>
    <w:rPr>
      <w:rFonts w:ascii="Times New Roman" w:hAnsi="Times New Roman" w:eastAsia="宋体" w:cs="Times New Roman"/>
      <w:b/>
      <w:bCs/>
      <w:kern w:val="44"/>
      <w:sz w:val="44"/>
      <w:szCs w:val="44"/>
      <w:lang w:val="en-US" w:eastAsia="zh-CN" w:bidi="ar-SA"/>
    </w:rPr>
  </w:style>
  <w:style w:type="paragraph" w:styleId="5">
    <w:name w:val="heading 2"/>
    <w:basedOn w:val="1"/>
    <w:next w:val="1"/>
    <w:qFormat/>
    <w:uiPriority w:val="0"/>
    <w:pPr>
      <w:widowControl w:val="0"/>
      <w:spacing w:before="100" w:beforeAutospacing="1" w:after="100" w:afterAutospacing="1"/>
      <w:outlineLvl w:val="1"/>
    </w:pPr>
    <w:rPr>
      <w:rFonts w:ascii="宋体" w:hAnsi="宋体"/>
      <w:b/>
      <w:sz w:val="36"/>
      <w:szCs w:val="36"/>
      <w:lang w:val="en-US" w:eastAsia="zh-CN" w:bidi="ar-SA"/>
    </w:rPr>
  </w:style>
  <w:style w:type="paragraph" w:styleId="6">
    <w:name w:val="heading 3"/>
    <w:basedOn w:val="1"/>
    <w:next w:val="1"/>
    <w:link w:val="17"/>
    <w:qFormat/>
    <w:uiPriority w:val="0"/>
    <w:pPr>
      <w:keepNext/>
      <w:keepLines/>
      <w:widowControl w:val="0"/>
      <w:jc w:val="both"/>
      <w:outlineLvl w:val="2"/>
    </w:pPr>
    <w:rPr>
      <w:rFonts w:ascii="Times New Roman" w:hAnsi="Times New Roman" w:eastAsia="宋体" w:cs="Times New Roman"/>
      <w:bCs/>
      <w:kern w:val="2"/>
      <w:sz w:val="21"/>
      <w:szCs w:val="32"/>
      <w:lang w:val="en-US" w:eastAsia="zh-CN" w:bidi="ar-SA"/>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widowControl w:val="0"/>
      <w:jc w:val="center"/>
    </w:pPr>
    <w:rPr>
      <w:rFonts w:ascii="方正小标宋简体" w:hAnsi="Times New Roman" w:eastAsia="方正小标宋简体" w:cs="Times New Roman"/>
      <w:kern w:val="2"/>
      <w:sz w:val="44"/>
      <w:szCs w:val="24"/>
      <w:lang w:val="en-US" w:eastAsia="zh-CN" w:bidi="ar-SA"/>
    </w:rPr>
  </w:style>
  <w:style w:type="paragraph" w:styleId="3">
    <w:name w:val="toc 5"/>
    <w:basedOn w:val="1"/>
    <w:next w:val="1"/>
    <w:qFormat/>
    <w:uiPriority w:val="0"/>
    <w:pPr>
      <w:widowControl w:val="0"/>
      <w:ind w:left="1680"/>
      <w:jc w:val="both"/>
    </w:pPr>
    <w:rPr>
      <w:rFonts w:ascii="Times New Roman" w:hAnsi="Times New Roman" w:eastAsia="宋体" w:cs="Times New Roman"/>
      <w:kern w:val="2"/>
      <w:sz w:val="21"/>
      <w:szCs w:val="24"/>
      <w:lang w:val="en-US" w:eastAsia="zh-CN" w:bidi="ar-SA"/>
    </w:rPr>
  </w:style>
  <w:style w:type="paragraph" w:styleId="7">
    <w:name w:val="footer"/>
    <w:basedOn w:val="1"/>
    <w:qFormat/>
    <w:uiPriority w:val="0"/>
    <w:pPr>
      <w:widowControl w:val="0"/>
      <w:tabs>
        <w:tab w:val="center" w:pos="4153"/>
        <w:tab w:val="right" w:pos="8306"/>
      </w:tabs>
      <w:snapToGrid w:val="0"/>
      <w:jc w:val="left"/>
    </w:pPr>
    <w:rPr>
      <w:rFonts w:ascii="Times New Roman" w:hAnsi="Times New Roman" w:eastAsia="宋体" w:cs="Times New Roman"/>
      <w:kern w:val="2"/>
      <w:sz w:val="18"/>
      <w:szCs w:val="18"/>
      <w:lang w:val="en-US" w:eastAsia="zh-CN" w:bidi="ar-SA"/>
    </w:rPr>
  </w:style>
  <w:style w:type="paragraph" w:styleId="8">
    <w:name w:val="header"/>
    <w:qFormat/>
    <w:uiPriority w:val="0"/>
    <w:pPr>
      <w:widowControl w:val="0"/>
      <w:pBdr>
        <w:bottom w:val="single" w:color="auto" w:sz="6" w:space="1"/>
      </w:pBdr>
      <w:tabs>
        <w:tab w:val="center" w:pos="4153"/>
        <w:tab w:val="right" w:pos="8306"/>
      </w:tabs>
      <w:snapToGrid w:val="0"/>
      <w:jc w:val="center"/>
    </w:pPr>
    <w:rPr>
      <w:rFonts w:ascii="Times New Roman" w:hAnsi="Times New Roman" w:eastAsia="宋体" w:cs="Times New Roman"/>
      <w:kern w:val="2"/>
      <w:sz w:val="18"/>
      <w:szCs w:val="18"/>
      <w:lang w:val="en-US" w:eastAsia="zh-CN" w:bidi="ar-SA"/>
    </w:rPr>
  </w:style>
  <w:style w:type="paragraph" w:styleId="9">
    <w:name w:val="HTML Preformatted"/>
    <w:basedOn w:val="1"/>
    <w:qFormat/>
    <w:uiPriority w:val="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0"/>
    <w:pPr>
      <w:keepNext w:val="0"/>
      <w:keepLines w:val="0"/>
      <w:widowControl/>
      <w:suppressLineNumbers w:val="0"/>
      <w:spacing w:before="100" w:beforeAutospacing="1" w:after="100" w:afterAutospacing="1"/>
      <w:ind w:left="0" w:right="0"/>
      <w:jc w:val="left"/>
    </w:pPr>
    <w:rPr>
      <w:rFonts w:hint="eastAsia" w:ascii="宋体" w:hAnsi="宋体" w:eastAsia="宋体" w:cs="宋体"/>
      <w:kern w:val="0"/>
      <w:sz w:val="24"/>
      <w:szCs w:val="24"/>
      <w:lang w:val="en-US" w:eastAsia="zh-CN" w:bidi="ar"/>
    </w:rPr>
  </w:style>
  <w:style w:type="paragraph" w:styleId="11">
    <w:name w:val="Title"/>
    <w:next w:val="1"/>
    <w:qFormat/>
    <w:uiPriority w:val="0"/>
    <w:pPr>
      <w:widowControl w:val="0"/>
      <w:spacing w:before="240" w:after="60"/>
      <w:jc w:val="center"/>
      <w:outlineLvl w:val="0"/>
    </w:pPr>
    <w:rPr>
      <w:rFonts w:ascii="Calibri Light" w:hAnsi="Calibri Light" w:eastAsia="宋体" w:cs="Times New Roman"/>
      <w:b/>
      <w:bCs/>
      <w:kern w:val="2"/>
      <w:sz w:val="32"/>
      <w:szCs w:val="32"/>
      <w:lang w:val="en-US" w:eastAsia="zh-CN" w:bidi="ar-SA"/>
    </w:rPr>
  </w:style>
  <w:style w:type="character" w:styleId="14">
    <w:name w:val="Strong"/>
    <w:basedOn w:val="13"/>
    <w:qFormat/>
    <w:uiPriority w:val="0"/>
    <w:rPr>
      <w:b/>
    </w:rPr>
  </w:style>
  <w:style w:type="character" w:styleId="15">
    <w:name w:val="Hyperlink"/>
    <w:qFormat/>
    <w:uiPriority w:val="0"/>
    <w:rPr>
      <w:color w:val="0000FF"/>
      <w:u w:val="single"/>
    </w:rPr>
  </w:style>
  <w:style w:type="paragraph" w:customStyle="1" w:styleId="16">
    <w:name w:val="TOAHeading"/>
    <w:basedOn w:val="1"/>
    <w:next w:val="1"/>
    <w:qFormat/>
    <w:uiPriority w:val="0"/>
    <w:pPr>
      <w:spacing w:before="120"/>
      <w:textAlignment w:val="baseline"/>
    </w:pPr>
    <w:rPr>
      <w:rFonts w:ascii="Cambria" w:hAnsi="Cambria"/>
      <w:sz w:val="24"/>
      <w:szCs w:val="21"/>
    </w:rPr>
  </w:style>
  <w:style w:type="character" w:customStyle="1" w:styleId="17">
    <w:name w:val="标题 3 Char"/>
    <w:link w:val="6"/>
    <w:qFormat/>
    <w:uiPriority w:val="0"/>
    <w:rPr>
      <w:bCs/>
      <w:kern w:val="2"/>
      <w:sz w:val="21"/>
      <w:szCs w:val="3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23</Pages>
  <Words>7559</Words>
  <Characters>7616</Characters>
  <Lines>42</Lines>
  <Paragraphs>11</Paragraphs>
  <TotalTime>7</TotalTime>
  <ScaleCrop>false</ScaleCrop>
  <LinksUpToDate>false</LinksUpToDate>
  <CharactersWithSpaces>7738</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2014-11-04T20:08:00Z</dcterms:created>
  <dc:creator>Administrator</dc:creator>
  <cp:lastModifiedBy>Administrator</cp:lastModifiedBy>
  <cp:lastPrinted>2022-08-26T12:35:00Z</cp:lastPrinted>
  <dcterms:modified xsi:type="dcterms:W3CDTF">2025-02-12T03:15:02Z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134BFE4058CF431E92F004C56DB67AF6_13</vt:lpwstr>
  </property>
</Properties>
</file>