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ind w:firstLine="872"/>
        <w:jc w:val="center"/>
        <w:rPr>
          <w:rFonts w:hint="eastAsia" w:ascii="小标宋" w:eastAsia="小标宋"/>
          <w:sz w:val="44"/>
          <w:szCs w:val="44"/>
          <w:lang w:eastAsia="zh-CN"/>
        </w:rPr>
      </w:pPr>
      <w:r>
        <w:rPr>
          <w:rFonts w:hint="eastAsia" w:ascii="小标宋" w:eastAsia="小标宋"/>
          <w:sz w:val="44"/>
          <w:szCs w:val="44"/>
        </w:rPr>
        <w:t>三门县建设工程招标代理信用评价办法</w:t>
      </w:r>
      <w:r>
        <w:rPr>
          <w:rFonts w:hint="eastAsia" w:ascii="小标宋" w:eastAsia="小标宋"/>
          <w:sz w:val="44"/>
          <w:szCs w:val="44"/>
          <w:lang w:eastAsia="zh-CN"/>
        </w:rPr>
        <w:t>（</w:t>
      </w:r>
      <w:r>
        <w:rPr>
          <w:rFonts w:hint="eastAsia" w:ascii="小标宋" w:eastAsia="小标宋"/>
          <w:sz w:val="44"/>
          <w:szCs w:val="44"/>
          <w:lang w:val="en-US" w:eastAsia="zh-CN"/>
        </w:rPr>
        <w:t>征求意见稿</w:t>
      </w:r>
      <w:bookmarkStart w:id="0" w:name="_GoBack"/>
      <w:bookmarkEnd w:id="0"/>
      <w:r>
        <w:rPr>
          <w:rFonts w:hint="eastAsia" w:ascii="小标宋" w:eastAsia="小标宋"/>
          <w:sz w:val="44"/>
          <w:szCs w:val="44"/>
          <w:lang w:eastAsia="zh-CN"/>
        </w:rPr>
        <w:t>）</w:t>
      </w:r>
    </w:p>
    <w:p>
      <w:pPr>
        <w:ind w:firstLine="632"/>
      </w:pPr>
      <w:r>
        <w:rPr>
          <w:rFonts w:hint="eastAsia"/>
        </w:rPr>
        <w:t xml:space="preserve"> </w:t>
      </w:r>
    </w:p>
    <w:p>
      <w:pPr>
        <w:ind w:firstLine="632"/>
        <w:jc w:val="center"/>
        <w:rPr>
          <w:rFonts w:ascii="黑体" w:hAnsi="黑体" w:eastAsia="黑体"/>
        </w:rPr>
      </w:pPr>
      <w:r>
        <w:rPr>
          <w:rFonts w:hint="eastAsia" w:ascii="黑体" w:hAnsi="黑体" w:eastAsia="黑体"/>
        </w:rPr>
        <w:t>第一章  总则</w:t>
      </w:r>
    </w:p>
    <w:p>
      <w:pPr>
        <w:spacing w:line="300" w:lineRule="exact"/>
        <w:ind w:firstLine="632" w:firstLineChars="200"/>
        <w:rPr>
          <w:rFonts w:ascii="仿宋_GB2312"/>
        </w:rPr>
      </w:pPr>
    </w:p>
    <w:p>
      <w:pPr>
        <w:ind w:firstLine="632" w:firstLineChars="200"/>
        <w:rPr>
          <w:rFonts w:ascii="仿宋_GB2312"/>
        </w:rPr>
      </w:pPr>
      <w:r>
        <w:rPr>
          <w:rFonts w:hint="eastAsia" w:ascii="黑体" w:hAnsi="黑体" w:eastAsia="黑体"/>
        </w:rPr>
        <w:t>第一条</w:t>
      </w:r>
      <w:r>
        <w:rPr>
          <w:rFonts w:hint="eastAsia" w:ascii="仿宋_GB2312"/>
        </w:rPr>
        <w:t xml:space="preserve">  为规范招标代理行为，推进招标代理信用体系建设，促进代理市场的健康发展，根据《中华人民共和国招标投标法实施条例》《浙江省招标投标条例》等规定，结合我县实际，制定本办法。</w:t>
      </w:r>
    </w:p>
    <w:p>
      <w:pPr>
        <w:ind w:firstLine="632" w:firstLineChars="200"/>
        <w:rPr>
          <w:rFonts w:ascii="仿宋_GB2312"/>
        </w:rPr>
      </w:pPr>
      <w:r>
        <w:rPr>
          <w:rFonts w:hint="eastAsia" w:ascii="黑体" w:hAnsi="黑体" w:eastAsia="黑体"/>
        </w:rPr>
        <w:t>第二条</w:t>
      </w:r>
      <w:r>
        <w:rPr>
          <w:rFonts w:hint="eastAsia" w:ascii="仿宋_GB2312"/>
        </w:rPr>
        <w:t xml:space="preserve">  本办法所称招标代理信用评价（以下简称信用评价），是指对招标代理机构综合素质、</w:t>
      </w:r>
      <w:r>
        <w:rPr>
          <w:rFonts w:hint="eastAsia" w:ascii="仿宋_GB2312"/>
          <w:lang w:eastAsia="zh-CN"/>
        </w:rPr>
        <w:t>公平竞争、</w:t>
      </w:r>
      <w:r>
        <w:rPr>
          <w:rFonts w:hint="eastAsia" w:ascii="仿宋_GB2312"/>
        </w:rPr>
        <w:t>代理业绩、业务建设、系统操作和社会信誉等方面的综合评价，并依据评价结果实施综合分类管理。</w:t>
      </w:r>
    </w:p>
    <w:p>
      <w:pPr>
        <w:ind w:firstLine="632" w:firstLineChars="200"/>
        <w:rPr>
          <w:rFonts w:ascii="仿宋_GB2312"/>
        </w:rPr>
      </w:pPr>
      <w:r>
        <w:rPr>
          <w:rFonts w:hint="eastAsia" w:ascii="黑体" w:hAnsi="黑体" w:eastAsia="黑体"/>
        </w:rPr>
        <w:t>第三条</w:t>
      </w:r>
      <w:r>
        <w:rPr>
          <w:rFonts w:hint="eastAsia" w:ascii="仿宋_GB2312"/>
        </w:rPr>
        <w:t xml:space="preserve">  凡在三门县行政区域范围内从事建设工程招标代理业务的招标代理机构，均应当按照本办法进行信用评价。</w:t>
      </w:r>
    </w:p>
    <w:p>
      <w:pPr>
        <w:widowControl/>
        <w:ind w:firstLine="632"/>
        <w:jc w:val="left"/>
      </w:pPr>
      <w:r>
        <w:rPr>
          <w:rFonts w:hint="eastAsia" w:ascii="仿宋_GB2312"/>
        </w:rPr>
        <w:t>本办法所称招标代理机构，</w:t>
      </w:r>
      <w:r>
        <w:rPr>
          <w:rFonts w:hint="eastAsia" w:ascii="仿宋_GB2312"/>
          <w:color w:val="FF0000"/>
        </w:rPr>
        <w:t>指依法登记注册且营业执照上的经营范围包含并实际开展招标代理业务的机构；</w:t>
      </w:r>
      <w:r>
        <w:rPr>
          <w:rFonts w:ascii="仿宋_GB2312" w:hAnsi="仿宋_GB2312" w:cs="仿宋_GB2312"/>
          <w:color w:val="000000"/>
          <w:kern w:val="0"/>
          <w:sz w:val="31"/>
          <w:szCs w:val="31"/>
        </w:rPr>
        <w:t>代理项目负责人是指招标代 理机构具体实施代理项目的负责人</w:t>
      </w:r>
      <w:r>
        <w:rPr>
          <w:rFonts w:hint="eastAsia" w:ascii="仿宋_GB2312"/>
        </w:rPr>
        <w:t>。</w:t>
      </w:r>
    </w:p>
    <w:p>
      <w:pPr>
        <w:ind w:firstLine="632" w:firstLineChars="200"/>
        <w:rPr>
          <w:rFonts w:ascii="仿宋_GB2312"/>
        </w:rPr>
      </w:pPr>
      <w:r>
        <w:rPr>
          <w:rFonts w:hint="eastAsia" w:ascii="黑体" w:hAnsi="黑体" w:eastAsia="黑体"/>
        </w:rPr>
        <w:t>第四条</w:t>
      </w:r>
      <w:r>
        <w:rPr>
          <w:rFonts w:hint="eastAsia" w:ascii="仿宋_GB2312"/>
        </w:rPr>
        <w:t xml:space="preserve">  信用评价活动遵循公开、公平、公正和诚实信用的原则。</w:t>
      </w:r>
    </w:p>
    <w:p>
      <w:pPr>
        <w:ind w:firstLine="632" w:firstLineChars="200"/>
        <w:rPr>
          <w:rFonts w:ascii="仿宋_GB2312"/>
          <w:color w:val="FF0000"/>
        </w:rPr>
      </w:pPr>
      <w:r>
        <w:rPr>
          <w:rFonts w:hint="eastAsia" w:ascii="黑体" w:hAnsi="黑体" w:eastAsia="黑体"/>
        </w:rPr>
        <w:t>第五条</w:t>
      </w:r>
      <w:r>
        <w:rPr>
          <w:rFonts w:hint="eastAsia" w:ascii="仿宋_GB2312"/>
        </w:rPr>
        <w:t xml:space="preserve">  三门县行政审批服务中心（县公共资源交易中心）</w:t>
      </w:r>
      <w:r>
        <w:rPr>
          <w:rFonts w:hint="eastAsia" w:ascii="仿宋_GB2312"/>
          <w:lang w:val="en-US" w:eastAsia="zh-CN"/>
        </w:rPr>
        <w:t>(以下简称县交易中心）</w:t>
      </w:r>
      <w:r>
        <w:rPr>
          <w:rFonts w:hint="eastAsia" w:ascii="仿宋_GB2312"/>
        </w:rPr>
        <w:t>负责三门县行政区域范围内信用评价工作并组织实施，</w:t>
      </w:r>
      <w:r>
        <w:rPr>
          <w:rFonts w:hint="eastAsia" w:ascii="仿宋_GB2312"/>
          <w:color w:val="FF0000"/>
        </w:rPr>
        <w:t>三门县市场监督管理局负责监督代理机构落实公平竞争和收费行为。</w:t>
      </w:r>
    </w:p>
    <w:p>
      <w:pPr>
        <w:spacing w:line="300" w:lineRule="exact"/>
        <w:ind w:firstLine="632" w:firstLineChars="200"/>
        <w:rPr>
          <w:rFonts w:ascii="仿宋_GB2312"/>
        </w:rPr>
      </w:pPr>
      <w:r>
        <w:rPr>
          <w:rFonts w:hint="eastAsia" w:ascii="仿宋_GB2312"/>
        </w:rPr>
        <w:t xml:space="preserve"> </w:t>
      </w:r>
    </w:p>
    <w:p>
      <w:pPr>
        <w:ind w:firstLine="632"/>
        <w:jc w:val="center"/>
        <w:rPr>
          <w:rFonts w:ascii="黑体" w:hAnsi="黑体" w:eastAsia="黑体"/>
        </w:rPr>
      </w:pPr>
      <w:r>
        <w:rPr>
          <w:rFonts w:hint="eastAsia" w:ascii="黑体" w:hAnsi="黑体" w:eastAsia="黑体"/>
        </w:rPr>
        <w:t>第二章  评价指标和信用等级</w:t>
      </w:r>
    </w:p>
    <w:p>
      <w:pPr>
        <w:spacing w:line="300" w:lineRule="exact"/>
        <w:ind w:firstLine="632" w:firstLineChars="200"/>
        <w:rPr>
          <w:rFonts w:ascii="仿宋_GB2312"/>
        </w:rPr>
      </w:pPr>
      <w:r>
        <w:rPr>
          <w:rFonts w:hint="eastAsia" w:ascii="仿宋_GB2312"/>
        </w:rPr>
        <w:t xml:space="preserve"> </w:t>
      </w:r>
    </w:p>
    <w:p>
      <w:pPr>
        <w:ind w:firstLine="632" w:firstLineChars="200"/>
        <w:rPr>
          <w:rFonts w:ascii="仿宋_GB2312"/>
        </w:rPr>
      </w:pPr>
      <w:r>
        <w:rPr>
          <w:rFonts w:hint="eastAsia" w:ascii="黑体" w:hAnsi="黑体" w:eastAsia="黑体"/>
        </w:rPr>
        <w:t>第六条</w:t>
      </w:r>
      <w:r>
        <w:rPr>
          <w:rFonts w:hint="eastAsia" w:ascii="仿宋_GB2312"/>
        </w:rPr>
        <w:t xml:space="preserve">  信用评价指标包括综合素质、</w:t>
      </w:r>
      <w:r>
        <w:rPr>
          <w:rFonts w:hint="eastAsia" w:ascii="仿宋_GB2312"/>
          <w:color w:val="FF0000"/>
        </w:rPr>
        <w:t>公平竞争、</w:t>
      </w:r>
      <w:r>
        <w:rPr>
          <w:rFonts w:hint="eastAsia" w:ascii="仿宋_GB2312"/>
        </w:rPr>
        <w:t>代理业绩、业务建设、系统操作和社会信誉等</w:t>
      </w:r>
      <w:r>
        <w:rPr>
          <w:rFonts w:hint="eastAsia" w:ascii="仿宋_GB2312"/>
          <w:color w:val="FF0000"/>
          <w:lang w:eastAsia="zh-CN"/>
        </w:rPr>
        <w:t>六</w:t>
      </w:r>
      <w:r>
        <w:rPr>
          <w:rFonts w:hint="eastAsia" w:ascii="仿宋_GB2312"/>
        </w:rPr>
        <w:t>部分。</w:t>
      </w:r>
    </w:p>
    <w:p>
      <w:pPr>
        <w:ind w:firstLine="632" w:firstLineChars="200"/>
        <w:rPr>
          <w:rFonts w:ascii="仿宋_GB2312"/>
        </w:rPr>
      </w:pPr>
      <w:r>
        <w:rPr>
          <w:rFonts w:hint="eastAsia" w:ascii="黑体" w:hAnsi="黑体" w:eastAsia="黑体"/>
        </w:rPr>
        <w:t>第七条</w:t>
      </w:r>
      <w:r>
        <w:rPr>
          <w:rFonts w:hint="eastAsia" w:ascii="仿宋_GB2312"/>
        </w:rPr>
        <w:t xml:space="preserve">  招标代理机构的信用评价实行分级评定，分为AAA、AA、A和B四个等级，并根据下列方法评定等级：</w:t>
      </w:r>
    </w:p>
    <w:p>
      <w:pPr>
        <w:ind w:firstLine="632" w:firstLineChars="200"/>
        <w:rPr>
          <w:rFonts w:ascii="仿宋_GB2312"/>
        </w:rPr>
      </w:pPr>
      <w:r>
        <w:rPr>
          <w:rFonts w:hint="eastAsia" w:ascii="仿宋_GB2312"/>
        </w:rPr>
        <w:t>（一）AAA级，信用评价分85分以上的；</w:t>
      </w:r>
    </w:p>
    <w:p>
      <w:pPr>
        <w:ind w:firstLine="632" w:firstLineChars="200"/>
        <w:rPr>
          <w:rFonts w:ascii="仿宋_GB2312"/>
        </w:rPr>
      </w:pPr>
      <w:r>
        <w:rPr>
          <w:rFonts w:hint="eastAsia" w:ascii="仿宋_GB2312"/>
        </w:rPr>
        <w:t>（二）AA级，信用评价分70分以上不足85分的；</w:t>
      </w:r>
    </w:p>
    <w:p>
      <w:pPr>
        <w:ind w:firstLine="632" w:firstLineChars="200"/>
        <w:rPr>
          <w:rFonts w:ascii="仿宋_GB2312"/>
        </w:rPr>
      </w:pPr>
      <w:r>
        <w:rPr>
          <w:rFonts w:hint="eastAsia" w:ascii="仿宋_GB2312"/>
        </w:rPr>
        <w:t>（三）A级，信用评价分60分以上不足70分的；</w:t>
      </w:r>
    </w:p>
    <w:p>
      <w:pPr>
        <w:ind w:firstLine="632" w:firstLineChars="200"/>
        <w:rPr>
          <w:rFonts w:ascii="仿宋_GB2312"/>
        </w:rPr>
      </w:pPr>
      <w:r>
        <w:rPr>
          <w:rFonts w:hint="eastAsia" w:ascii="仿宋_GB2312"/>
        </w:rPr>
        <w:t>（四）B级，信用评价分不足60分的。</w:t>
      </w:r>
    </w:p>
    <w:p>
      <w:pPr>
        <w:spacing w:line="300" w:lineRule="exact"/>
        <w:ind w:firstLine="632" w:firstLineChars="200"/>
        <w:rPr>
          <w:rFonts w:ascii="仿宋_GB2312"/>
        </w:rPr>
      </w:pPr>
      <w:r>
        <w:rPr>
          <w:rFonts w:hint="eastAsia" w:ascii="仿宋_GB2312"/>
        </w:rPr>
        <w:t xml:space="preserve"> </w:t>
      </w:r>
    </w:p>
    <w:p>
      <w:pPr>
        <w:ind w:firstLine="632"/>
        <w:jc w:val="center"/>
        <w:rPr>
          <w:rFonts w:ascii="黑体" w:hAnsi="黑体" w:eastAsia="黑体"/>
        </w:rPr>
      </w:pPr>
      <w:r>
        <w:rPr>
          <w:rFonts w:hint="eastAsia" w:ascii="黑体" w:hAnsi="黑体" w:eastAsia="黑体"/>
        </w:rPr>
        <w:t>第三章  评价程序和申请材料</w:t>
      </w:r>
    </w:p>
    <w:p>
      <w:pPr>
        <w:spacing w:line="300" w:lineRule="exact"/>
        <w:ind w:firstLine="632" w:firstLineChars="200"/>
        <w:rPr>
          <w:rFonts w:ascii="仿宋_GB2312"/>
        </w:rPr>
      </w:pPr>
      <w:r>
        <w:rPr>
          <w:rFonts w:hint="eastAsia" w:ascii="仿宋_GB2312"/>
        </w:rPr>
        <w:t xml:space="preserve"> </w:t>
      </w:r>
    </w:p>
    <w:p>
      <w:pPr>
        <w:ind w:firstLine="632" w:firstLineChars="200"/>
        <w:rPr>
          <w:rFonts w:ascii="仿宋_GB2312"/>
        </w:rPr>
      </w:pPr>
      <w:r>
        <w:rPr>
          <w:rFonts w:hint="eastAsia" w:ascii="黑体" w:hAnsi="黑体" w:eastAsia="黑体"/>
        </w:rPr>
        <w:t>第八条</w:t>
      </w:r>
      <w:r>
        <w:rPr>
          <w:rFonts w:hint="eastAsia" w:ascii="仿宋_GB2312"/>
        </w:rPr>
        <w:t xml:space="preserve">  信用评价工作原则上每年一次。</w:t>
      </w:r>
    </w:p>
    <w:p>
      <w:pPr>
        <w:ind w:firstLine="632" w:firstLineChars="200"/>
        <w:rPr>
          <w:rFonts w:ascii="仿宋_GB2312"/>
        </w:rPr>
      </w:pPr>
      <w:r>
        <w:rPr>
          <w:rFonts w:hint="eastAsia" w:ascii="黑体" w:hAnsi="黑体" w:eastAsia="黑体"/>
        </w:rPr>
        <w:t>第九条</w:t>
      </w:r>
      <w:r>
        <w:rPr>
          <w:rFonts w:hint="eastAsia" w:ascii="仿宋_GB2312"/>
        </w:rPr>
        <w:t xml:space="preserve">  信用评价按照下列程序组织开展：</w:t>
      </w:r>
    </w:p>
    <w:p>
      <w:pPr>
        <w:ind w:firstLine="632" w:firstLineChars="200"/>
        <w:rPr>
          <w:rFonts w:ascii="楷体_GB2312" w:eastAsia="楷体_GB2312"/>
        </w:rPr>
      </w:pPr>
      <w:r>
        <w:rPr>
          <w:rFonts w:hint="eastAsia" w:ascii="楷体_GB2312" w:eastAsia="楷体_GB2312"/>
        </w:rPr>
        <w:t>（一）电子化系统操作掌握程度测试</w:t>
      </w:r>
    </w:p>
    <w:p>
      <w:pPr>
        <w:ind w:firstLine="632" w:firstLineChars="200"/>
        <w:rPr>
          <w:rFonts w:ascii="仿宋_GB2312"/>
        </w:rPr>
      </w:pPr>
      <w:r>
        <w:rPr>
          <w:rFonts w:hint="eastAsia" w:ascii="仿宋_GB2312"/>
        </w:rPr>
        <w:t>1．每年的年中和年底进行2次实操测试，得分为两次分数的平均分。</w:t>
      </w:r>
    </w:p>
    <w:p>
      <w:pPr>
        <w:ind w:firstLine="632" w:firstLineChars="200"/>
        <w:rPr>
          <w:rFonts w:ascii="楷体_GB2312" w:eastAsia="楷体_GB2312"/>
        </w:rPr>
      </w:pPr>
      <w:r>
        <w:rPr>
          <w:rFonts w:hint="eastAsia" w:ascii="楷体_GB2312" w:eastAsia="楷体_GB2312"/>
        </w:rPr>
        <w:t>（二）动态评定</w:t>
      </w:r>
    </w:p>
    <w:p>
      <w:pPr>
        <w:ind w:firstLine="632" w:firstLineChars="200"/>
        <w:rPr>
          <w:rFonts w:ascii="仿宋_GB2312"/>
        </w:rPr>
      </w:pPr>
      <w:r>
        <w:rPr>
          <w:rFonts w:hint="eastAsia" w:ascii="仿宋_GB2312"/>
        </w:rPr>
        <w:t>1．涉及信用等级评价指标得分由招标代理机构在年底向</w:t>
      </w:r>
      <w:r>
        <w:rPr>
          <w:rFonts w:hint="eastAsia" w:ascii="仿宋_GB2312"/>
          <w:lang w:val="en-US" w:eastAsia="zh-CN"/>
        </w:rPr>
        <w:t>县交易中心</w:t>
      </w:r>
      <w:r>
        <w:rPr>
          <w:rFonts w:hint="eastAsia" w:ascii="仿宋_GB2312"/>
        </w:rPr>
        <w:t>申报本年度的动态评定材料。</w:t>
      </w:r>
    </w:p>
    <w:p>
      <w:pPr>
        <w:ind w:firstLine="632" w:firstLineChars="200"/>
        <w:rPr>
          <w:rFonts w:hint="eastAsia" w:ascii="仿宋_GB2312"/>
        </w:rPr>
      </w:pPr>
      <w:r>
        <w:rPr>
          <w:rFonts w:hint="eastAsia" w:ascii="仿宋_GB2312"/>
        </w:rPr>
        <w:t>2．</w:t>
      </w:r>
      <w:r>
        <w:rPr>
          <w:rFonts w:hint="eastAsia" w:ascii="仿宋_GB2312"/>
          <w:lang w:val="en-US" w:eastAsia="zh-CN"/>
        </w:rPr>
        <w:t>县交易中心</w:t>
      </w:r>
      <w:r>
        <w:rPr>
          <w:rFonts w:hint="eastAsia" w:ascii="仿宋_GB2312"/>
          <w:lang w:eastAsia="zh-CN"/>
        </w:rPr>
        <w:t>会同县市场监督管理局</w:t>
      </w:r>
      <w:r>
        <w:rPr>
          <w:rFonts w:hint="eastAsia" w:ascii="仿宋_GB2312"/>
        </w:rPr>
        <w:t>于30天内完成对招标代理机构的信用等级的动态评定。</w:t>
      </w:r>
    </w:p>
    <w:p>
      <w:pPr>
        <w:ind w:firstLine="632" w:firstLineChars="200"/>
        <w:rPr>
          <w:rFonts w:ascii="仿宋_GB2312"/>
        </w:rPr>
      </w:pPr>
      <w:r>
        <w:rPr>
          <w:rFonts w:hint="eastAsia" w:ascii="仿宋_GB2312"/>
          <w:lang w:val="en-US" w:eastAsia="zh-CN"/>
        </w:rPr>
        <w:t xml:space="preserve">3. </w:t>
      </w:r>
      <w:r>
        <w:rPr>
          <w:rFonts w:hint="eastAsia" w:ascii="仿宋_GB2312"/>
        </w:rPr>
        <w:t>信用评价结果汇总后在县公共资源交易网上公示5日，无异议或者异议不成立的予以正式公布。</w:t>
      </w:r>
    </w:p>
    <w:p>
      <w:pPr>
        <w:ind w:firstLine="632" w:firstLineChars="200"/>
        <w:rPr>
          <w:rFonts w:ascii="仿宋_GB2312"/>
        </w:rPr>
      </w:pPr>
      <w:r>
        <w:rPr>
          <w:rFonts w:hint="eastAsia" w:ascii="黑体" w:hAnsi="黑体" w:eastAsia="黑体"/>
        </w:rPr>
        <w:t>第十条</w:t>
      </w:r>
      <w:r>
        <w:rPr>
          <w:rFonts w:hint="eastAsia" w:ascii="仿宋_GB2312"/>
        </w:rPr>
        <w:t xml:space="preserve">  有关单位对信用评价结果有异议的，可在公示期内向</w:t>
      </w:r>
      <w:r>
        <w:rPr>
          <w:rFonts w:hint="eastAsia" w:ascii="仿宋_GB2312"/>
          <w:lang w:val="en-US" w:eastAsia="zh-CN"/>
        </w:rPr>
        <w:t>县交易中心</w:t>
      </w:r>
      <w:r>
        <w:rPr>
          <w:rFonts w:hint="eastAsia" w:ascii="仿宋_GB2312"/>
        </w:rPr>
        <w:t>书面提出异议，并提供相关证明材料。</w:t>
      </w:r>
      <w:r>
        <w:rPr>
          <w:rFonts w:hint="eastAsia" w:ascii="仿宋_GB2312"/>
          <w:lang w:val="en-US" w:eastAsia="zh-CN"/>
        </w:rPr>
        <w:t>县交易中心</w:t>
      </w:r>
      <w:r>
        <w:rPr>
          <w:rFonts w:hint="eastAsia" w:ascii="仿宋_GB2312"/>
        </w:rPr>
        <w:t>应当依据本办法及相关规定对异议内容进行核实并答复。</w:t>
      </w:r>
    </w:p>
    <w:p>
      <w:pPr>
        <w:ind w:firstLine="632" w:firstLineChars="200"/>
        <w:rPr>
          <w:rFonts w:ascii="仿宋_GB2312"/>
        </w:rPr>
      </w:pPr>
      <w:r>
        <w:rPr>
          <w:rFonts w:hint="eastAsia" w:ascii="仿宋_GB2312"/>
        </w:rPr>
        <w:t>提出异议的，应当经本单位法定代表人签字，并加盖单位公章，否则异议不予受理。</w:t>
      </w:r>
    </w:p>
    <w:p>
      <w:pPr>
        <w:spacing w:line="300" w:lineRule="exact"/>
        <w:ind w:firstLine="632" w:firstLineChars="200"/>
        <w:rPr>
          <w:rFonts w:ascii="仿宋_GB2312"/>
        </w:rPr>
      </w:pPr>
      <w:r>
        <w:rPr>
          <w:rFonts w:hint="eastAsia" w:ascii="仿宋_GB2312"/>
        </w:rPr>
        <w:t xml:space="preserve"> </w:t>
      </w:r>
    </w:p>
    <w:p>
      <w:pPr>
        <w:ind w:firstLine="632"/>
        <w:jc w:val="center"/>
        <w:rPr>
          <w:rFonts w:ascii="黑体" w:hAnsi="黑体" w:eastAsia="黑体"/>
        </w:rPr>
      </w:pPr>
      <w:r>
        <w:rPr>
          <w:rFonts w:hint="eastAsia" w:ascii="黑体" w:hAnsi="黑体" w:eastAsia="黑体"/>
        </w:rPr>
        <w:t>第四章  信用等级评价的运用</w:t>
      </w:r>
    </w:p>
    <w:p>
      <w:pPr>
        <w:spacing w:line="300" w:lineRule="exact"/>
        <w:ind w:firstLine="632" w:firstLineChars="200"/>
        <w:rPr>
          <w:rFonts w:ascii="仿宋_GB2312"/>
        </w:rPr>
      </w:pPr>
      <w:r>
        <w:rPr>
          <w:rFonts w:hint="eastAsia" w:ascii="仿宋_GB2312"/>
        </w:rPr>
        <w:t xml:space="preserve"> </w:t>
      </w:r>
    </w:p>
    <w:p>
      <w:pPr>
        <w:widowControl/>
        <w:shd w:val="clear" w:color="auto" w:fill="FFFFFF"/>
        <w:adjustRightInd w:val="0"/>
        <w:snapToGrid w:val="0"/>
        <w:spacing w:line="360" w:lineRule="auto"/>
        <w:ind w:firstLine="790" w:firstLineChars="250"/>
        <w:jc w:val="left"/>
        <w:rPr>
          <w:rFonts w:hint="eastAsia" w:ascii="仿宋_GB2312" w:hAnsi="宋体" w:cs="宋体"/>
          <w:color w:val="000000"/>
        </w:rPr>
      </w:pPr>
      <w:r>
        <w:rPr>
          <w:rFonts w:hint="eastAsia" w:ascii="黑体" w:hAnsi="黑体" w:eastAsia="黑体"/>
        </w:rPr>
        <w:t>第十一条</w:t>
      </w:r>
      <w:r>
        <w:rPr>
          <w:rFonts w:hint="eastAsia" w:ascii="仿宋_GB2312"/>
        </w:rPr>
        <w:t xml:space="preserve">  </w:t>
      </w:r>
      <w:r>
        <w:rPr>
          <w:rFonts w:hint="eastAsia" w:ascii="仿宋_GB2312" w:hAnsi="宋体" w:cs="宋体"/>
          <w:color w:val="000000"/>
        </w:rPr>
        <w:t>信用等级评价的运用，主要突出招标代理机构服务我县公共资源交易项目的能力和贡献、代理项目的质量、效率和规范性情况。</w:t>
      </w:r>
    </w:p>
    <w:p>
      <w:pPr>
        <w:widowControl/>
        <w:shd w:val="clear" w:color="auto" w:fill="FFFFFF"/>
        <w:adjustRightInd w:val="0"/>
        <w:snapToGrid w:val="0"/>
        <w:spacing w:line="360" w:lineRule="auto"/>
        <w:ind w:firstLine="790" w:firstLineChars="250"/>
        <w:jc w:val="left"/>
        <w:rPr>
          <w:rFonts w:hint="eastAsia" w:ascii="仿宋_GB2312" w:hAnsi="宋体" w:cs="宋体"/>
          <w:color w:val="000000"/>
        </w:rPr>
      </w:pPr>
      <w:r>
        <w:rPr>
          <w:rFonts w:hint="eastAsia" w:ascii="仿宋_GB2312" w:hAnsi="宋体" w:cs="宋体"/>
          <w:color w:val="000000"/>
        </w:rPr>
        <w:t>（一）在县级相关媒体及交易中心门户网站上公布信用等级评价结果，并进行正面宣传；</w:t>
      </w:r>
    </w:p>
    <w:p>
      <w:pPr>
        <w:widowControl/>
        <w:shd w:val="clear" w:color="auto" w:fill="FFFFFF"/>
        <w:adjustRightInd w:val="0"/>
        <w:snapToGrid w:val="0"/>
        <w:spacing w:line="360" w:lineRule="auto"/>
        <w:ind w:firstLine="790" w:firstLineChars="250"/>
        <w:jc w:val="left"/>
        <w:rPr>
          <w:rFonts w:hint="eastAsia" w:ascii="仿宋_GB2312" w:hAnsi="宋体" w:cs="宋体"/>
          <w:color w:val="000000"/>
        </w:rPr>
      </w:pPr>
      <w:r>
        <w:rPr>
          <w:rFonts w:hint="eastAsia" w:ascii="仿宋_GB2312" w:hAnsi="宋体" w:cs="宋体"/>
          <w:color w:val="000000"/>
        </w:rPr>
        <w:t>（二）信用等级评价结果通过公文形式流转各主管部门及各招标人，供</w:t>
      </w:r>
      <w:r>
        <w:rPr>
          <w:rFonts w:hint="eastAsia" w:ascii="仿宋_GB2312" w:hAnsi="宋体" w:cs="宋体"/>
          <w:color w:val="FF0000"/>
        </w:rPr>
        <w:t>招标人在选择招标代理机构作参考作用。鼓励</w:t>
      </w:r>
      <w:r>
        <w:rPr>
          <w:rFonts w:hint="eastAsia" w:ascii="仿宋_GB2312" w:hAnsi="宋体" w:cs="宋体"/>
          <w:color w:val="FF0000"/>
          <w:lang w:eastAsia="zh-CN"/>
        </w:rPr>
        <w:t>招标人</w:t>
      </w:r>
      <w:r>
        <w:rPr>
          <w:rFonts w:hint="eastAsia" w:ascii="仿宋_GB2312" w:hAnsi="宋体" w:cs="宋体"/>
          <w:color w:val="FF0000"/>
        </w:rPr>
        <w:t>选择信用等级A级以上的代理机构。</w:t>
      </w:r>
    </w:p>
    <w:p>
      <w:pPr>
        <w:ind w:firstLine="632" w:firstLineChars="200"/>
        <w:rPr>
          <w:rFonts w:ascii="仿宋_GB2312"/>
        </w:rPr>
      </w:pPr>
    </w:p>
    <w:p>
      <w:pPr>
        <w:spacing w:line="300" w:lineRule="exact"/>
        <w:ind w:firstLine="632" w:firstLineChars="200"/>
        <w:rPr>
          <w:rFonts w:ascii="仿宋_GB2312"/>
        </w:rPr>
      </w:pPr>
      <w:r>
        <w:rPr>
          <w:rFonts w:hint="eastAsia" w:ascii="仿宋_GB2312"/>
        </w:rPr>
        <w:t xml:space="preserve"> </w:t>
      </w:r>
    </w:p>
    <w:p>
      <w:pPr>
        <w:ind w:firstLine="632"/>
        <w:jc w:val="center"/>
        <w:rPr>
          <w:rFonts w:ascii="黑体" w:hAnsi="黑体" w:eastAsia="黑体"/>
        </w:rPr>
      </w:pPr>
      <w:r>
        <w:rPr>
          <w:rFonts w:hint="eastAsia" w:ascii="黑体" w:hAnsi="黑体" w:eastAsia="黑体"/>
        </w:rPr>
        <w:t>第五章  附则</w:t>
      </w:r>
    </w:p>
    <w:p>
      <w:pPr>
        <w:spacing w:line="300" w:lineRule="exact"/>
        <w:ind w:firstLine="632" w:firstLineChars="200"/>
        <w:rPr>
          <w:rFonts w:ascii="仿宋_GB2312"/>
        </w:rPr>
      </w:pPr>
      <w:r>
        <w:rPr>
          <w:rFonts w:hint="eastAsia" w:ascii="仿宋_GB2312"/>
        </w:rPr>
        <w:t xml:space="preserve"> </w:t>
      </w:r>
    </w:p>
    <w:p>
      <w:pPr>
        <w:ind w:firstLine="632" w:firstLineChars="200"/>
        <w:rPr>
          <w:rFonts w:ascii="仿宋_GB2312"/>
        </w:rPr>
      </w:pPr>
      <w:r>
        <w:rPr>
          <w:rFonts w:hint="eastAsia" w:ascii="黑体" w:hAnsi="黑体" w:eastAsia="黑体"/>
        </w:rPr>
        <w:t>第十二条</w:t>
      </w:r>
      <w:r>
        <w:rPr>
          <w:rFonts w:hint="eastAsia" w:ascii="仿宋_GB2312"/>
        </w:rPr>
        <w:t xml:space="preserve">  招标代理机构在申请信用评价的过程中弄虚作假的，直接评定为B级。</w:t>
      </w:r>
    </w:p>
    <w:p>
      <w:pPr>
        <w:ind w:firstLine="632" w:firstLineChars="200"/>
        <w:rPr>
          <w:rFonts w:ascii="仿宋_GB2312"/>
        </w:rPr>
      </w:pPr>
      <w:r>
        <w:rPr>
          <w:rFonts w:hint="eastAsia" w:ascii="黑体" w:hAnsi="黑体" w:eastAsia="黑体"/>
        </w:rPr>
        <w:t>第十三条</w:t>
      </w:r>
      <w:r>
        <w:rPr>
          <w:rFonts w:hint="eastAsia" w:ascii="仿宋_GB2312"/>
        </w:rPr>
        <w:t xml:space="preserve">  信用评价参评部门及其工作人员应当认真履行职责，不得徇私舞弊、玩忽职守、滥用职权。</w:t>
      </w:r>
    </w:p>
    <w:p>
      <w:pPr>
        <w:ind w:firstLine="632" w:firstLineChars="200"/>
        <w:rPr>
          <w:rFonts w:ascii="仿宋_GB2312"/>
        </w:rPr>
      </w:pPr>
      <w:r>
        <w:rPr>
          <w:rFonts w:hint="eastAsia" w:ascii="黑体" w:hAnsi="黑体" w:eastAsia="黑体"/>
        </w:rPr>
        <w:t>第十四条</w:t>
      </w:r>
      <w:r>
        <w:rPr>
          <w:rFonts w:hint="eastAsia" w:ascii="仿宋_GB2312"/>
        </w:rPr>
        <w:t xml:space="preserve">  本办法自印发之日起施行。。 </w:t>
      </w:r>
    </w:p>
    <w:p>
      <w:pPr>
        <w:ind w:firstLine="632" w:firstLineChars="200"/>
        <w:rPr>
          <w:rFonts w:ascii="仿宋_GB2312"/>
        </w:rPr>
      </w:pPr>
      <w:r>
        <w:rPr>
          <w:rFonts w:hint="eastAsia" w:ascii="仿宋_GB2312"/>
        </w:rPr>
        <w:t xml:space="preserve"> </w:t>
      </w:r>
    </w:p>
    <w:p>
      <w:pPr>
        <w:ind w:firstLine="632" w:firstLineChars="200"/>
        <w:rPr>
          <w:rFonts w:ascii="仿宋_GB2312"/>
        </w:rPr>
      </w:pPr>
      <w:r>
        <w:rPr>
          <w:rFonts w:hint="eastAsia" w:ascii="仿宋_GB2312"/>
        </w:rPr>
        <w:t>附件：1．三门县建设工程招标代理机构信用评价标准</w:t>
      </w:r>
    </w:p>
    <w:p>
      <w:pPr>
        <w:ind w:firstLine="1580" w:firstLineChars="500"/>
        <w:rPr>
          <w:rFonts w:ascii="仿宋_GB2312"/>
        </w:rPr>
      </w:pPr>
      <w:r>
        <w:rPr>
          <w:rFonts w:hint="eastAsia" w:ascii="仿宋_GB2312"/>
        </w:rPr>
        <w:t>2．三门县招标代理机构及从业人员资料汇总表</w:t>
      </w:r>
    </w:p>
    <w:p>
      <w:pPr>
        <w:ind w:firstLine="1580" w:firstLineChars="500"/>
        <w:rPr>
          <w:rFonts w:ascii="仿宋_GB2312"/>
        </w:rPr>
      </w:pPr>
      <w:r>
        <w:rPr>
          <w:rFonts w:hint="eastAsia" w:ascii="仿宋_GB2312"/>
        </w:rPr>
        <w:t>3．三门县招标代理人员基本情况表</w:t>
      </w:r>
    </w:p>
    <w:p>
      <w:pPr>
        <w:ind w:firstLine="1580" w:firstLineChars="500"/>
        <w:rPr>
          <w:rFonts w:ascii="仿宋_GB2312"/>
        </w:rPr>
      </w:pPr>
      <w:r>
        <w:rPr>
          <w:rFonts w:hint="eastAsia" w:ascii="仿宋_GB2312"/>
        </w:rPr>
        <w:t>4．上一年度招标代理机构代理项目一览表</w:t>
      </w:r>
    </w:p>
    <w:p>
      <w:pPr>
        <w:ind w:firstLine="632" w:firstLineChars="200"/>
        <w:rPr>
          <w:rFonts w:ascii="黑体" w:hAnsi="黑体" w:eastAsia="黑体"/>
        </w:rPr>
      </w:pPr>
      <w:r>
        <w:rPr>
          <w:rFonts w:hint="eastAsia" w:ascii="仿宋_GB2312"/>
        </w:rPr>
        <w:br w:type="page"/>
      </w:r>
      <w:r>
        <w:rPr>
          <w:rFonts w:hint="eastAsia" w:ascii="黑体" w:hAnsi="黑体" w:eastAsia="黑体"/>
        </w:rPr>
        <w:t>附件1</w:t>
      </w:r>
    </w:p>
    <w:p>
      <w:pPr>
        <w:ind w:firstLine="712"/>
        <w:jc w:val="center"/>
        <w:rPr>
          <w:rFonts w:ascii="小标宋" w:eastAsia="小标宋"/>
          <w:sz w:val="36"/>
          <w:szCs w:val="36"/>
        </w:rPr>
      </w:pPr>
      <w:r>
        <w:rPr>
          <w:rFonts w:hint="eastAsia" w:ascii="小标宋" w:eastAsia="小标宋"/>
          <w:sz w:val="36"/>
          <w:szCs w:val="36"/>
        </w:rPr>
        <w:t>三门县建设工程招标代理机构信用评价标准</w:t>
      </w:r>
    </w:p>
    <w:tbl>
      <w:tblPr>
        <w:tblStyle w:val="6"/>
        <w:tblpPr w:leftFromText="180" w:rightFromText="180" w:vertAnchor="text" w:horzAnchor="page" w:tblpX="1129" w:tblpY="600"/>
        <w:tblOverlap w:val="never"/>
        <w:tblW w:w="10135" w:type="dxa"/>
        <w:tblInd w:w="0" w:type="dxa"/>
        <w:tblLayout w:type="fixed"/>
        <w:tblCellMar>
          <w:top w:w="0" w:type="dxa"/>
          <w:left w:w="108" w:type="dxa"/>
          <w:bottom w:w="0" w:type="dxa"/>
          <w:right w:w="108" w:type="dxa"/>
        </w:tblCellMar>
      </w:tblPr>
      <w:tblGrid>
        <w:gridCol w:w="533"/>
        <w:gridCol w:w="839"/>
        <w:gridCol w:w="7082"/>
        <w:gridCol w:w="793"/>
        <w:gridCol w:w="888"/>
      </w:tblGrid>
      <w:tr>
        <w:tblPrEx>
          <w:tblCellMar>
            <w:top w:w="0" w:type="dxa"/>
            <w:left w:w="108" w:type="dxa"/>
            <w:bottom w:w="0" w:type="dxa"/>
            <w:right w:w="108" w:type="dxa"/>
          </w:tblCellMar>
        </w:tblPrEx>
        <w:trPr>
          <w:trHeight w:val="261" w:hRule="atLeast"/>
          <w:tblHeader/>
        </w:trPr>
        <w:tc>
          <w:tcPr>
            <w:tcW w:w="533" w:type="dxa"/>
            <w:tcBorders>
              <w:top w:val="single" w:color="auto" w:sz="4" w:space="0"/>
              <w:left w:val="single" w:color="auto" w:sz="4" w:space="0"/>
              <w:bottom w:val="single" w:color="auto" w:sz="4" w:space="0"/>
              <w:right w:val="single" w:color="auto" w:sz="4" w:space="0"/>
            </w:tcBorders>
            <w:vAlign w:val="center"/>
          </w:tcPr>
          <w:p>
            <w:pPr>
              <w:snapToGrid w:val="0"/>
              <w:spacing w:line="280" w:lineRule="exact"/>
              <w:jc w:val="center"/>
              <w:rPr>
                <w:rFonts w:ascii="仿宋_GB2312"/>
                <w:sz w:val="24"/>
              </w:rPr>
            </w:pPr>
            <w:r>
              <w:rPr>
                <w:rFonts w:hint="eastAsia" w:ascii="仿宋_GB2312"/>
                <w:sz w:val="24"/>
              </w:rPr>
              <w:t>序号</w:t>
            </w:r>
          </w:p>
        </w:tc>
        <w:tc>
          <w:tcPr>
            <w:tcW w:w="839" w:type="dxa"/>
            <w:tcBorders>
              <w:top w:val="single" w:color="auto" w:sz="4" w:space="0"/>
              <w:left w:val="nil"/>
              <w:bottom w:val="single" w:color="auto" w:sz="4" w:space="0"/>
              <w:right w:val="single" w:color="auto" w:sz="4" w:space="0"/>
            </w:tcBorders>
            <w:vAlign w:val="center"/>
          </w:tcPr>
          <w:p>
            <w:pPr>
              <w:snapToGrid w:val="0"/>
              <w:spacing w:line="280" w:lineRule="exact"/>
              <w:jc w:val="center"/>
              <w:rPr>
                <w:rFonts w:ascii="仿宋_GB2312"/>
                <w:sz w:val="24"/>
              </w:rPr>
            </w:pPr>
            <w:r>
              <w:rPr>
                <w:rFonts w:hint="eastAsia" w:ascii="仿宋_GB2312"/>
                <w:sz w:val="24"/>
              </w:rPr>
              <w:t>评价指标</w:t>
            </w:r>
          </w:p>
        </w:tc>
        <w:tc>
          <w:tcPr>
            <w:tcW w:w="7082" w:type="dxa"/>
            <w:tcBorders>
              <w:top w:val="single" w:color="auto" w:sz="4" w:space="0"/>
              <w:left w:val="nil"/>
              <w:bottom w:val="single" w:color="auto" w:sz="4" w:space="0"/>
              <w:right w:val="single" w:color="auto" w:sz="4" w:space="0"/>
            </w:tcBorders>
            <w:vAlign w:val="center"/>
          </w:tcPr>
          <w:p>
            <w:pPr>
              <w:snapToGrid w:val="0"/>
              <w:spacing w:line="280" w:lineRule="exact"/>
              <w:jc w:val="center"/>
              <w:rPr>
                <w:rFonts w:ascii="仿宋_GB2312"/>
                <w:sz w:val="24"/>
              </w:rPr>
            </w:pPr>
            <w:r>
              <w:rPr>
                <w:rFonts w:hint="eastAsia" w:ascii="仿宋_GB2312"/>
                <w:sz w:val="24"/>
              </w:rPr>
              <w:t>评价标准</w:t>
            </w:r>
          </w:p>
        </w:tc>
        <w:tc>
          <w:tcPr>
            <w:tcW w:w="793" w:type="dxa"/>
            <w:tcBorders>
              <w:top w:val="single" w:color="auto" w:sz="4" w:space="0"/>
              <w:left w:val="nil"/>
              <w:bottom w:val="single" w:color="auto" w:sz="4" w:space="0"/>
              <w:right w:val="single" w:color="auto" w:sz="4" w:space="0"/>
            </w:tcBorders>
            <w:vAlign w:val="center"/>
          </w:tcPr>
          <w:p>
            <w:pPr>
              <w:snapToGrid w:val="0"/>
              <w:spacing w:line="280" w:lineRule="exact"/>
              <w:jc w:val="center"/>
              <w:rPr>
                <w:rFonts w:ascii="仿宋_GB2312"/>
                <w:sz w:val="24"/>
              </w:rPr>
            </w:pPr>
            <w:r>
              <w:rPr>
                <w:rFonts w:hint="eastAsia" w:ascii="仿宋_GB2312"/>
                <w:sz w:val="24"/>
              </w:rPr>
              <w:t>满分</w:t>
            </w:r>
          </w:p>
        </w:tc>
        <w:tc>
          <w:tcPr>
            <w:tcW w:w="888" w:type="dxa"/>
            <w:tcBorders>
              <w:top w:val="single" w:color="auto" w:sz="4" w:space="0"/>
              <w:left w:val="nil"/>
              <w:bottom w:val="single" w:color="auto" w:sz="4" w:space="0"/>
              <w:right w:val="single" w:color="auto" w:sz="4" w:space="0"/>
            </w:tcBorders>
            <w:vAlign w:val="center"/>
          </w:tcPr>
          <w:p>
            <w:pPr>
              <w:snapToGrid w:val="0"/>
              <w:spacing w:line="280" w:lineRule="exact"/>
              <w:jc w:val="center"/>
              <w:rPr>
                <w:rFonts w:ascii="仿宋_GB2312"/>
                <w:sz w:val="24"/>
              </w:rPr>
            </w:pPr>
            <w:r>
              <w:rPr>
                <w:rFonts w:hint="eastAsia" w:ascii="仿宋_GB2312"/>
                <w:sz w:val="24"/>
              </w:rPr>
              <w:t>自评分</w:t>
            </w:r>
          </w:p>
        </w:tc>
      </w:tr>
      <w:tr>
        <w:tblPrEx>
          <w:tblCellMar>
            <w:top w:w="0" w:type="dxa"/>
            <w:left w:w="108" w:type="dxa"/>
            <w:bottom w:w="0" w:type="dxa"/>
            <w:right w:w="108" w:type="dxa"/>
          </w:tblCellMar>
        </w:tblPrEx>
        <w:trPr>
          <w:trHeight w:val="364" w:hRule="atLeast"/>
        </w:trPr>
        <w:tc>
          <w:tcPr>
            <w:tcW w:w="533" w:type="dxa"/>
            <w:vMerge w:val="restart"/>
            <w:tcBorders>
              <w:top w:val="single" w:color="auto" w:sz="4" w:space="0"/>
              <w:left w:val="single" w:color="auto" w:sz="4" w:space="0"/>
              <w:right w:val="single" w:color="auto" w:sz="4" w:space="0"/>
            </w:tcBorders>
            <w:vAlign w:val="center"/>
          </w:tcPr>
          <w:p>
            <w:pPr>
              <w:snapToGrid w:val="0"/>
              <w:jc w:val="center"/>
              <w:rPr>
                <w:rFonts w:ascii="仿宋_GB2312"/>
                <w:sz w:val="24"/>
              </w:rPr>
            </w:pPr>
            <w:r>
              <w:rPr>
                <w:rFonts w:hint="eastAsia" w:ascii="仿宋_GB2312"/>
                <w:sz w:val="24"/>
              </w:rPr>
              <w:t>1</w:t>
            </w:r>
          </w:p>
        </w:tc>
        <w:tc>
          <w:tcPr>
            <w:tcW w:w="839" w:type="dxa"/>
            <w:vMerge w:val="restart"/>
            <w:tcBorders>
              <w:top w:val="single" w:color="auto" w:sz="4" w:space="0"/>
              <w:left w:val="nil"/>
              <w:right w:val="single" w:color="auto" w:sz="4" w:space="0"/>
            </w:tcBorders>
            <w:vAlign w:val="center"/>
          </w:tcPr>
          <w:p>
            <w:pPr>
              <w:snapToGrid w:val="0"/>
              <w:jc w:val="center"/>
              <w:rPr>
                <w:rFonts w:ascii="仿宋_GB2312"/>
                <w:sz w:val="24"/>
              </w:rPr>
            </w:pPr>
            <w:r>
              <w:rPr>
                <w:rFonts w:hint="eastAsia" w:ascii="仿宋_GB2312"/>
                <w:sz w:val="24"/>
              </w:rPr>
              <w:t>综合素质</w:t>
            </w:r>
          </w:p>
        </w:tc>
        <w:tc>
          <w:tcPr>
            <w:tcW w:w="7082" w:type="dxa"/>
            <w:tcBorders>
              <w:top w:val="single" w:color="auto" w:sz="4" w:space="0"/>
              <w:left w:val="nil"/>
              <w:bottom w:val="single" w:color="auto" w:sz="4" w:space="0"/>
              <w:right w:val="single" w:color="auto" w:sz="4" w:space="0"/>
            </w:tcBorders>
          </w:tcPr>
          <w:p>
            <w:pPr>
              <w:snapToGrid w:val="0"/>
              <w:spacing w:line="290" w:lineRule="exact"/>
              <w:rPr>
                <w:rFonts w:ascii="仿宋_GB2312"/>
                <w:sz w:val="24"/>
              </w:rPr>
            </w:pPr>
            <w:r>
              <w:rPr>
                <w:rFonts w:hint="eastAsia" w:ascii="仿宋_GB2312"/>
                <w:sz w:val="24"/>
              </w:rPr>
              <w:t>1.1评价内容：招标代理机构综合条件评价</w:t>
            </w:r>
          </w:p>
        </w:tc>
        <w:tc>
          <w:tcPr>
            <w:tcW w:w="793" w:type="dxa"/>
            <w:vMerge w:val="restart"/>
            <w:tcBorders>
              <w:top w:val="single" w:color="auto" w:sz="4" w:space="0"/>
              <w:left w:val="nil"/>
              <w:right w:val="single" w:color="auto" w:sz="4" w:space="0"/>
            </w:tcBorders>
            <w:vAlign w:val="center"/>
          </w:tcPr>
          <w:p>
            <w:pPr>
              <w:snapToGrid w:val="0"/>
              <w:jc w:val="center"/>
              <w:rPr>
                <w:rFonts w:ascii="仿宋_GB2312"/>
                <w:sz w:val="24"/>
              </w:rPr>
            </w:pPr>
            <w:r>
              <w:rPr>
                <w:rFonts w:hint="eastAsia" w:ascii="仿宋_GB2312"/>
                <w:sz w:val="24"/>
              </w:rPr>
              <w:t>20</w:t>
            </w:r>
          </w:p>
        </w:tc>
        <w:tc>
          <w:tcPr>
            <w:tcW w:w="888" w:type="dxa"/>
            <w:tcBorders>
              <w:top w:val="single" w:color="auto" w:sz="4" w:space="0"/>
              <w:left w:val="nil"/>
              <w:right w:val="single" w:color="auto" w:sz="4" w:space="0"/>
            </w:tcBorders>
            <w:vAlign w:val="center"/>
          </w:tcPr>
          <w:p>
            <w:pPr>
              <w:snapToGrid w:val="0"/>
              <w:jc w:val="center"/>
              <w:rPr>
                <w:rFonts w:ascii="仿宋_GB2312"/>
                <w:sz w:val="24"/>
              </w:rPr>
            </w:pPr>
          </w:p>
        </w:tc>
      </w:tr>
      <w:tr>
        <w:tblPrEx>
          <w:tblCellMar>
            <w:top w:w="0" w:type="dxa"/>
            <w:left w:w="108" w:type="dxa"/>
            <w:bottom w:w="0" w:type="dxa"/>
            <w:right w:w="108" w:type="dxa"/>
          </w:tblCellMar>
        </w:tblPrEx>
        <w:trPr>
          <w:trHeight w:val="2900" w:hRule="atLeast"/>
        </w:trPr>
        <w:tc>
          <w:tcPr>
            <w:tcW w:w="533" w:type="dxa"/>
            <w:vMerge w:val="continue"/>
            <w:tcBorders>
              <w:left w:val="single" w:color="auto" w:sz="4" w:space="0"/>
              <w:right w:val="single" w:color="auto" w:sz="4" w:space="0"/>
            </w:tcBorders>
            <w:vAlign w:val="center"/>
          </w:tcPr>
          <w:p>
            <w:pPr>
              <w:snapToGrid w:val="0"/>
              <w:spacing w:line="290" w:lineRule="exact"/>
              <w:ind w:firstLine="632" w:firstLineChars="200"/>
            </w:pPr>
          </w:p>
        </w:tc>
        <w:tc>
          <w:tcPr>
            <w:tcW w:w="839" w:type="dxa"/>
            <w:vMerge w:val="continue"/>
            <w:tcBorders>
              <w:left w:val="nil"/>
              <w:right w:val="single" w:color="auto" w:sz="4" w:space="0"/>
            </w:tcBorders>
            <w:vAlign w:val="center"/>
          </w:tcPr>
          <w:p>
            <w:pPr>
              <w:snapToGrid w:val="0"/>
              <w:spacing w:line="290" w:lineRule="exact"/>
              <w:ind w:firstLine="632" w:firstLineChars="200"/>
            </w:pPr>
          </w:p>
        </w:tc>
        <w:tc>
          <w:tcPr>
            <w:tcW w:w="7082" w:type="dxa"/>
            <w:tcBorders>
              <w:top w:val="single" w:color="auto" w:sz="4" w:space="0"/>
              <w:left w:val="nil"/>
              <w:bottom w:val="single" w:color="auto" w:sz="4" w:space="0"/>
              <w:right w:val="single" w:color="auto" w:sz="4" w:space="0"/>
            </w:tcBorders>
          </w:tcPr>
          <w:p>
            <w:pPr>
              <w:snapToGrid w:val="0"/>
              <w:spacing w:line="290" w:lineRule="exact"/>
              <w:rPr>
                <w:rFonts w:ascii="仿宋_GB2312"/>
                <w:sz w:val="24"/>
              </w:rPr>
            </w:pPr>
            <w:r>
              <w:rPr>
                <w:rFonts w:hint="eastAsia" w:ascii="仿宋_GB2312"/>
                <w:sz w:val="24"/>
              </w:rPr>
              <w:t>1.2评价标准：</w:t>
            </w:r>
          </w:p>
          <w:p>
            <w:pPr>
              <w:snapToGrid w:val="0"/>
              <w:spacing w:line="290" w:lineRule="exact"/>
              <w:ind w:firstLine="472" w:firstLineChars="200"/>
              <w:rPr>
                <w:rFonts w:ascii="仿宋_GB2312"/>
                <w:sz w:val="24"/>
              </w:rPr>
            </w:pPr>
            <w:r>
              <w:rPr>
                <w:rFonts w:hint="eastAsia" w:ascii="仿宋_GB2312"/>
                <w:sz w:val="24"/>
              </w:rPr>
              <w:t>（1）满足①得4分，满足②得2.5分，③得1分；</w:t>
            </w:r>
          </w:p>
          <w:p>
            <w:pPr>
              <w:snapToGrid w:val="0"/>
              <w:spacing w:line="290" w:lineRule="exact"/>
              <w:ind w:firstLine="472" w:firstLineChars="200"/>
              <w:rPr>
                <w:rFonts w:ascii="仿宋_GB2312"/>
                <w:sz w:val="24"/>
              </w:rPr>
            </w:pPr>
            <w:r>
              <w:rPr>
                <w:rFonts w:hint="eastAsia" w:ascii="仿宋_GB2312"/>
                <w:sz w:val="24"/>
              </w:rPr>
              <w:t>①具有中级以上职称的人员不少于10人，其中具有工程建设类注册执业资格人员不少于5人（注册造价工程师不少于2人），从事招标代理业务3年以上的人员不少于5人；</w:t>
            </w:r>
          </w:p>
          <w:p>
            <w:pPr>
              <w:snapToGrid w:val="0"/>
              <w:spacing w:line="290" w:lineRule="exact"/>
              <w:ind w:firstLine="472" w:firstLineChars="200"/>
              <w:rPr>
                <w:rFonts w:ascii="仿宋_GB2312"/>
                <w:sz w:val="24"/>
              </w:rPr>
            </w:pPr>
            <w:r>
              <w:rPr>
                <w:rFonts w:hint="eastAsia" w:ascii="仿宋_GB2312"/>
                <w:sz w:val="24"/>
              </w:rPr>
              <w:t>②具有中级以上职称的人员不少于5人，其中具有工程建设类注册执业资格人员不少于3人（注册造价工程师不少于1人），从事招标代理业务3年以上的人员不少于3人；</w:t>
            </w:r>
          </w:p>
          <w:p>
            <w:pPr>
              <w:snapToGrid w:val="0"/>
              <w:spacing w:line="290" w:lineRule="exact"/>
              <w:ind w:firstLine="472" w:firstLineChars="200"/>
              <w:rPr>
                <w:rFonts w:ascii="仿宋_GB2312"/>
                <w:sz w:val="24"/>
              </w:rPr>
            </w:pPr>
            <w:r>
              <w:rPr>
                <w:rFonts w:hint="eastAsia" w:ascii="仿宋_GB2312"/>
                <w:sz w:val="24"/>
              </w:rPr>
              <w:t>③不满足上述①、②项的。</w:t>
            </w:r>
          </w:p>
          <w:p>
            <w:pPr>
              <w:snapToGrid w:val="0"/>
              <w:spacing w:line="290" w:lineRule="exact"/>
              <w:ind w:firstLine="472" w:firstLineChars="200"/>
              <w:rPr>
                <w:rFonts w:ascii="仿宋_GB2312"/>
                <w:sz w:val="24"/>
              </w:rPr>
            </w:pPr>
            <w:r>
              <w:rPr>
                <w:rFonts w:hint="eastAsia" w:ascii="仿宋_GB2312"/>
                <w:sz w:val="24"/>
              </w:rPr>
              <w:t>备注：以上人员须已签订劳动合同并缴纳社会保险满3个月。</w:t>
            </w:r>
          </w:p>
        </w:tc>
        <w:tc>
          <w:tcPr>
            <w:tcW w:w="793"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888" w:type="dxa"/>
            <w:tcBorders>
              <w:left w:val="nil"/>
              <w:right w:val="single" w:color="auto" w:sz="4" w:space="0"/>
            </w:tcBorders>
            <w:vAlign w:val="center"/>
          </w:tcPr>
          <w:p>
            <w:pPr>
              <w:snapToGrid w:val="0"/>
              <w:spacing w:line="290" w:lineRule="exact"/>
              <w:ind w:firstLine="472" w:firstLineChars="200"/>
              <w:rPr>
                <w:rFonts w:ascii="仿宋_GB2312"/>
                <w:sz w:val="24"/>
              </w:rPr>
            </w:pPr>
          </w:p>
        </w:tc>
      </w:tr>
      <w:tr>
        <w:tblPrEx>
          <w:tblCellMar>
            <w:top w:w="0" w:type="dxa"/>
            <w:left w:w="108" w:type="dxa"/>
            <w:bottom w:w="0" w:type="dxa"/>
            <w:right w:w="108" w:type="dxa"/>
          </w:tblCellMar>
        </w:tblPrEx>
        <w:trPr>
          <w:trHeight w:val="811" w:hRule="atLeast"/>
        </w:trPr>
        <w:tc>
          <w:tcPr>
            <w:tcW w:w="533" w:type="dxa"/>
            <w:vMerge w:val="continue"/>
            <w:tcBorders>
              <w:left w:val="single" w:color="auto" w:sz="4" w:space="0"/>
              <w:right w:val="single" w:color="auto" w:sz="4" w:space="0"/>
            </w:tcBorders>
            <w:vAlign w:val="center"/>
          </w:tcPr>
          <w:p>
            <w:pPr>
              <w:snapToGrid w:val="0"/>
              <w:spacing w:line="290" w:lineRule="exact"/>
              <w:ind w:firstLine="472" w:firstLineChars="200"/>
              <w:rPr>
                <w:rFonts w:ascii="仿宋_GB2312"/>
                <w:sz w:val="24"/>
              </w:rPr>
            </w:pPr>
          </w:p>
        </w:tc>
        <w:tc>
          <w:tcPr>
            <w:tcW w:w="839"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7082" w:type="dxa"/>
            <w:tcBorders>
              <w:top w:val="single" w:color="auto" w:sz="4" w:space="0"/>
              <w:left w:val="nil"/>
              <w:bottom w:val="single" w:color="auto" w:sz="4" w:space="0"/>
              <w:right w:val="single" w:color="auto" w:sz="4" w:space="0"/>
            </w:tcBorders>
          </w:tcPr>
          <w:p>
            <w:pPr>
              <w:snapToGrid w:val="0"/>
              <w:spacing w:line="290" w:lineRule="exact"/>
              <w:ind w:firstLine="472" w:firstLineChars="200"/>
              <w:rPr>
                <w:rFonts w:ascii="仿宋_GB2312"/>
                <w:sz w:val="24"/>
              </w:rPr>
            </w:pPr>
            <w:r>
              <w:rPr>
                <w:rFonts w:hint="eastAsia" w:ascii="仿宋_GB2312"/>
                <w:sz w:val="24"/>
              </w:rPr>
              <w:t xml:space="preserve">（2）办公场所按照满足开展业务要求的程度，面积200平方米以上的得3分，面积100平方米以上不足200平方米的得2分，面积不足100平方米的得1分，无办公场所的不得分。面积为实际在用建筑面积； </w:t>
            </w:r>
          </w:p>
        </w:tc>
        <w:tc>
          <w:tcPr>
            <w:tcW w:w="793"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888" w:type="dxa"/>
            <w:tcBorders>
              <w:left w:val="nil"/>
              <w:right w:val="single" w:color="auto" w:sz="4" w:space="0"/>
            </w:tcBorders>
            <w:vAlign w:val="center"/>
          </w:tcPr>
          <w:p>
            <w:pPr>
              <w:snapToGrid w:val="0"/>
              <w:spacing w:line="290" w:lineRule="exact"/>
              <w:ind w:firstLine="472" w:firstLineChars="200"/>
              <w:rPr>
                <w:rFonts w:ascii="仿宋_GB2312"/>
                <w:sz w:val="24"/>
              </w:rPr>
            </w:pPr>
          </w:p>
        </w:tc>
      </w:tr>
      <w:tr>
        <w:tblPrEx>
          <w:tblCellMar>
            <w:top w:w="0" w:type="dxa"/>
            <w:left w:w="108" w:type="dxa"/>
            <w:bottom w:w="0" w:type="dxa"/>
            <w:right w:w="108" w:type="dxa"/>
          </w:tblCellMar>
        </w:tblPrEx>
        <w:trPr>
          <w:trHeight w:val="811" w:hRule="atLeast"/>
        </w:trPr>
        <w:tc>
          <w:tcPr>
            <w:tcW w:w="533" w:type="dxa"/>
            <w:vMerge w:val="continue"/>
            <w:tcBorders>
              <w:left w:val="single" w:color="auto" w:sz="4" w:space="0"/>
              <w:right w:val="single" w:color="auto" w:sz="4" w:space="0"/>
            </w:tcBorders>
            <w:vAlign w:val="center"/>
          </w:tcPr>
          <w:p>
            <w:pPr>
              <w:snapToGrid w:val="0"/>
              <w:spacing w:line="290" w:lineRule="exact"/>
              <w:ind w:firstLine="472" w:firstLineChars="200"/>
              <w:rPr>
                <w:rFonts w:ascii="仿宋_GB2312"/>
                <w:sz w:val="24"/>
              </w:rPr>
            </w:pPr>
          </w:p>
        </w:tc>
        <w:tc>
          <w:tcPr>
            <w:tcW w:w="839"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7082" w:type="dxa"/>
            <w:tcBorders>
              <w:top w:val="single" w:color="auto" w:sz="4" w:space="0"/>
              <w:left w:val="nil"/>
              <w:bottom w:val="single" w:color="auto" w:sz="4" w:space="0"/>
              <w:right w:val="single" w:color="auto" w:sz="4" w:space="0"/>
            </w:tcBorders>
          </w:tcPr>
          <w:p>
            <w:pPr>
              <w:snapToGrid w:val="0"/>
              <w:spacing w:line="290" w:lineRule="exact"/>
              <w:ind w:firstLine="472" w:firstLineChars="200"/>
              <w:rPr>
                <w:rFonts w:ascii="仿宋_GB2312"/>
                <w:sz w:val="24"/>
              </w:rPr>
            </w:pPr>
            <w:r>
              <w:rPr>
                <w:rFonts w:hint="eastAsia" w:ascii="仿宋_GB2312"/>
                <w:sz w:val="24"/>
              </w:rPr>
              <w:t>（3）代理项目负责人</w:t>
            </w:r>
            <w:r>
              <w:rPr>
                <w:rFonts w:hint="eastAsia" w:ascii="仿宋_GB2312"/>
                <w:sz w:val="24"/>
                <w:lang w:eastAsia="zh-CN"/>
              </w:rPr>
              <w:t>具备工程建设类注册执业证书或者具有建设类中级以上专业技术职称</w:t>
            </w:r>
            <w:r>
              <w:rPr>
                <w:rFonts w:hint="eastAsia" w:ascii="仿宋_GB2312"/>
                <w:sz w:val="24"/>
              </w:rPr>
              <w:t>已签订劳动合同并缴纳社会保险满6个月的得1分（最高得3分）；每一个招标代理机构专职人员已签订劳动合同并缴纳社会保险满6个月的一个得0.5分（最高得3分）；此项最高得6分。</w:t>
            </w:r>
          </w:p>
        </w:tc>
        <w:tc>
          <w:tcPr>
            <w:tcW w:w="793"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888" w:type="dxa"/>
            <w:tcBorders>
              <w:left w:val="nil"/>
              <w:right w:val="single" w:color="auto" w:sz="4" w:space="0"/>
            </w:tcBorders>
            <w:vAlign w:val="center"/>
          </w:tcPr>
          <w:p>
            <w:pPr>
              <w:snapToGrid w:val="0"/>
              <w:spacing w:line="290" w:lineRule="exact"/>
              <w:ind w:firstLine="472" w:firstLineChars="200"/>
              <w:rPr>
                <w:rFonts w:ascii="仿宋_GB2312"/>
                <w:sz w:val="24"/>
              </w:rPr>
            </w:pPr>
          </w:p>
        </w:tc>
      </w:tr>
      <w:tr>
        <w:tblPrEx>
          <w:tblCellMar>
            <w:top w:w="0" w:type="dxa"/>
            <w:left w:w="108" w:type="dxa"/>
            <w:bottom w:w="0" w:type="dxa"/>
            <w:right w:w="108" w:type="dxa"/>
          </w:tblCellMar>
        </w:tblPrEx>
        <w:trPr>
          <w:trHeight w:val="90" w:hRule="atLeast"/>
        </w:trPr>
        <w:tc>
          <w:tcPr>
            <w:tcW w:w="533" w:type="dxa"/>
            <w:vMerge w:val="continue"/>
            <w:tcBorders>
              <w:left w:val="single" w:color="auto" w:sz="4" w:space="0"/>
              <w:right w:val="single" w:color="auto" w:sz="4" w:space="0"/>
            </w:tcBorders>
            <w:vAlign w:val="center"/>
          </w:tcPr>
          <w:p>
            <w:pPr>
              <w:snapToGrid w:val="0"/>
              <w:spacing w:line="290" w:lineRule="exact"/>
              <w:ind w:firstLine="472" w:firstLineChars="200"/>
              <w:rPr>
                <w:rFonts w:ascii="仿宋_GB2312"/>
                <w:sz w:val="24"/>
              </w:rPr>
            </w:pPr>
          </w:p>
        </w:tc>
        <w:tc>
          <w:tcPr>
            <w:tcW w:w="839"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7082" w:type="dxa"/>
            <w:tcBorders>
              <w:top w:val="single" w:color="auto" w:sz="4" w:space="0"/>
              <w:left w:val="nil"/>
              <w:bottom w:val="single" w:color="auto" w:sz="4" w:space="0"/>
              <w:right w:val="single" w:color="auto" w:sz="4" w:space="0"/>
            </w:tcBorders>
          </w:tcPr>
          <w:p>
            <w:pPr>
              <w:snapToGrid w:val="0"/>
              <w:spacing w:line="290" w:lineRule="exact"/>
              <w:ind w:firstLine="472" w:firstLineChars="200"/>
              <w:rPr>
                <w:rFonts w:ascii="仿宋_GB2312"/>
                <w:sz w:val="24"/>
              </w:rPr>
            </w:pPr>
            <w:r>
              <w:rPr>
                <w:rFonts w:hint="eastAsia" w:ascii="仿宋_GB2312"/>
                <w:sz w:val="24"/>
              </w:rPr>
              <w:t>（4）具有招标代理操作规程，且按照规程要求实施的得1分，实施较差的不得分；</w:t>
            </w:r>
          </w:p>
        </w:tc>
        <w:tc>
          <w:tcPr>
            <w:tcW w:w="793"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888" w:type="dxa"/>
            <w:tcBorders>
              <w:left w:val="nil"/>
              <w:right w:val="single" w:color="auto" w:sz="4" w:space="0"/>
            </w:tcBorders>
            <w:vAlign w:val="center"/>
          </w:tcPr>
          <w:p>
            <w:pPr>
              <w:snapToGrid w:val="0"/>
              <w:spacing w:line="290" w:lineRule="exact"/>
              <w:rPr>
                <w:rFonts w:ascii="仿宋_GB2312"/>
                <w:sz w:val="24"/>
              </w:rPr>
            </w:pPr>
          </w:p>
        </w:tc>
      </w:tr>
      <w:tr>
        <w:tblPrEx>
          <w:tblCellMar>
            <w:top w:w="0" w:type="dxa"/>
            <w:left w:w="108" w:type="dxa"/>
            <w:bottom w:w="0" w:type="dxa"/>
            <w:right w:w="108" w:type="dxa"/>
          </w:tblCellMar>
        </w:tblPrEx>
        <w:trPr>
          <w:trHeight w:val="557" w:hRule="atLeast"/>
        </w:trPr>
        <w:tc>
          <w:tcPr>
            <w:tcW w:w="533" w:type="dxa"/>
            <w:vMerge w:val="continue"/>
            <w:tcBorders>
              <w:left w:val="single" w:color="auto" w:sz="4" w:space="0"/>
              <w:right w:val="single" w:color="auto" w:sz="4" w:space="0"/>
            </w:tcBorders>
            <w:vAlign w:val="center"/>
          </w:tcPr>
          <w:p>
            <w:pPr>
              <w:snapToGrid w:val="0"/>
              <w:spacing w:line="290" w:lineRule="exact"/>
              <w:ind w:firstLine="472" w:firstLineChars="200"/>
              <w:rPr>
                <w:rFonts w:ascii="仿宋_GB2312"/>
                <w:sz w:val="24"/>
              </w:rPr>
            </w:pPr>
          </w:p>
        </w:tc>
        <w:tc>
          <w:tcPr>
            <w:tcW w:w="839"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7082" w:type="dxa"/>
            <w:tcBorders>
              <w:top w:val="single" w:color="auto" w:sz="4" w:space="0"/>
              <w:left w:val="nil"/>
              <w:bottom w:val="single" w:color="auto" w:sz="4" w:space="0"/>
              <w:right w:val="single" w:color="auto" w:sz="4" w:space="0"/>
            </w:tcBorders>
          </w:tcPr>
          <w:p>
            <w:pPr>
              <w:snapToGrid w:val="0"/>
              <w:spacing w:line="290" w:lineRule="exact"/>
              <w:ind w:firstLine="472" w:firstLineChars="200"/>
              <w:rPr>
                <w:rFonts w:ascii="仿宋_GB2312"/>
                <w:sz w:val="24"/>
              </w:rPr>
            </w:pPr>
            <w:r>
              <w:rPr>
                <w:rFonts w:hint="eastAsia" w:ascii="仿宋_GB2312"/>
                <w:sz w:val="24"/>
              </w:rPr>
              <w:t>（5）招标文件审核人具有高级职称的得2分,具有中级职称的得1分；</w:t>
            </w:r>
          </w:p>
        </w:tc>
        <w:tc>
          <w:tcPr>
            <w:tcW w:w="793"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888" w:type="dxa"/>
            <w:tcBorders>
              <w:left w:val="nil"/>
              <w:right w:val="single" w:color="auto" w:sz="4" w:space="0"/>
            </w:tcBorders>
            <w:vAlign w:val="center"/>
          </w:tcPr>
          <w:p>
            <w:pPr>
              <w:snapToGrid w:val="0"/>
              <w:spacing w:line="290" w:lineRule="exact"/>
              <w:ind w:firstLine="472" w:firstLineChars="200"/>
              <w:rPr>
                <w:rFonts w:ascii="仿宋_GB2312"/>
                <w:sz w:val="24"/>
              </w:rPr>
            </w:pPr>
          </w:p>
        </w:tc>
      </w:tr>
      <w:tr>
        <w:tblPrEx>
          <w:tblCellMar>
            <w:top w:w="0" w:type="dxa"/>
            <w:left w:w="108" w:type="dxa"/>
            <w:bottom w:w="0" w:type="dxa"/>
            <w:right w:w="108" w:type="dxa"/>
          </w:tblCellMar>
        </w:tblPrEx>
        <w:trPr>
          <w:trHeight w:val="329" w:hRule="atLeast"/>
        </w:trPr>
        <w:tc>
          <w:tcPr>
            <w:tcW w:w="533" w:type="dxa"/>
            <w:vMerge w:val="continue"/>
            <w:tcBorders>
              <w:left w:val="single" w:color="auto" w:sz="4" w:space="0"/>
              <w:right w:val="single" w:color="auto" w:sz="4" w:space="0"/>
            </w:tcBorders>
            <w:vAlign w:val="center"/>
          </w:tcPr>
          <w:p>
            <w:pPr>
              <w:snapToGrid w:val="0"/>
              <w:spacing w:line="290" w:lineRule="exact"/>
              <w:ind w:firstLine="472" w:firstLineChars="200"/>
              <w:rPr>
                <w:rFonts w:ascii="仿宋_GB2312"/>
                <w:sz w:val="24"/>
              </w:rPr>
            </w:pPr>
          </w:p>
        </w:tc>
        <w:tc>
          <w:tcPr>
            <w:tcW w:w="839"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7082" w:type="dxa"/>
            <w:tcBorders>
              <w:top w:val="single" w:color="auto" w:sz="4" w:space="0"/>
              <w:left w:val="nil"/>
              <w:bottom w:val="single" w:color="auto" w:sz="4" w:space="0"/>
              <w:right w:val="single" w:color="auto" w:sz="4" w:space="0"/>
            </w:tcBorders>
          </w:tcPr>
          <w:p>
            <w:pPr>
              <w:snapToGrid w:val="0"/>
              <w:spacing w:line="290" w:lineRule="exact"/>
              <w:ind w:firstLine="472" w:firstLineChars="200"/>
              <w:rPr>
                <w:rFonts w:ascii="仿宋_GB2312"/>
                <w:sz w:val="24"/>
              </w:rPr>
            </w:pPr>
            <w:r>
              <w:rPr>
                <w:rFonts w:hint="eastAsia" w:ascii="仿宋_GB2312"/>
                <w:sz w:val="24"/>
              </w:rPr>
              <w:t>（6）具备且实施电子开评标条件的得1分，未具备的不得分；</w:t>
            </w:r>
          </w:p>
        </w:tc>
        <w:tc>
          <w:tcPr>
            <w:tcW w:w="793"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888" w:type="dxa"/>
            <w:tcBorders>
              <w:left w:val="nil"/>
              <w:right w:val="single" w:color="auto" w:sz="4" w:space="0"/>
            </w:tcBorders>
            <w:vAlign w:val="center"/>
          </w:tcPr>
          <w:p>
            <w:pPr>
              <w:snapToGrid w:val="0"/>
              <w:spacing w:line="290" w:lineRule="exact"/>
              <w:ind w:firstLine="472" w:firstLineChars="200"/>
              <w:rPr>
                <w:rFonts w:ascii="仿宋_GB2312"/>
                <w:sz w:val="24"/>
              </w:rPr>
            </w:pPr>
          </w:p>
        </w:tc>
      </w:tr>
      <w:tr>
        <w:tblPrEx>
          <w:tblCellMar>
            <w:top w:w="0" w:type="dxa"/>
            <w:left w:w="108" w:type="dxa"/>
            <w:bottom w:w="0" w:type="dxa"/>
            <w:right w:w="108" w:type="dxa"/>
          </w:tblCellMar>
        </w:tblPrEx>
        <w:trPr>
          <w:trHeight w:val="557" w:hRule="atLeast"/>
        </w:trPr>
        <w:tc>
          <w:tcPr>
            <w:tcW w:w="533" w:type="dxa"/>
            <w:vMerge w:val="continue"/>
            <w:tcBorders>
              <w:left w:val="single" w:color="auto" w:sz="4" w:space="0"/>
              <w:right w:val="single" w:color="auto" w:sz="4" w:space="0"/>
            </w:tcBorders>
            <w:vAlign w:val="center"/>
          </w:tcPr>
          <w:p>
            <w:pPr>
              <w:snapToGrid w:val="0"/>
              <w:spacing w:line="290" w:lineRule="exact"/>
              <w:ind w:firstLine="472" w:firstLineChars="200"/>
              <w:rPr>
                <w:rFonts w:ascii="仿宋_GB2312"/>
                <w:sz w:val="24"/>
              </w:rPr>
            </w:pPr>
          </w:p>
        </w:tc>
        <w:tc>
          <w:tcPr>
            <w:tcW w:w="839"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7082" w:type="dxa"/>
            <w:tcBorders>
              <w:top w:val="single" w:color="auto" w:sz="4" w:space="0"/>
              <w:left w:val="nil"/>
              <w:bottom w:val="single" w:color="auto" w:sz="4" w:space="0"/>
              <w:right w:val="single" w:color="auto" w:sz="4" w:space="0"/>
            </w:tcBorders>
          </w:tcPr>
          <w:p>
            <w:pPr>
              <w:snapToGrid w:val="0"/>
              <w:spacing w:line="290" w:lineRule="exact"/>
              <w:ind w:firstLine="472" w:firstLineChars="200"/>
              <w:rPr>
                <w:rFonts w:ascii="仿宋_GB2312"/>
                <w:sz w:val="24"/>
              </w:rPr>
            </w:pPr>
            <w:r>
              <w:rPr>
                <w:rFonts w:hint="eastAsia" w:ascii="仿宋_GB2312"/>
                <w:sz w:val="24"/>
              </w:rPr>
              <w:t xml:space="preserve">（7）具有廉政制度，健全的得1分，较好的得0.5分，较差的不得分； </w:t>
            </w:r>
          </w:p>
        </w:tc>
        <w:tc>
          <w:tcPr>
            <w:tcW w:w="793"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888" w:type="dxa"/>
            <w:tcBorders>
              <w:left w:val="nil"/>
              <w:right w:val="single" w:color="auto" w:sz="4" w:space="0"/>
            </w:tcBorders>
            <w:vAlign w:val="center"/>
          </w:tcPr>
          <w:p>
            <w:pPr>
              <w:snapToGrid w:val="0"/>
              <w:spacing w:line="290" w:lineRule="exact"/>
              <w:ind w:firstLine="472" w:firstLineChars="200"/>
              <w:rPr>
                <w:rFonts w:ascii="仿宋_GB2312"/>
                <w:sz w:val="24"/>
              </w:rPr>
            </w:pPr>
          </w:p>
        </w:tc>
      </w:tr>
      <w:tr>
        <w:tblPrEx>
          <w:tblCellMar>
            <w:top w:w="0" w:type="dxa"/>
            <w:left w:w="108" w:type="dxa"/>
            <w:bottom w:w="0" w:type="dxa"/>
            <w:right w:w="108" w:type="dxa"/>
          </w:tblCellMar>
        </w:tblPrEx>
        <w:trPr>
          <w:trHeight w:val="617" w:hRule="atLeast"/>
        </w:trPr>
        <w:tc>
          <w:tcPr>
            <w:tcW w:w="533" w:type="dxa"/>
            <w:vMerge w:val="continue"/>
            <w:tcBorders>
              <w:left w:val="single" w:color="auto" w:sz="4" w:space="0"/>
              <w:right w:val="single" w:color="auto" w:sz="4" w:space="0"/>
            </w:tcBorders>
            <w:vAlign w:val="center"/>
          </w:tcPr>
          <w:p>
            <w:pPr>
              <w:snapToGrid w:val="0"/>
              <w:spacing w:line="290" w:lineRule="exact"/>
              <w:ind w:firstLine="472" w:firstLineChars="200"/>
              <w:rPr>
                <w:rFonts w:ascii="仿宋_GB2312"/>
                <w:sz w:val="24"/>
              </w:rPr>
            </w:pPr>
          </w:p>
        </w:tc>
        <w:tc>
          <w:tcPr>
            <w:tcW w:w="839"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7082" w:type="dxa"/>
            <w:tcBorders>
              <w:top w:val="single" w:color="auto" w:sz="4" w:space="0"/>
              <w:left w:val="nil"/>
              <w:bottom w:val="single" w:color="auto" w:sz="4" w:space="0"/>
              <w:right w:val="single" w:color="auto" w:sz="4" w:space="0"/>
            </w:tcBorders>
          </w:tcPr>
          <w:p>
            <w:pPr>
              <w:snapToGrid w:val="0"/>
              <w:spacing w:line="290" w:lineRule="exact"/>
              <w:ind w:firstLine="472" w:firstLineChars="200"/>
              <w:rPr>
                <w:rFonts w:ascii="仿宋_GB2312"/>
                <w:sz w:val="24"/>
              </w:rPr>
            </w:pPr>
            <w:r>
              <w:rPr>
                <w:rFonts w:hint="eastAsia" w:ascii="仿宋_GB2312"/>
                <w:sz w:val="24"/>
              </w:rPr>
              <w:t>（8）具有专门档案室，对所代理项目进行归档并在三门县交易系统内及时归档，内容齐全并管理规范的得2分，较好的得1分，较差的不得分；</w:t>
            </w:r>
          </w:p>
        </w:tc>
        <w:tc>
          <w:tcPr>
            <w:tcW w:w="793" w:type="dxa"/>
            <w:vMerge w:val="continue"/>
            <w:tcBorders>
              <w:left w:val="nil"/>
              <w:right w:val="single" w:color="auto" w:sz="4" w:space="0"/>
            </w:tcBorders>
            <w:vAlign w:val="center"/>
          </w:tcPr>
          <w:p>
            <w:pPr>
              <w:snapToGrid w:val="0"/>
              <w:spacing w:line="290" w:lineRule="exact"/>
              <w:ind w:firstLine="472" w:firstLineChars="200"/>
              <w:rPr>
                <w:rFonts w:ascii="仿宋_GB2312"/>
                <w:sz w:val="24"/>
              </w:rPr>
            </w:pPr>
          </w:p>
        </w:tc>
        <w:tc>
          <w:tcPr>
            <w:tcW w:w="888" w:type="dxa"/>
            <w:tcBorders>
              <w:left w:val="nil"/>
              <w:right w:val="single" w:color="auto" w:sz="4" w:space="0"/>
            </w:tcBorders>
            <w:vAlign w:val="center"/>
          </w:tcPr>
          <w:p>
            <w:pPr>
              <w:snapToGrid w:val="0"/>
              <w:spacing w:line="290" w:lineRule="exact"/>
              <w:rPr>
                <w:rFonts w:ascii="仿宋_GB2312"/>
                <w:sz w:val="24"/>
              </w:rPr>
            </w:pPr>
          </w:p>
        </w:tc>
      </w:tr>
      <w:tr>
        <w:tblPrEx>
          <w:tblCellMar>
            <w:top w:w="0" w:type="dxa"/>
            <w:left w:w="108" w:type="dxa"/>
            <w:bottom w:w="0" w:type="dxa"/>
            <w:right w:w="108" w:type="dxa"/>
          </w:tblCellMar>
        </w:tblPrEx>
        <w:trPr>
          <w:trHeight w:val="811" w:hRule="atLeast"/>
        </w:trPr>
        <w:tc>
          <w:tcPr>
            <w:tcW w:w="533" w:type="dxa"/>
            <w:vMerge w:val="continue"/>
            <w:tcBorders>
              <w:left w:val="single" w:color="auto" w:sz="4" w:space="0"/>
              <w:bottom w:val="single" w:color="auto" w:sz="4" w:space="0"/>
              <w:right w:val="single" w:color="auto" w:sz="4" w:space="0"/>
            </w:tcBorders>
            <w:vAlign w:val="center"/>
          </w:tcPr>
          <w:p>
            <w:pPr>
              <w:snapToGrid w:val="0"/>
              <w:spacing w:line="290" w:lineRule="exact"/>
              <w:ind w:firstLine="472" w:firstLineChars="200"/>
              <w:rPr>
                <w:rFonts w:ascii="仿宋_GB2312"/>
                <w:sz w:val="24"/>
              </w:rPr>
            </w:pPr>
          </w:p>
        </w:tc>
        <w:tc>
          <w:tcPr>
            <w:tcW w:w="839" w:type="dxa"/>
            <w:vMerge w:val="continue"/>
            <w:tcBorders>
              <w:left w:val="nil"/>
              <w:bottom w:val="single" w:color="auto" w:sz="4" w:space="0"/>
              <w:right w:val="single" w:color="auto" w:sz="4" w:space="0"/>
            </w:tcBorders>
            <w:vAlign w:val="center"/>
          </w:tcPr>
          <w:p>
            <w:pPr>
              <w:snapToGrid w:val="0"/>
              <w:spacing w:line="290" w:lineRule="exact"/>
              <w:ind w:firstLine="472" w:firstLineChars="200"/>
              <w:rPr>
                <w:rFonts w:ascii="仿宋_GB2312"/>
                <w:sz w:val="24"/>
              </w:rPr>
            </w:pPr>
          </w:p>
        </w:tc>
        <w:tc>
          <w:tcPr>
            <w:tcW w:w="7082" w:type="dxa"/>
            <w:tcBorders>
              <w:top w:val="single" w:color="auto" w:sz="4" w:space="0"/>
              <w:left w:val="nil"/>
              <w:bottom w:val="single" w:color="auto" w:sz="4" w:space="0"/>
              <w:right w:val="single" w:color="auto" w:sz="4" w:space="0"/>
            </w:tcBorders>
          </w:tcPr>
          <w:p>
            <w:pPr>
              <w:snapToGrid w:val="0"/>
              <w:spacing w:line="290" w:lineRule="exact"/>
              <w:ind w:firstLine="472" w:firstLineChars="200"/>
              <w:rPr>
                <w:rFonts w:ascii="仿宋_GB2312"/>
                <w:sz w:val="24"/>
              </w:rPr>
            </w:pPr>
          </w:p>
        </w:tc>
        <w:tc>
          <w:tcPr>
            <w:tcW w:w="793" w:type="dxa"/>
            <w:vMerge w:val="continue"/>
            <w:tcBorders>
              <w:left w:val="nil"/>
              <w:bottom w:val="single" w:color="auto" w:sz="4" w:space="0"/>
              <w:right w:val="single" w:color="auto" w:sz="4" w:space="0"/>
            </w:tcBorders>
            <w:vAlign w:val="center"/>
          </w:tcPr>
          <w:p>
            <w:pPr>
              <w:snapToGrid w:val="0"/>
              <w:spacing w:line="290" w:lineRule="exact"/>
              <w:ind w:firstLine="472" w:firstLineChars="200"/>
              <w:rPr>
                <w:rFonts w:ascii="仿宋_GB2312"/>
                <w:sz w:val="24"/>
              </w:rPr>
            </w:pPr>
          </w:p>
        </w:tc>
        <w:tc>
          <w:tcPr>
            <w:tcW w:w="888" w:type="dxa"/>
            <w:tcBorders>
              <w:left w:val="nil"/>
              <w:bottom w:val="single" w:color="auto" w:sz="4" w:space="0"/>
              <w:right w:val="single" w:color="auto" w:sz="4" w:space="0"/>
            </w:tcBorders>
            <w:vAlign w:val="center"/>
          </w:tcPr>
          <w:p>
            <w:pPr>
              <w:snapToGrid w:val="0"/>
              <w:spacing w:line="290" w:lineRule="exact"/>
              <w:ind w:firstLine="472" w:firstLineChars="200"/>
              <w:rPr>
                <w:rFonts w:ascii="仿宋_GB2312"/>
                <w:sz w:val="24"/>
              </w:rPr>
            </w:pPr>
          </w:p>
        </w:tc>
      </w:tr>
      <w:tr>
        <w:tblPrEx>
          <w:tblCellMar>
            <w:top w:w="0" w:type="dxa"/>
            <w:left w:w="108" w:type="dxa"/>
            <w:bottom w:w="0" w:type="dxa"/>
            <w:right w:w="108" w:type="dxa"/>
          </w:tblCellMar>
        </w:tblPrEx>
        <w:trPr>
          <w:trHeight w:val="811" w:hRule="atLeast"/>
        </w:trPr>
        <w:tc>
          <w:tcPr>
            <w:tcW w:w="533" w:type="dxa"/>
            <w:tcBorders>
              <w:left w:val="single" w:color="auto" w:sz="4" w:space="0"/>
              <w:bottom w:val="single" w:color="auto" w:sz="4" w:space="0"/>
              <w:right w:val="single" w:color="auto" w:sz="4" w:space="0"/>
            </w:tcBorders>
            <w:vAlign w:val="center"/>
          </w:tcPr>
          <w:p>
            <w:pPr>
              <w:snapToGrid w:val="0"/>
              <w:spacing w:line="290" w:lineRule="exact"/>
              <w:ind w:firstLine="472" w:firstLineChars="200"/>
              <w:rPr>
                <w:rFonts w:hint="eastAsia" w:ascii="仿宋_GB2312"/>
                <w:sz w:val="24"/>
                <w:lang w:val="en-US" w:eastAsia="zh-CN"/>
              </w:rPr>
            </w:pPr>
            <w:r>
              <w:rPr>
                <w:rFonts w:hint="eastAsia" w:ascii="仿宋_GB2312"/>
                <w:sz w:val="24"/>
                <w:lang w:val="en-US" w:eastAsia="zh-CN"/>
              </w:rPr>
              <w:t>2</w:t>
            </w:r>
          </w:p>
          <w:p>
            <w:pPr>
              <w:bidi w:val="0"/>
              <w:rPr>
                <w:rFonts w:hint="eastAsia" w:ascii="Times New Roman" w:hAnsi="Times New Roman" w:eastAsia="仿宋_GB2312" w:cs="Times New Roman"/>
                <w:kern w:val="2"/>
                <w:sz w:val="32"/>
                <w:szCs w:val="32"/>
                <w:lang w:val="en-US" w:eastAsia="zh-CN" w:bidi="ar-SA"/>
              </w:rPr>
            </w:pPr>
          </w:p>
          <w:p>
            <w:pPr>
              <w:bidi w:val="0"/>
              <w:jc w:val="center"/>
              <w:rPr>
                <w:rFonts w:hint="default"/>
                <w:lang w:val="en-US" w:eastAsia="zh-CN"/>
              </w:rPr>
            </w:pPr>
            <w:r>
              <w:rPr>
                <w:rFonts w:hint="eastAsia"/>
                <w:sz w:val="24"/>
                <w:szCs w:val="24"/>
                <w:lang w:val="en-US" w:eastAsia="zh-CN"/>
              </w:rPr>
              <w:t>2</w:t>
            </w:r>
          </w:p>
        </w:tc>
        <w:tc>
          <w:tcPr>
            <w:tcW w:w="839" w:type="dxa"/>
            <w:tcBorders>
              <w:left w:val="nil"/>
              <w:bottom w:val="single" w:color="auto" w:sz="4" w:space="0"/>
              <w:right w:val="single" w:color="auto" w:sz="4" w:space="0"/>
            </w:tcBorders>
            <w:vAlign w:val="center"/>
          </w:tcPr>
          <w:p>
            <w:pPr>
              <w:snapToGrid w:val="0"/>
              <w:jc w:val="center"/>
              <w:rPr>
                <w:rFonts w:ascii="仿宋_GB2312"/>
                <w:sz w:val="24"/>
              </w:rPr>
            </w:pPr>
            <w:r>
              <w:rPr>
                <w:rFonts w:ascii="仿宋_GB2312"/>
                <w:sz w:val="24"/>
              </w:rPr>
              <w:t>公平竞争</w:t>
            </w:r>
          </w:p>
        </w:tc>
        <w:tc>
          <w:tcPr>
            <w:tcW w:w="7082" w:type="dxa"/>
            <w:tcBorders>
              <w:top w:val="single" w:color="auto" w:sz="4" w:space="0"/>
              <w:left w:val="nil"/>
              <w:bottom w:val="single" w:color="auto" w:sz="4" w:space="0"/>
              <w:right w:val="single" w:color="auto" w:sz="4" w:space="0"/>
            </w:tcBorders>
          </w:tcPr>
          <w:p>
            <w:pPr>
              <w:snapToGrid w:val="0"/>
              <w:spacing w:line="290" w:lineRule="exact"/>
              <w:rPr>
                <w:rFonts w:hint="eastAsia" w:ascii="仿宋_GB2312"/>
                <w:sz w:val="24"/>
              </w:rPr>
            </w:pPr>
            <w:r>
              <w:rPr>
                <w:rFonts w:hint="eastAsia" w:ascii="仿宋_GB2312"/>
                <w:sz w:val="24"/>
              </w:rPr>
              <w:t>2.1评价内容：代理机构实施公平竞争政策和辅助审查能力。</w:t>
            </w:r>
          </w:p>
          <w:p>
            <w:pPr>
              <w:snapToGrid w:val="0"/>
              <w:spacing w:line="290" w:lineRule="exact"/>
              <w:rPr>
                <w:rFonts w:hint="eastAsia" w:ascii="仿宋_GB2312"/>
                <w:sz w:val="24"/>
              </w:rPr>
            </w:pPr>
            <w:r>
              <w:rPr>
                <w:rFonts w:hint="eastAsia" w:ascii="仿宋_GB2312"/>
                <w:sz w:val="24"/>
              </w:rPr>
              <w:t>2.2评价方式：招标项目公告、招标文件投标人的资质条件以及评分标准等内容。</w:t>
            </w:r>
          </w:p>
          <w:p>
            <w:pPr>
              <w:snapToGrid w:val="0"/>
              <w:spacing w:line="290" w:lineRule="exact"/>
              <w:rPr>
                <w:rFonts w:hint="eastAsia" w:ascii="仿宋_GB2312"/>
                <w:sz w:val="24"/>
              </w:rPr>
            </w:pPr>
            <w:r>
              <w:rPr>
                <w:rFonts w:hint="eastAsia" w:ascii="仿宋_GB2312"/>
                <w:sz w:val="24"/>
              </w:rPr>
              <w:t>2.3评价标准：</w:t>
            </w:r>
          </w:p>
          <w:p>
            <w:pPr>
              <w:snapToGrid w:val="0"/>
              <w:spacing w:line="290" w:lineRule="exact"/>
              <w:rPr>
                <w:rFonts w:hint="eastAsia" w:ascii="仿宋_GB2312"/>
                <w:sz w:val="24"/>
              </w:rPr>
            </w:pPr>
            <w:r>
              <w:rPr>
                <w:rFonts w:hint="eastAsia" w:ascii="仿宋_GB2312"/>
                <w:sz w:val="24"/>
              </w:rPr>
              <w:t>（一）代理机构代理的项目存在以下情形的予以扣分，如造成严重不良社会影响的，加倍扣分。</w:t>
            </w:r>
          </w:p>
          <w:p>
            <w:pPr>
              <w:snapToGrid w:val="0"/>
              <w:spacing w:line="290" w:lineRule="exact"/>
              <w:ind w:firstLine="236" w:firstLineChars="100"/>
              <w:rPr>
                <w:rFonts w:hint="eastAsia" w:ascii="仿宋_GB2312"/>
                <w:sz w:val="24"/>
              </w:rPr>
            </w:pPr>
            <w:r>
              <w:rPr>
                <w:rFonts w:hint="eastAsia" w:ascii="仿宋_GB2312"/>
                <w:sz w:val="24"/>
              </w:rPr>
              <w:t>（</w:t>
            </w:r>
            <w:r>
              <w:rPr>
                <w:rFonts w:hint="eastAsia" w:ascii="仿宋_GB2312"/>
                <w:sz w:val="24"/>
                <w:lang w:val="en-US" w:eastAsia="zh-CN"/>
              </w:rPr>
              <w:t>1</w:t>
            </w:r>
            <w:r>
              <w:rPr>
                <w:rFonts w:hint="eastAsia" w:ascii="仿宋_GB2312"/>
                <w:sz w:val="24"/>
              </w:rPr>
              <w:t>）在招标投标中，限定投标人所在地、所有制形式、组织形式或者设置其他不合理条件排斥经营者参与招投标活动的，每件次扣</w:t>
            </w:r>
            <w:r>
              <w:rPr>
                <w:rFonts w:hint="eastAsia" w:ascii="仿宋_GB2312"/>
                <w:sz w:val="24"/>
                <w:lang w:val="en-US" w:eastAsia="zh-CN"/>
              </w:rPr>
              <w:t>10</w:t>
            </w:r>
            <w:r>
              <w:rPr>
                <w:rFonts w:hint="eastAsia" w:ascii="仿宋_GB2312"/>
                <w:sz w:val="24"/>
              </w:rPr>
              <w:t>分；</w:t>
            </w:r>
          </w:p>
          <w:p>
            <w:pPr>
              <w:snapToGrid w:val="0"/>
              <w:spacing w:line="290" w:lineRule="exact"/>
              <w:ind w:firstLine="236" w:firstLineChars="100"/>
              <w:rPr>
                <w:rFonts w:hint="eastAsia" w:ascii="仿宋_GB2312"/>
                <w:sz w:val="24"/>
              </w:rPr>
            </w:pPr>
            <w:r>
              <w:rPr>
                <w:rFonts w:hint="eastAsia" w:ascii="仿宋_GB2312"/>
                <w:sz w:val="24"/>
              </w:rPr>
              <w:t>（</w:t>
            </w:r>
            <w:r>
              <w:rPr>
                <w:rFonts w:hint="eastAsia" w:ascii="仿宋_GB2312"/>
                <w:sz w:val="24"/>
                <w:lang w:val="en-US" w:eastAsia="zh-CN"/>
              </w:rPr>
              <w:t>2</w:t>
            </w:r>
            <w:r>
              <w:rPr>
                <w:rFonts w:hint="eastAsia" w:ascii="仿宋_GB2312"/>
                <w:sz w:val="24"/>
              </w:rPr>
              <w:t>）在招标投标中，对外地经营者设定歧视性资质资格要求或者评标评审标准，将经营者在本地区的业绩、所获得的奖项荣誉作为投标条件、加分条件、中标条件或者用于评价企业信用等级的，每件次扣</w:t>
            </w:r>
            <w:r>
              <w:rPr>
                <w:rFonts w:hint="eastAsia" w:ascii="仿宋_GB2312"/>
                <w:sz w:val="24"/>
                <w:lang w:val="en-US" w:eastAsia="zh-CN"/>
              </w:rPr>
              <w:t>10</w:t>
            </w:r>
            <w:r>
              <w:rPr>
                <w:rFonts w:hint="eastAsia" w:ascii="仿宋_GB2312"/>
                <w:sz w:val="24"/>
              </w:rPr>
              <w:t>分；</w:t>
            </w:r>
          </w:p>
          <w:p>
            <w:pPr>
              <w:snapToGrid w:val="0"/>
              <w:spacing w:line="290" w:lineRule="exact"/>
              <w:ind w:firstLine="236" w:firstLineChars="100"/>
              <w:rPr>
                <w:rFonts w:hint="eastAsia" w:ascii="仿宋_GB2312"/>
                <w:sz w:val="24"/>
              </w:rPr>
            </w:pPr>
            <w:r>
              <w:rPr>
                <w:rFonts w:hint="eastAsia" w:ascii="仿宋_GB2312"/>
                <w:sz w:val="24"/>
              </w:rPr>
              <w:t>（</w:t>
            </w:r>
            <w:r>
              <w:rPr>
                <w:rFonts w:hint="eastAsia" w:ascii="仿宋_GB2312"/>
                <w:sz w:val="24"/>
                <w:lang w:val="en-US" w:eastAsia="zh-CN"/>
              </w:rPr>
              <w:t>3</w:t>
            </w:r>
            <w:r>
              <w:rPr>
                <w:rFonts w:hint="eastAsia" w:ascii="仿宋_GB2312"/>
                <w:sz w:val="24"/>
              </w:rPr>
              <w:t>）在招标投标中，违反规定要求经营者在本地注册设立法人或者分支机构、拥有一定办公面积、缴纳社会保险的，每件次扣</w:t>
            </w:r>
            <w:r>
              <w:rPr>
                <w:rFonts w:hint="eastAsia" w:ascii="仿宋_GB2312"/>
                <w:sz w:val="24"/>
                <w:lang w:val="en-US" w:eastAsia="zh-CN"/>
              </w:rPr>
              <w:t>10</w:t>
            </w:r>
            <w:r>
              <w:rPr>
                <w:rFonts w:hint="eastAsia" w:ascii="仿宋_GB2312"/>
                <w:sz w:val="24"/>
              </w:rPr>
              <w:t>分；</w:t>
            </w:r>
          </w:p>
          <w:p>
            <w:pPr>
              <w:snapToGrid w:val="0"/>
              <w:spacing w:line="290" w:lineRule="exact"/>
              <w:ind w:firstLine="236" w:firstLineChars="100"/>
              <w:rPr>
                <w:rFonts w:hint="eastAsia" w:ascii="仿宋_GB2312"/>
                <w:sz w:val="24"/>
              </w:rPr>
            </w:pPr>
            <w:r>
              <w:rPr>
                <w:rFonts w:hint="eastAsia" w:ascii="仿宋_GB2312"/>
                <w:sz w:val="24"/>
              </w:rPr>
              <w:t>（</w:t>
            </w:r>
            <w:r>
              <w:rPr>
                <w:rFonts w:hint="eastAsia" w:ascii="仿宋_GB2312"/>
                <w:sz w:val="24"/>
                <w:lang w:val="en-US" w:eastAsia="zh-CN"/>
              </w:rPr>
              <w:t>4</w:t>
            </w:r>
            <w:r>
              <w:rPr>
                <w:rFonts w:hint="eastAsia" w:ascii="仿宋_GB2312"/>
                <w:sz w:val="24"/>
              </w:rPr>
              <w:t>）在招标投标中，设定与招标项目的具体特点和实际需要不相适应或者合同履行无关的资格、技术和商务条件的，每件次扣</w:t>
            </w:r>
            <w:r>
              <w:rPr>
                <w:rFonts w:hint="eastAsia" w:ascii="仿宋_GB2312"/>
                <w:sz w:val="24"/>
                <w:lang w:val="en-US" w:eastAsia="zh-CN"/>
              </w:rPr>
              <w:t>10</w:t>
            </w:r>
            <w:r>
              <w:rPr>
                <w:rFonts w:hint="eastAsia" w:ascii="仿宋_GB2312"/>
                <w:sz w:val="24"/>
              </w:rPr>
              <w:t>分；</w:t>
            </w:r>
          </w:p>
          <w:p>
            <w:pPr>
              <w:snapToGrid w:val="0"/>
              <w:spacing w:line="290" w:lineRule="exact"/>
              <w:ind w:firstLine="236" w:firstLineChars="100"/>
              <w:rPr>
                <w:rFonts w:hint="eastAsia" w:ascii="仿宋_GB2312"/>
                <w:sz w:val="24"/>
              </w:rPr>
            </w:pPr>
            <w:r>
              <w:rPr>
                <w:rFonts w:hint="eastAsia" w:ascii="仿宋_GB2312"/>
                <w:sz w:val="24"/>
              </w:rPr>
              <w:t>（</w:t>
            </w:r>
            <w:r>
              <w:rPr>
                <w:rFonts w:hint="eastAsia" w:ascii="仿宋_GB2312"/>
                <w:sz w:val="24"/>
                <w:lang w:val="en-US" w:eastAsia="zh-CN"/>
              </w:rPr>
              <w:t>5</w:t>
            </w:r>
            <w:r>
              <w:rPr>
                <w:rFonts w:hint="eastAsia" w:ascii="仿宋_GB2312"/>
                <w:sz w:val="24"/>
              </w:rPr>
              <w:t>）以明确要求、暗示、拒绝或者拖延行政审批，重复检查，不予接入平台或者网络，违法违规给予奖励补贴等方式，限定或者变相限定经营、购买、使用特定经营者提供的商品和服务的，每件次扣</w:t>
            </w:r>
            <w:r>
              <w:rPr>
                <w:rFonts w:hint="eastAsia" w:ascii="仿宋_GB2312"/>
                <w:sz w:val="24"/>
                <w:lang w:val="en-US" w:eastAsia="zh-CN"/>
              </w:rPr>
              <w:t>10</w:t>
            </w:r>
            <w:r>
              <w:rPr>
                <w:rFonts w:hint="eastAsia" w:ascii="仿宋_GB2312"/>
                <w:sz w:val="24"/>
              </w:rPr>
              <w:t>分；</w:t>
            </w:r>
          </w:p>
          <w:p>
            <w:pPr>
              <w:snapToGrid w:val="0"/>
              <w:spacing w:line="290" w:lineRule="exact"/>
              <w:ind w:firstLine="236" w:firstLineChars="100"/>
              <w:rPr>
                <w:rFonts w:hint="eastAsia" w:ascii="仿宋_GB2312"/>
                <w:sz w:val="24"/>
              </w:rPr>
            </w:pPr>
            <w:r>
              <w:rPr>
                <w:rFonts w:hint="eastAsia" w:ascii="仿宋_GB2312"/>
                <w:sz w:val="24"/>
              </w:rPr>
              <w:t>（</w:t>
            </w:r>
            <w:r>
              <w:rPr>
                <w:rFonts w:hint="eastAsia" w:ascii="仿宋_GB2312"/>
                <w:sz w:val="24"/>
                <w:lang w:val="en-US" w:eastAsia="zh-CN"/>
              </w:rPr>
              <w:t>6</w:t>
            </w:r>
            <w:r>
              <w:rPr>
                <w:rFonts w:hint="eastAsia" w:ascii="仿宋_GB2312"/>
                <w:sz w:val="24"/>
              </w:rPr>
              <w:t xml:space="preserve">）代理机构实施不正当竞争或者违规收费被市场监管部门行政处罚的，每次扣 </w:t>
            </w:r>
            <w:r>
              <w:rPr>
                <w:rFonts w:hint="eastAsia" w:ascii="仿宋_GB2312"/>
                <w:sz w:val="24"/>
                <w:lang w:val="en-US" w:eastAsia="zh-CN"/>
              </w:rPr>
              <w:t>10</w:t>
            </w:r>
            <w:r>
              <w:rPr>
                <w:rFonts w:hint="eastAsia" w:ascii="仿宋_GB2312"/>
                <w:sz w:val="24"/>
              </w:rPr>
              <w:t>分；</w:t>
            </w:r>
          </w:p>
          <w:p>
            <w:pPr>
              <w:snapToGrid w:val="0"/>
              <w:spacing w:line="290" w:lineRule="exact"/>
              <w:ind w:firstLine="236" w:firstLineChars="100"/>
              <w:rPr>
                <w:rFonts w:hint="eastAsia" w:ascii="仿宋_GB2312"/>
                <w:sz w:val="24"/>
              </w:rPr>
            </w:pPr>
            <w:r>
              <w:rPr>
                <w:rFonts w:hint="eastAsia" w:ascii="仿宋_GB2312"/>
                <w:sz w:val="24"/>
              </w:rPr>
              <w:t>（</w:t>
            </w:r>
            <w:r>
              <w:rPr>
                <w:rFonts w:hint="eastAsia" w:ascii="仿宋_GB2312"/>
                <w:sz w:val="24"/>
                <w:lang w:val="en-US" w:eastAsia="zh-CN"/>
              </w:rPr>
              <w:t>7</w:t>
            </w:r>
            <w:r>
              <w:rPr>
                <w:rFonts w:hint="eastAsia" w:ascii="仿宋_GB2312"/>
                <w:sz w:val="24"/>
              </w:rPr>
              <w:t>）违规设置保证金比例的，每件次扣2分；</w:t>
            </w:r>
          </w:p>
          <w:p>
            <w:pPr>
              <w:snapToGrid w:val="0"/>
              <w:spacing w:line="290" w:lineRule="exact"/>
              <w:ind w:firstLine="236" w:firstLineChars="100"/>
              <w:rPr>
                <w:rFonts w:hint="eastAsia" w:ascii="仿宋_GB2312"/>
                <w:sz w:val="24"/>
              </w:rPr>
            </w:pPr>
            <w:r>
              <w:rPr>
                <w:rFonts w:hint="eastAsia" w:ascii="仿宋_GB2312"/>
                <w:sz w:val="24"/>
              </w:rPr>
              <w:t>（</w:t>
            </w:r>
            <w:r>
              <w:rPr>
                <w:rFonts w:hint="eastAsia" w:ascii="仿宋_GB2312"/>
                <w:sz w:val="24"/>
                <w:lang w:val="en-US" w:eastAsia="zh-CN"/>
              </w:rPr>
              <w:t>8</w:t>
            </w:r>
            <w:r>
              <w:rPr>
                <w:rFonts w:hint="eastAsia" w:ascii="仿宋_GB2312"/>
                <w:sz w:val="24"/>
              </w:rPr>
              <w:t>）没有法律、行政法规或者国务院规定依据，通过设置不合理的项目库、名录库、备选库、资格库等条件，排斥或者限制潜在经营者提供商品和服务的，每件次扣4分；</w:t>
            </w:r>
          </w:p>
          <w:p>
            <w:pPr>
              <w:snapToGrid w:val="0"/>
              <w:spacing w:line="290" w:lineRule="exact"/>
              <w:ind w:firstLine="236" w:firstLineChars="100"/>
              <w:rPr>
                <w:rFonts w:hint="eastAsia" w:ascii="仿宋_GB2312"/>
                <w:sz w:val="24"/>
              </w:rPr>
            </w:pPr>
            <w:r>
              <w:rPr>
                <w:rFonts w:hint="eastAsia" w:ascii="仿宋_GB2312"/>
                <w:sz w:val="24"/>
              </w:rPr>
              <w:t>（</w:t>
            </w:r>
            <w:r>
              <w:rPr>
                <w:rFonts w:hint="eastAsia" w:ascii="仿宋_GB2312"/>
                <w:sz w:val="24"/>
                <w:lang w:val="en-US" w:eastAsia="zh-CN"/>
              </w:rPr>
              <w:t>9</w:t>
            </w:r>
            <w:r>
              <w:rPr>
                <w:rFonts w:hint="eastAsia" w:ascii="仿宋_GB2312"/>
                <w:sz w:val="24"/>
              </w:rPr>
              <w:t>）其他违反公平竞争情形的，视情形每件次扣</w:t>
            </w:r>
            <w:r>
              <w:rPr>
                <w:rFonts w:hint="eastAsia" w:ascii="仿宋_GB2312"/>
                <w:sz w:val="24"/>
                <w:lang w:val="en-US" w:eastAsia="zh-CN"/>
              </w:rPr>
              <w:t>2</w:t>
            </w:r>
            <w:r>
              <w:rPr>
                <w:rFonts w:hint="eastAsia" w:ascii="仿宋_GB2312"/>
                <w:sz w:val="24"/>
              </w:rPr>
              <w:t>-</w:t>
            </w:r>
            <w:r>
              <w:rPr>
                <w:rFonts w:hint="eastAsia" w:ascii="仿宋_GB2312"/>
                <w:sz w:val="24"/>
                <w:lang w:val="en-US" w:eastAsia="zh-CN"/>
              </w:rPr>
              <w:t>4</w:t>
            </w:r>
            <w:r>
              <w:rPr>
                <w:rFonts w:hint="eastAsia" w:ascii="仿宋_GB2312"/>
                <w:sz w:val="24"/>
              </w:rPr>
              <w:t>分。</w:t>
            </w:r>
          </w:p>
          <w:p>
            <w:pPr>
              <w:snapToGrid w:val="0"/>
              <w:spacing w:line="290" w:lineRule="exact"/>
              <w:ind w:firstLine="236" w:firstLineChars="100"/>
              <w:rPr>
                <w:rFonts w:hint="eastAsia" w:ascii="仿宋_GB2312" w:eastAsia="仿宋_GB2312"/>
                <w:sz w:val="24"/>
                <w:lang w:eastAsia="zh-CN"/>
              </w:rPr>
            </w:pPr>
            <w:r>
              <w:rPr>
                <w:rFonts w:hint="eastAsia" w:ascii="仿宋_GB2312"/>
                <w:sz w:val="24"/>
                <w:lang w:eastAsia="zh-CN"/>
              </w:rPr>
              <w:t>本项满分</w:t>
            </w:r>
            <w:r>
              <w:rPr>
                <w:rFonts w:hint="eastAsia" w:ascii="仿宋_GB2312"/>
                <w:sz w:val="24"/>
                <w:lang w:val="en-US" w:eastAsia="zh-CN"/>
              </w:rPr>
              <w:t>24分，</w:t>
            </w:r>
            <w:r>
              <w:rPr>
                <w:rFonts w:hint="eastAsia" w:ascii="仿宋_GB2312"/>
                <w:sz w:val="24"/>
                <w:lang w:eastAsia="zh-CN"/>
              </w:rPr>
              <w:t>扣完为止。</w:t>
            </w:r>
          </w:p>
        </w:tc>
        <w:tc>
          <w:tcPr>
            <w:tcW w:w="793" w:type="dxa"/>
            <w:tcBorders>
              <w:left w:val="nil"/>
              <w:bottom w:val="single" w:color="auto" w:sz="4" w:space="0"/>
              <w:right w:val="single" w:color="auto" w:sz="4" w:space="0"/>
            </w:tcBorders>
            <w:vAlign w:val="center"/>
          </w:tcPr>
          <w:p>
            <w:pPr>
              <w:snapToGrid w:val="0"/>
              <w:spacing w:line="290" w:lineRule="exact"/>
              <w:jc w:val="center"/>
              <w:rPr>
                <w:rFonts w:hint="default" w:ascii="仿宋_GB2312" w:eastAsia="仿宋_GB2312"/>
                <w:sz w:val="24"/>
                <w:lang w:val="en-US" w:eastAsia="zh-CN"/>
              </w:rPr>
            </w:pPr>
            <w:r>
              <w:rPr>
                <w:rFonts w:hint="eastAsia" w:ascii="仿宋_GB2312"/>
                <w:sz w:val="24"/>
                <w:lang w:val="en-US" w:eastAsia="zh-CN"/>
              </w:rPr>
              <w:t>24</w:t>
            </w:r>
          </w:p>
        </w:tc>
        <w:tc>
          <w:tcPr>
            <w:tcW w:w="888" w:type="dxa"/>
            <w:tcBorders>
              <w:left w:val="nil"/>
              <w:bottom w:val="single" w:color="auto" w:sz="4" w:space="0"/>
              <w:right w:val="single" w:color="auto" w:sz="4" w:space="0"/>
            </w:tcBorders>
            <w:vAlign w:val="center"/>
          </w:tcPr>
          <w:p>
            <w:pPr>
              <w:snapToGrid w:val="0"/>
              <w:spacing w:line="290" w:lineRule="exact"/>
              <w:ind w:firstLine="472" w:firstLineChars="200"/>
              <w:rPr>
                <w:rFonts w:ascii="仿宋_GB2312"/>
                <w:sz w:val="24"/>
              </w:rPr>
            </w:pPr>
          </w:p>
        </w:tc>
      </w:tr>
      <w:tr>
        <w:tblPrEx>
          <w:tblCellMar>
            <w:top w:w="0" w:type="dxa"/>
            <w:left w:w="108" w:type="dxa"/>
            <w:bottom w:w="0" w:type="dxa"/>
            <w:right w:w="108" w:type="dxa"/>
          </w:tblCellMar>
        </w:tblPrEx>
        <w:trPr>
          <w:trHeight w:val="2999" w:hRule="atLeast"/>
        </w:trPr>
        <w:tc>
          <w:tcPr>
            <w:tcW w:w="533" w:type="dxa"/>
            <w:tcBorders>
              <w:top w:val="single" w:color="auto" w:sz="4" w:space="0"/>
              <w:left w:val="single" w:color="auto" w:sz="4" w:space="0"/>
              <w:bottom w:val="single" w:color="auto" w:sz="4" w:space="0"/>
              <w:right w:val="single" w:color="auto" w:sz="4" w:space="0"/>
            </w:tcBorders>
            <w:vAlign w:val="center"/>
          </w:tcPr>
          <w:p>
            <w:pPr>
              <w:snapToGrid w:val="0"/>
              <w:jc w:val="center"/>
              <w:rPr>
                <w:rFonts w:hint="eastAsia" w:ascii="仿宋_GB2312" w:eastAsia="仿宋_GB2312"/>
                <w:sz w:val="24"/>
                <w:lang w:eastAsia="zh-CN"/>
              </w:rPr>
            </w:pPr>
            <w:r>
              <w:rPr>
                <w:rFonts w:hint="eastAsia" w:ascii="仿宋_GB2312"/>
                <w:sz w:val="24"/>
                <w:lang w:val="en-US" w:eastAsia="zh-CN"/>
              </w:rPr>
              <w:t>3</w:t>
            </w:r>
          </w:p>
        </w:tc>
        <w:tc>
          <w:tcPr>
            <w:tcW w:w="839" w:type="dxa"/>
            <w:tcBorders>
              <w:top w:val="single" w:color="auto" w:sz="4" w:space="0"/>
              <w:left w:val="nil"/>
              <w:bottom w:val="single" w:color="auto" w:sz="4" w:space="0"/>
              <w:right w:val="single" w:color="auto" w:sz="4" w:space="0"/>
            </w:tcBorders>
            <w:vAlign w:val="center"/>
          </w:tcPr>
          <w:p>
            <w:pPr>
              <w:snapToGrid w:val="0"/>
              <w:jc w:val="center"/>
              <w:rPr>
                <w:rFonts w:ascii="仿宋_GB2312"/>
                <w:sz w:val="24"/>
              </w:rPr>
            </w:pPr>
            <w:r>
              <w:rPr>
                <w:rFonts w:hint="eastAsia" w:ascii="仿宋_GB2312"/>
                <w:sz w:val="24"/>
              </w:rPr>
              <w:t>代理业绩</w:t>
            </w:r>
          </w:p>
        </w:tc>
        <w:tc>
          <w:tcPr>
            <w:tcW w:w="7082" w:type="dxa"/>
            <w:tcBorders>
              <w:top w:val="single" w:color="auto" w:sz="4" w:space="0"/>
              <w:left w:val="nil"/>
              <w:bottom w:val="single" w:color="auto" w:sz="4" w:space="0"/>
              <w:right w:val="single" w:color="auto" w:sz="4" w:space="0"/>
            </w:tcBorders>
            <w:vAlign w:val="center"/>
          </w:tcPr>
          <w:p>
            <w:pPr>
              <w:snapToGrid w:val="0"/>
              <w:spacing w:line="320" w:lineRule="exact"/>
              <w:rPr>
                <w:rFonts w:ascii="仿宋_GB2312"/>
                <w:sz w:val="24"/>
              </w:rPr>
            </w:pPr>
            <w:r>
              <w:rPr>
                <w:rFonts w:hint="eastAsia" w:ascii="仿宋_GB2312"/>
                <w:sz w:val="24"/>
                <w:lang w:val="en-US" w:eastAsia="zh-CN"/>
              </w:rPr>
              <w:t>3</w:t>
            </w:r>
            <w:r>
              <w:rPr>
                <w:rFonts w:hint="eastAsia" w:ascii="仿宋_GB2312"/>
                <w:sz w:val="24"/>
              </w:rPr>
              <w:t>.1评价内容：一个年度内，招标代理机构完成的代理项目。</w:t>
            </w:r>
          </w:p>
          <w:p>
            <w:pPr>
              <w:snapToGrid w:val="0"/>
              <w:spacing w:line="300" w:lineRule="exact"/>
              <w:rPr>
                <w:rFonts w:ascii="仿宋_GB2312"/>
                <w:sz w:val="24"/>
                <w:szCs w:val="24"/>
              </w:rPr>
            </w:pPr>
            <w:r>
              <w:rPr>
                <w:rFonts w:hint="eastAsia" w:ascii="仿宋_GB2312" w:hAnsi="仿宋_GB2312" w:cs="仿宋_GB2312"/>
                <w:color w:val="000000"/>
                <w:kern w:val="0"/>
                <w:sz w:val="24"/>
                <w:szCs w:val="24"/>
                <w:lang w:val="en-US" w:eastAsia="zh-CN"/>
              </w:rPr>
              <w:t>3</w:t>
            </w:r>
            <w:r>
              <w:rPr>
                <w:rFonts w:hint="eastAsia" w:ascii="仿宋_GB2312"/>
                <w:sz w:val="24"/>
                <w:szCs w:val="24"/>
              </w:rPr>
              <w:t xml:space="preserve">.2 评价方式： </w:t>
            </w:r>
          </w:p>
          <w:p>
            <w:pPr>
              <w:snapToGrid w:val="0"/>
              <w:spacing w:line="300" w:lineRule="exact"/>
              <w:ind w:firstLine="472" w:firstLineChars="200"/>
              <w:rPr>
                <w:rFonts w:ascii="仿宋_GB2312"/>
                <w:color w:val="FF0000"/>
                <w:sz w:val="24"/>
                <w:szCs w:val="24"/>
              </w:rPr>
            </w:pPr>
            <w:r>
              <w:rPr>
                <w:rFonts w:hint="eastAsia" w:ascii="仿宋_GB2312"/>
                <w:color w:val="FF0000"/>
                <w:sz w:val="24"/>
                <w:szCs w:val="24"/>
              </w:rPr>
              <w:t>业绩：指代理机构年度内</w:t>
            </w:r>
            <w:r>
              <w:rPr>
                <w:rFonts w:hint="eastAsia" w:ascii="仿宋_GB2312"/>
                <w:color w:val="FF0000"/>
                <w:sz w:val="24"/>
                <w:szCs w:val="24"/>
                <w:lang w:eastAsia="zh-CN"/>
              </w:rPr>
              <w:t>在政府交易平台内</w:t>
            </w:r>
            <w:r>
              <w:rPr>
                <w:rFonts w:hint="eastAsia" w:ascii="仿宋_GB2312"/>
                <w:color w:val="FF0000"/>
                <w:sz w:val="24"/>
                <w:szCs w:val="24"/>
              </w:rPr>
              <w:t>取得的代理业绩。（需提供招标公告网页版打印页面及中标通知书复印件）</w:t>
            </w:r>
          </w:p>
          <w:p>
            <w:pPr>
              <w:snapToGrid w:val="0"/>
              <w:spacing w:line="300" w:lineRule="exact"/>
              <w:rPr>
                <w:rFonts w:ascii="仿宋_GB2312"/>
                <w:sz w:val="24"/>
                <w:szCs w:val="24"/>
              </w:rPr>
            </w:pPr>
            <w:r>
              <w:rPr>
                <w:rFonts w:hint="eastAsia" w:ascii="仿宋_GB2312"/>
                <w:sz w:val="24"/>
                <w:szCs w:val="24"/>
                <w:lang w:val="en-US" w:eastAsia="zh-CN"/>
              </w:rPr>
              <w:t>3</w:t>
            </w:r>
            <w:r>
              <w:rPr>
                <w:rFonts w:hint="eastAsia" w:ascii="仿宋_GB2312"/>
                <w:sz w:val="24"/>
                <w:szCs w:val="24"/>
              </w:rPr>
              <w:t>.3评价标准：</w:t>
            </w:r>
          </w:p>
          <w:p>
            <w:pPr>
              <w:snapToGrid w:val="0"/>
              <w:spacing w:line="300" w:lineRule="exact"/>
              <w:ind w:firstLine="472" w:firstLineChars="200"/>
              <w:rPr>
                <w:rFonts w:ascii="仿宋_GB2312"/>
                <w:sz w:val="24"/>
                <w:szCs w:val="24"/>
              </w:rPr>
            </w:pPr>
            <w:r>
              <w:rPr>
                <w:rFonts w:hint="eastAsia" w:ascii="仿宋_GB2312"/>
                <w:sz w:val="24"/>
                <w:szCs w:val="24"/>
              </w:rPr>
              <w:t>（1）代理招标的建设工程施工类项目，中标价400万元以上不足1000万元的项目每个得1分，1000万元以上不足5000万元的项目每个得2分，5000万元以上的项目每个得3分；</w:t>
            </w:r>
          </w:p>
          <w:p>
            <w:pPr>
              <w:snapToGrid w:val="0"/>
              <w:spacing w:line="300" w:lineRule="exact"/>
              <w:ind w:firstLine="472" w:firstLineChars="200"/>
              <w:rPr>
                <w:rFonts w:ascii="仿宋_GB2312"/>
                <w:sz w:val="24"/>
                <w:szCs w:val="24"/>
              </w:rPr>
            </w:pPr>
            <w:r>
              <w:rPr>
                <w:rFonts w:hint="eastAsia" w:ascii="仿宋_GB2312"/>
                <w:sz w:val="24"/>
                <w:szCs w:val="24"/>
              </w:rPr>
              <w:t>（2）代理招标的建设工程勘察设计、监理等服务类项目，中标价100万元以上不足200万元的项目每个得1分，200万元以上不足300万元的项目每个得2分，300万元以上的项目每个得3分；</w:t>
            </w:r>
          </w:p>
          <w:p>
            <w:pPr>
              <w:snapToGrid w:val="0"/>
              <w:spacing w:line="300" w:lineRule="exact"/>
              <w:ind w:firstLine="472" w:firstLineChars="200"/>
              <w:rPr>
                <w:rFonts w:ascii="仿宋_GB2312"/>
                <w:sz w:val="24"/>
                <w:szCs w:val="24"/>
              </w:rPr>
            </w:pPr>
            <w:r>
              <w:rPr>
                <w:rFonts w:hint="eastAsia" w:ascii="仿宋_GB2312"/>
                <w:sz w:val="24"/>
                <w:szCs w:val="24"/>
              </w:rPr>
              <w:t>（3）代理招标的建设工程货物类项目，中标价200万元以上不足400万元的项目每个得1分，400万元以上不足1000万元的项目每个得2分，1000万元以上的项目每个得3分；</w:t>
            </w:r>
          </w:p>
          <w:p>
            <w:pPr>
              <w:snapToGrid w:val="0"/>
              <w:spacing w:line="300" w:lineRule="exact"/>
              <w:ind w:firstLine="472" w:firstLineChars="200"/>
              <w:rPr>
                <w:rFonts w:ascii="仿宋_GB2312"/>
                <w:sz w:val="24"/>
                <w:szCs w:val="24"/>
              </w:rPr>
            </w:pPr>
            <w:r>
              <w:rPr>
                <w:rFonts w:hint="eastAsia" w:ascii="仿宋_GB2312"/>
                <w:sz w:val="24"/>
                <w:szCs w:val="24"/>
              </w:rPr>
              <w:t>（4）代理招标的工程总承包项目（建设工程）的，中标价不足5000万的得2分，5000万元以上不足1亿元的项目每个得3分，1亿元以上不足5亿元的项目每个得4分，5亿元以上的项目每个得5分；</w:t>
            </w:r>
          </w:p>
          <w:p>
            <w:pPr>
              <w:snapToGrid w:val="0"/>
              <w:spacing w:line="300" w:lineRule="exact"/>
              <w:ind w:firstLine="472" w:firstLineChars="200"/>
              <w:rPr>
                <w:rFonts w:ascii="仿宋_GB2312"/>
                <w:sz w:val="24"/>
                <w:szCs w:val="24"/>
              </w:rPr>
            </w:pPr>
            <w:r>
              <w:rPr>
                <w:rFonts w:hint="eastAsia" w:ascii="仿宋_GB2312"/>
                <w:sz w:val="24"/>
                <w:szCs w:val="24"/>
              </w:rPr>
              <w:t>（5）小额工程每个得0.5分（最高得</w:t>
            </w:r>
            <w:r>
              <w:rPr>
                <w:rFonts w:hint="eastAsia" w:ascii="仿宋_GB2312"/>
                <w:sz w:val="24"/>
                <w:szCs w:val="24"/>
                <w:lang w:val="en-US" w:eastAsia="zh-CN"/>
              </w:rPr>
              <w:t>10</w:t>
            </w:r>
            <w:r>
              <w:rPr>
                <w:rFonts w:hint="eastAsia" w:ascii="仿宋_GB2312"/>
                <w:sz w:val="24"/>
                <w:szCs w:val="24"/>
              </w:rPr>
              <w:t>分）。</w:t>
            </w:r>
          </w:p>
          <w:p>
            <w:pPr>
              <w:snapToGrid w:val="0"/>
              <w:spacing w:line="320" w:lineRule="exact"/>
              <w:ind w:firstLine="472" w:firstLineChars="200"/>
              <w:rPr>
                <w:rFonts w:ascii="仿宋_GB2312"/>
                <w:sz w:val="24"/>
              </w:rPr>
            </w:pPr>
            <w:r>
              <w:rPr>
                <w:rFonts w:hint="eastAsia" w:ascii="仿宋_GB2312"/>
                <w:sz w:val="24"/>
              </w:rPr>
              <w:t>本项累计得分不超过2</w:t>
            </w:r>
            <w:r>
              <w:rPr>
                <w:rFonts w:hint="eastAsia" w:ascii="仿宋_GB2312"/>
                <w:sz w:val="24"/>
                <w:lang w:val="en-US" w:eastAsia="zh-CN"/>
              </w:rPr>
              <w:t>6</w:t>
            </w:r>
            <w:r>
              <w:rPr>
                <w:rFonts w:hint="eastAsia" w:ascii="仿宋_GB2312"/>
                <w:sz w:val="24"/>
              </w:rPr>
              <w:t>分。</w:t>
            </w:r>
          </w:p>
        </w:tc>
        <w:tc>
          <w:tcPr>
            <w:tcW w:w="793" w:type="dxa"/>
            <w:tcBorders>
              <w:top w:val="single" w:color="auto" w:sz="4" w:space="0"/>
              <w:left w:val="nil"/>
              <w:bottom w:val="single" w:color="auto" w:sz="4" w:space="0"/>
              <w:right w:val="single" w:color="auto" w:sz="4" w:space="0"/>
            </w:tcBorders>
            <w:vAlign w:val="center"/>
          </w:tcPr>
          <w:p>
            <w:pPr>
              <w:snapToGrid w:val="0"/>
              <w:jc w:val="center"/>
              <w:rPr>
                <w:rFonts w:hint="eastAsia" w:ascii="仿宋_GB2312" w:eastAsia="仿宋_GB2312"/>
                <w:sz w:val="24"/>
                <w:lang w:eastAsia="zh-CN"/>
              </w:rPr>
            </w:pPr>
            <w:r>
              <w:rPr>
                <w:rFonts w:hint="eastAsia" w:ascii="仿宋_GB2312"/>
                <w:sz w:val="24"/>
              </w:rPr>
              <w:t>2</w:t>
            </w:r>
            <w:r>
              <w:rPr>
                <w:rFonts w:hint="eastAsia" w:ascii="仿宋_GB2312"/>
                <w:sz w:val="24"/>
                <w:lang w:val="en-US" w:eastAsia="zh-CN"/>
              </w:rPr>
              <w:t>6</w:t>
            </w:r>
          </w:p>
        </w:tc>
        <w:tc>
          <w:tcPr>
            <w:tcW w:w="888" w:type="dxa"/>
            <w:tcBorders>
              <w:top w:val="single" w:color="auto" w:sz="4" w:space="0"/>
              <w:left w:val="nil"/>
              <w:bottom w:val="single" w:color="auto" w:sz="4" w:space="0"/>
              <w:right w:val="single" w:color="auto" w:sz="4" w:space="0"/>
            </w:tcBorders>
            <w:vAlign w:val="center"/>
          </w:tcPr>
          <w:p>
            <w:pPr>
              <w:snapToGrid w:val="0"/>
              <w:jc w:val="center"/>
              <w:rPr>
                <w:rFonts w:ascii="仿宋_GB2312"/>
                <w:sz w:val="24"/>
              </w:rPr>
            </w:pPr>
          </w:p>
        </w:tc>
      </w:tr>
      <w:tr>
        <w:tblPrEx>
          <w:tblCellMar>
            <w:top w:w="0" w:type="dxa"/>
            <w:left w:w="108" w:type="dxa"/>
            <w:bottom w:w="0" w:type="dxa"/>
            <w:right w:w="108" w:type="dxa"/>
          </w:tblCellMar>
        </w:tblPrEx>
        <w:trPr>
          <w:trHeight w:val="90" w:hRule="atLeast"/>
        </w:trPr>
        <w:tc>
          <w:tcPr>
            <w:tcW w:w="533" w:type="dxa"/>
            <w:tcBorders>
              <w:top w:val="single" w:color="auto" w:sz="4" w:space="0"/>
              <w:left w:val="single" w:color="auto" w:sz="4" w:space="0"/>
              <w:bottom w:val="single" w:color="auto" w:sz="4" w:space="0"/>
              <w:right w:val="single" w:color="auto" w:sz="4" w:space="0"/>
            </w:tcBorders>
            <w:vAlign w:val="center"/>
          </w:tcPr>
          <w:p>
            <w:pPr>
              <w:snapToGrid w:val="0"/>
              <w:jc w:val="center"/>
              <w:rPr>
                <w:rFonts w:hint="eastAsia" w:ascii="仿宋_GB2312" w:eastAsia="仿宋_GB2312"/>
                <w:sz w:val="24"/>
                <w:lang w:eastAsia="zh-CN"/>
              </w:rPr>
            </w:pPr>
            <w:r>
              <w:rPr>
                <w:rFonts w:hint="eastAsia" w:ascii="仿宋_GB2312"/>
                <w:sz w:val="24"/>
                <w:lang w:val="en-US" w:eastAsia="zh-CN"/>
              </w:rPr>
              <w:t>4</w:t>
            </w:r>
          </w:p>
        </w:tc>
        <w:tc>
          <w:tcPr>
            <w:tcW w:w="839" w:type="dxa"/>
            <w:tcBorders>
              <w:top w:val="single" w:color="auto" w:sz="4" w:space="0"/>
              <w:left w:val="nil"/>
              <w:bottom w:val="single" w:color="auto" w:sz="4" w:space="0"/>
              <w:right w:val="single" w:color="auto" w:sz="4" w:space="0"/>
            </w:tcBorders>
            <w:vAlign w:val="center"/>
          </w:tcPr>
          <w:p>
            <w:pPr>
              <w:snapToGrid w:val="0"/>
              <w:jc w:val="center"/>
              <w:rPr>
                <w:rFonts w:ascii="仿宋_GB2312"/>
                <w:sz w:val="24"/>
              </w:rPr>
            </w:pPr>
            <w:r>
              <w:rPr>
                <w:rFonts w:hint="eastAsia" w:ascii="仿宋_GB2312"/>
                <w:sz w:val="24"/>
              </w:rPr>
              <w:t>业务建设</w:t>
            </w:r>
          </w:p>
        </w:tc>
        <w:tc>
          <w:tcPr>
            <w:tcW w:w="7082" w:type="dxa"/>
            <w:tcBorders>
              <w:top w:val="single" w:color="auto" w:sz="4" w:space="0"/>
              <w:left w:val="nil"/>
              <w:bottom w:val="single" w:color="auto" w:sz="4" w:space="0"/>
              <w:right w:val="single" w:color="auto" w:sz="4" w:space="0"/>
            </w:tcBorders>
            <w:vAlign w:val="center"/>
          </w:tcPr>
          <w:p>
            <w:pPr>
              <w:snapToGrid w:val="0"/>
              <w:spacing w:line="320" w:lineRule="exact"/>
              <w:rPr>
                <w:rFonts w:ascii="仿宋_GB2312"/>
                <w:sz w:val="24"/>
              </w:rPr>
            </w:pPr>
            <w:r>
              <w:rPr>
                <w:rFonts w:hint="eastAsia" w:ascii="仿宋_GB2312"/>
                <w:sz w:val="24"/>
                <w:lang w:val="en-US" w:eastAsia="zh-CN"/>
              </w:rPr>
              <w:t>4</w:t>
            </w:r>
            <w:r>
              <w:rPr>
                <w:rFonts w:hint="eastAsia" w:ascii="仿宋_GB2312"/>
                <w:sz w:val="24"/>
              </w:rPr>
              <w:t>.1评价内容：代理机构在代理活动过程中的业务能力建设。</w:t>
            </w:r>
          </w:p>
          <w:p>
            <w:pPr>
              <w:snapToGrid w:val="0"/>
              <w:spacing w:line="320" w:lineRule="exact"/>
              <w:rPr>
                <w:rFonts w:ascii="仿宋_GB2312"/>
                <w:sz w:val="24"/>
              </w:rPr>
            </w:pPr>
            <w:r>
              <w:rPr>
                <w:rFonts w:hint="eastAsia" w:ascii="仿宋_GB2312"/>
                <w:sz w:val="24"/>
                <w:lang w:val="en-US" w:eastAsia="zh-CN"/>
              </w:rPr>
              <w:t>4</w:t>
            </w:r>
            <w:r>
              <w:rPr>
                <w:rFonts w:hint="eastAsia" w:ascii="仿宋_GB2312"/>
                <w:sz w:val="24"/>
              </w:rPr>
              <w:t xml:space="preserve">.2评价标准： </w:t>
            </w:r>
          </w:p>
          <w:p>
            <w:pPr>
              <w:snapToGrid w:val="0"/>
              <w:spacing w:line="320" w:lineRule="exact"/>
              <w:ind w:firstLine="472" w:firstLineChars="200"/>
              <w:rPr>
                <w:rFonts w:ascii="仿宋_GB2312"/>
                <w:sz w:val="24"/>
              </w:rPr>
            </w:pPr>
            <w:r>
              <w:rPr>
                <w:rFonts w:hint="eastAsia" w:ascii="仿宋_GB2312"/>
                <w:sz w:val="24"/>
              </w:rPr>
              <w:t>（</w:t>
            </w:r>
            <w:r>
              <w:rPr>
                <w:rFonts w:hint="eastAsia" w:ascii="仿宋_GB2312"/>
                <w:sz w:val="24"/>
                <w:lang w:val="en-US" w:eastAsia="zh-CN"/>
              </w:rPr>
              <w:t>1</w:t>
            </w:r>
            <w:r>
              <w:rPr>
                <w:rFonts w:hint="eastAsia" w:ascii="仿宋_GB2312"/>
                <w:sz w:val="24"/>
              </w:rPr>
              <w:t xml:space="preserve">）发生下列情形的，每次扣 4 分： </w:t>
            </w:r>
          </w:p>
          <w:p>
            <w:pPr>
              <w:snapToGrid w:val="0"/>
              <w:spacing w:line="320" w:lineRule="exact"/>
              <w:ind w:firstLine="472" w:firstLineChars="200"/>
              <w:rPr>
                <w:rFonts w:ascii="仿宋_GB2312"/>
                <w:sz w:val="24"/>
              </w:rPr>
            </w:pPr>
            <w:r>
              <w:rPr>
                <w:rFonts w:hint="eastAsia" w:ascii="仿宋_GB2312"/>
                <w:sz w:val="24"/>
              </w:rPr>
              <w:t xml:space="preserve">①招标代理原因被有效投诉的； </w:t>
            </w:r>
          </w:p>
          <w:p>
            <w:pPr>
              <w:snapToGrid w:val="0"/>
              <w:spacing w:line="320" w:lineRule="exact"/>
              <w:ind w:firstLine="472" w:firstLineChars="200"/>
              <w:rPr>
                <w:rFonts w:ascii="仿宋_GB2312"/>
                <w:sz w:val="24"/>
              </w:rPr>
            </w:pPr>
            <w:r>
              <w:rPr>
                <w:rFonts w:hint="eastAsia" w:ascii="仿宋_GB2312"/>
                <w:sz w:val="24"/>
              </w:rPr>
              <w:t xml:space="preserve">②代理项目负责人未认真履行代理职责，造成严重影响的； </w:t>
            </w:r>
          </w:p>
          <w:p>
            <w:pPr>
              <w:snapToGrid w:val="0"/>
              <w:spacing w:line="320" w:lineRule="exact"/>
              <w:ind w:firstLine="472" w:firstLineChars="200"/>
              <w:rPr>
                <w:rFonts w:ascii="仿宋_GB2312"/>
                <w:sz w:val="24"/>
              </w:rPr>
            </w:pPr>
            <w:r>
              <w:rPr>
                <w:rFonts w:hint="eastAsia" w:ascii="仿宋_GB2312"/>
                <w:sz w:val="24"/>
              </w:rPr>
              <w:t xml:space="preserve">③拒绝配合建设主管部门依法检查和行政调查的； </w:t>
            </w:r>
          </w:p>
          <w:p>
            <w:pPr>
              <w:snapToGrid w:val="0"/>
              <w:spacing w:line="320" w:lineRule="exact"/>
              <w:ind w:firstLine="472" w:firstLineChars="200"/>
              <w:rPr>
                <w:rFonts w:ascii="仿宋_GB2312"/>
                <w:sz w:val="24"/>
              </w:rPr>
            </w:pPr>
            <w:r>
              <w:rPr>
                <w:rFonts w:hint="eastAsia" w:ascii="仿宋_GB2312"/>
                <w:sz w:val="24"/>
              </w:rPr>
              <w:t xml:space="preserve">④无正当理由不履行或者拒绝履行代理合同的； </w:t>
            </w:r>
          </w:p>
          <w:p>
            <w:pPr>
              <w:snapToGrid w:val="0"/>
              <w:spacing w:line="320" w:lineRule="exact"/>
              <w:ind w:firstLine="472" w:firstLineChars="200"/>
              <w:rPr>
                <w:rFonts w:ascii="仿宋_GB2312"/>
                <w:sz w:val="24"/>
              </w:rPr>
            </w:pPr>
            <w:r>
              <w:rPr>
                <w:rFonts w:hint="eastAsia" w:ascii="仿宋_GB2312"/>
                <w:sz w:val="24"/>
              </w:rPr>
              <w:t xml:space="preserve">⑤代理项目负责人在项目前期对接（与招标监管机构）（如有）， </w:t>
            </w:r>
          </w:p>
          <w:p>
            <w:pPr>
              <w:snapToGrid w:val="0"/>
              <w:spacing w:line="320" w:lineRule="exact"/>
              <w:ind w:firstLine="472" w:firstLineChars="200"/>
              <w:rPr>
                <w:rFonts w:ascii="仿宋_GB2312"/>
                <w:sz w:val="24"/>
              </w:rPr>
            </w:pPr>
            <w:r>
              <w:rPr>
                <w:rFonts w:hint="eastAsia" w:ascii="仿宋_GB2312"/>
                <w:sz w:val="24"/>
              </w:rPr>
              <w:t xml:space="preserve">未到位的； </w:t>
            </w:r>
          </w:p>
          <w:p>
            <w:pPr>
              <w:snapToGrid w:val="0"/>
              <w:spacing w:line="320" w:lineRule="exact"/>
              <w:ind w:firstLine="472" w:firstLineChars="200"/>
              <w:rPr>
                <w:rFonts w:ascii="仿宋_GB2312"/>
                <w:sz w:val="24"/>
              </w:rPr>
            </w:pPr>
            <w:r>
              <w:rPr>
                <w:rFonts w:hint="eastAsia" w:ascii="仿宋_GB2312"/>
                <w:sz w:val="24"/>
              </w:rPr>
              <w:t xml:space="preserve">⑥代理项目负责人在项目开评标时未到位的； </w:t>
            </w:r>
          </w:p>
          <w:p>
            <w:pPr>
              <w:snapToGrid w:val="0"/>
              <w:spacing w:line="320" w:lineRule="exact"/>
              <w:ind w:firstLine="472" w:firstLineChars="200"/>
              <w:rPr>
                <w:rFonts w:ascii="仿宋_GB2312"/>
                <w:sz w:val="24"/>
              </w:rPr>
            </w:pPr>
            <w:r>
              <w:rPr>
                <w:rFonts w:hint="eastAsia" w:ascii="仿宋_GB2312"/>
                <w:sz w:val="24"/>
              </w:rPr>
              <w:t>⑦</w:t>
            </w:r>
            <w:r>
              <w:rPr>
                <w:rFonts w:hint="eastAsia" w:ascii="仿宋_GB2312"/>
                <w:sz w:val="24"/>
                <w:lang w:eastAsia="zh-CN"/>
              </w:rPr>
              <w:t>近三年内代理机构被主管部门通报批评的</w:t>
            </w:r>
            <w:r>
              <w:rPr>
                <w:rFonts w:hint="eastAsia" w:ascii="仿宋_GB2312"/>
                <w:sz w:val="24"/>
              </w:rPr>
              <w:t xml:space="preserve">；  </w:t>
            </w:r>
          </w:p>
          <w:p>
            <w:pPr>
              <w:snapToGrid w:val="0"/>
              <w:spacing w:line="320" w:lineRule="exact"/>
              <w:ind w:firstLine="472" w:firstLineChars="200"/>
              <w:rPr>
                <w:rFonts w:ascii="仿宋_GB2312"/>
                <w:sz w:val="24"/>
              </w:rPr>
            </w:pPr>
            <w:r>
              <w:rPr>
                <w:rFonts w:hint="eastAsia" w:ascii="仿宋_GB2312"/>
                <w:sz w:val="24"/>
              </w:rPr>
              <w:t>（</w:t>
            </w:r>
            <w:r>
              <w:rPr>
                <w:rFonts w:hint="eastAsia" w:ascii="仿宋_GB2312"/>
                <w:sz w:val="24"/>
                <w:lang w:val="en-US" w:eastAsia="zh-CN"/>
              </w:rPr>
              <w:t>2</w:t>
            </w:r>
            <w:r>
              <w:rPr>
                <w:rFonts w:hint="eastAsia" w:ascii="仿宋_GB2312"/>
                <w:sz w:val="24"/>
              </w:rPr>
              <w:t xml:space="preserve">）发生下列情形的，每次扣 3 分： </w:t>
            </w:r>
          </w:p>
          <w:p>
            <w:pPr>
              <w:snapToGrid w:val="0"/>
              <w:spacing w:line="320" w:lineRule="exact"/>
              <w:ind w:firstLine="472" w:firstLineChars="200"/>
              <w:rPr>
                <w:rFonts w:ascii="仿宋_GB2312"/>
                <w:sz w:val="24"/>
              </w:rPr>
            </w:pPr>
            <w:r>
              <w:rPr>
                <w:rFonts w:hint="eastAsia" w:ascii="仿宋_GB2312"/>
                <w:sz w:val="24"/>
              </w:rPr>
              <w:t xml:space="preserve">①因代理原因造成同一招标文件补正2次以上的； </w:t>
            </w:r>
          </w:p>
          <w:p>
            <w:pPr>
              <w:snapToGrid w:val="0"/>
              <w:spacing w:line="320" w:lineRule="exact"/>
              <w:ind w:firstLine="472" w:firstLineChars="200"/>
              <w:rPr>
                <w:rFonts w:ascii="仿宋_GB2312"/>
                <w:sz w:val="24"/>
              </w:rPr>
            </w:pPr>
            <w:r>
              <w:rPr>
                <w:rFonts w:hint="eastAsia" w:ascii="仿宋_GB2312"/>
                <w:sz w:val="24"/>
              </w:rPr>
              <w:t xml:space="preserve">②未按照规定办理备案、公示手续的； </w:t>
            </w:r>
          </w:p>
          <w:p>
            <w:pPr>
              <w:snapToGrid w:val="0"/>
              <w:spacing w:line="320" w:lineRule="exact"/>
              <w:ind w:firstLine="472" w:firstLineChars="200"/>
              <w:rPr>
                <w:rFonts w:ascii="仿宋_GB2312"/>
                <w:sz w:val="24"/>
              </w:rPr>
            </w:pPr>
            <w:r>
              <w:rPr>
                <w:rFonts w:hint="eastAsia" w:ascii="仿宋_GB2312"/>
                <w:sz w:val="24"/>
              </w:rPr>
              <w:t xml:space="preserve">③对各类质疑、投诉处理不当或者不配合处理的； </w:t>
            </w:r>
          </w:p>
          <w:p>
            <w:pPr>
              <w:snapToGrid w:val="0"/>
              <w:spacing w:line="320" w:lineRule="exact"/>
              <w:ind w:firstLine="472" w:firstLineChars="200"/>
              <w:rPr>
                <w:rFonts w:ascii="仿宋_GB2312"/>
                <w:sz w:val="24"/>
              </w:rPr>
            </w:pPr>
            <w:r>
              <w:rPr>
                <w:rFonts w:hint="eastAsia" w:ascii="仿宋_GB2312"/>
                <w:sz w:val="24"/>
              </w:rPr>
              <w:t xml:space="preserve">④未按照规定发布招标公告或者投标邀请书的； </w:t>
            </w:r>
          </w:p>
          <w:p>
            <w:pPr>
              <w:snapToGrid w:val="0"/>
              <w:spacing w:line="320" w:lineRule="exact"/>
              <w:ind w:firstLine="472" w:firstLineChars="200"/>
              <w:rPr>
                <w:rFonts w:ascii="仿宋_GB2312"/>
                <w:sz w:val="24"/>
              </w:rPr>
            </w:pPr>
            <w:r>
              <w:rPr>
                <w:rFonts w:hint="eastAsia" w:ascii="仿宋_GB2312"/>
                <w:sz w:val="24"/>
              </w:rPr>
              <w:t xml:space="preserve">⑤资格预审文件、招标文件未按照要求编制且未提前说明的； </w:t>
            </w:r>
          </w:p>
          <w:p>
            <w:pPr>
              <w:snapToGrid w:val="0"/>
              <w:spacing w:line="320" w:lineRule="exact"/>
              <w:ind w:firstLine="472" w:firstLineChars="200"/>
              <w:rPr>
                <w:rFonts w:ascii="仿宋_GB2312"/>
                <w:sz w:val="24"/>
              </w:rPr>
            </w:pPr>
            <w:r>
              <w:rPr>
                <w:rFonts w:hint="eastAsia" w:ascii="仿宋_GB2312"/>
                <w:sz w:val="24"/>
              </w:rPr>
              <w:t xml:space="preserve">⑥未按照规定的评标程序与要求组织评标的； </w:t>
            </w:r>
          </w:p>
          <w:p>
            <w:pPr>
              <w:snapToGrid w:val="0"/>
              <w:spacing w:line="320" w:lineRule="exact"/>
              <w:ind w:firstLine="472" w:firstLineChars="200"/>
              <w:rPr>
                <w:rFonts w:ascii="仿宋_GB2312"/>
                <w:sz w:val="24"/>
              </w:rPr>
            </w:pPr>
            <w:r>
              <w:rPr>
                <w:rFonts w:hint="eastAsia" w:ascii="仿宋_GB2312"/>
                <w:sz w:val="24"/>
              </w:rPr>
              <w:t xml:space="preserve">⑦未按照规定使用招标文件示范文本的； </w:t>
            </w:r>
          </w:p>
          <w:p>
            <w:pPr>
              <w:snapToGrid w:val="0"/>
              <w:spacing w:line="320" w:lineRule="exact"/>
              <w:ind w:firstLine="472" w:firstLineChars="200"/>
              <w:rPr>
                <w:rFonts w:ascii="仿宋_GB2312"/>
                <w:sz w:val="24"/>
              </w:rPr>
            </w:pPr>
            <w:r>
              <w:rPr>
                <w:rFonts w:hint="eastAsia" w:ascii="仿宋_GB2312"/>
                <w:sz w:val="24"/>
              </w:rPr>
              <w:t>（</w:t>
            </w:r>
            <w:r>
              <w:rPr>
                <w:rFonts w:hint="eastAsia" w:ascii="仿宋_GB2312"/>
                <w:sz w:val="24"/>
                <w:lang w:val="en-US" w:eastAsia="zh-CN"/>
              </w:rPr>
              <w:t>3</w:t>
            </w:r>
            <w:r>
              <w:rPr>
                <w:rFonts w:hint="eastAsia" w:ascii="仿宋_GB2312"/>
                <w:sz w:val="24"/>
              </w:rPr>
              <w:t xml:space="preserve">）发生下列情形的，每次扣 2 分： </w:t>
            </w:r>
          </w:p>
          <w:p>
            <w:pPr>
              <w:snapToGrid w:val="0"/>
              <w:spacing w:line="320" w:lineRule="exact"/>
              <w:ind w:firstLine="472" w:firstLineChars="200"/>
              <w:rPr>
                <w:rFonts w:ascii="仿宋_GB2312"/>
                <w:sz w:val="24"/>
              </w:rPr>
            </w:pPr>
            <w:r>
              <w:rPr>
                <w:rFonts w:hint="eastAsia" w:ascii="仿宋_GB2312"/>
                <w:sz w:val="24"/>
              </w:rPr>
              <w:t xml:space="preserve">①错收其他招标项目投标文件的； </w:t>
            </w:r>
          </w:p>
          <w:p>
            <w:pPr>
              <w:snapToGrid w:val="0"/>
              <w:spacing w:line="320" w:lineRule="exact"/>
              <w:ind w:firstLine="472" w:firstLineChars="200"/>
              <w:rPr>
                <w:rFonts w:ascii="仿宋_GB2312"/>
                <w:sz w:val="24"/>
              </w:rPr>
            </w:pPr>
            <w:r>
              <w:rPr>
                <w:rFonts w:hint="eastAsia" w:ascii="仿宋_GB2312"/>
                <w:sz w:val="24"/>
              </w:rPr>
              <w:t xml:space="preserve">②未妥善保存招投标活动中形成的有关文件、资料，或者有关行政监督部门调阅时拒绝提供的； </w:t>
            </w:r>
          </w:p>
          <w:p>
            <w:pPr>
              <w:snapToGrid w:val="0"/>
              <w:spacing w:line="320" w:lineRule="exact"/>
              <w:ind w:firstLine="472" w:firstLineChars="200"/>
              <w:rPr>
                <w:rFonts w:ascii="仿宋_GB2312"/>
                <w:sz w:val="24"/>
              </w:rPr>
            </w:pPr>
            <w:r>
              <w:rPr>
                <w:rFonts w:hint="eastAsia" w:ascii="仿宋_GB2312"/>
                <w:sz w:val="24"/>
              </w:rPr>
              <w:t xml:space="preserve">③擅自收取资格预审文件、招标文件费用的； </w:t>
            </w:r>
          </w:p>
          <w:p>
            <w:pPr>
              <w:snapToGrid w:val="0"/>
              <w:spacing w:line="320" w:lineRule="exact"/>
              <w:ind w:firstLine="472" w:firstLineChars="200"/>
              <w:rPr>
                <w:rFonts w:ascii="仿宋_GB2312"/>
                <w:sz w:val="24"/>
              </w:rPr>
            </w:pPr>
            <w:r>
              <w:rPr>
                <w:rFonts w:hint="eastAsia" w:ascii="仿宋_GB2312"/>
                <w:sz w:val="24"/>
              </w:rPr>
              <w:t xml:space="preserve">④服务态度生硬，与服务对象发生争吵的； </w:t>
            </w:r>
          </w:p>
          <w:p>
            <w:pPr>
              <w:snapToGrid w:val="0"/>
              <w:spacing w:line="320" w:lineRule="exact"/>
              <w:ind w:firstLine="472" w:firstLineChars="200"/>
              <w:rPr>
                <w:rFonts w:ascii="仿宋_GB2312"/>
                <w:sz w:val="24"/>
              </w:rPr>
            </w:pPr>
            <w:r>
              <w:rPr>
                <w:rFonts w:hint="eastAsia" w:ascii="仿宋_GB2312"/>
                <w:sz w:val="24"/>
              </w:rPr>
              <w:t xml:space="preserve">⑤要求投标人支付应由代理机构或者招标人负担的任何费用的； </w:t>
            </w:r>
          </w:p>
          <w:p>
            <w:pPr>
              <w:snapToGrid w:val="0"/>
              <w:spacing w:line="320" w:lineRule="exact"/>
              <w:ind w:firstLine="472" w:firstLineChars="200"/>
              <w:rPr>
                <w:rFonts w:ascii="仿宋_GB2312"/>
                <w:sz w:val="24"/>
              </w:rPr>
            </w:pPr>
            <w:r>
              <w:rPr>
                <w:rFonts w:hint="eastAsia" w:ascii="仿宋_GB2312"/>
                <w:sz w:val="24"/>
              </w:rPr>
              <w:t xml:space="preserve">⑥未按照相关规定检查投标文件的密封情况； </w:t>
            </w:r>
          </w:p>
          <w:p>
            <w:pPr>
              <w:snapToGrid w:val="0"/>
              <w:spacing w:line="320" w:lineRule="exact"/>
              <w:ind w:firstLine="472" w:firstLineChars="200"/>
              <w:rPr>
                <w:rFonts w:ascii="仿宋_GB2312"/>
                <w:sz w:val="24"/>
              </w:rPr>
            </w:pPr>
            <w:r>
              <w:rPr>
                <w:rFonts w:hint="eastAsia" w:ascii="仿宋_GB2312"/>
                <w:sz w:val="24"/>
              </w:rPr>
              <w:t xml:space="preserve">⑦未对收到的所有投标文件当众予以拆封、宣读的； </w:t>
            </w:r>
          </w:p>
          <w:p>
            <w:pPr>
              <w:snapToGrid w:val="0"/>
              <w:spacing w:line="320" w:lineRule="exact"/>
              <w:ind w:firstLine="472" w:firstLineChars="200"/>
              <w:rPr>
                <w:rFonts w:ascii="仿宋_GB2312"/>
                <w:sz w:val="24"/>
              </w:rPr>
            </w:pPr>
            <w:r>
              <w:rPr>
                <w:rFonts w:hint="eastAsia" w:ascii="仿宋_GB2312"/>
                <w:sz w:val="24"/>
              </w:rPr>
              <w:t xml:space="preserve">⑧未将清点的原件份数与投标人逐一确认的； </w:t>
            </w:r>
          </w:p>
          <w:p>
            <w:pPr>
              <w:snapToGrid w:val="0"/>
              <w:spacing w:line="320" w:lineRule="exact"/>
              <w:ind w:firstLine="472" w:firstLineChars="200"/>
              <w:rPr>
                <w:rFonts w:ascii="仿宋_GB2312"/>
                <w:sz w:val="24"/>
              </w:rPr>
            </w:pPr>
            <w:r>
              <w:rPr>
                <w:rFonts w:hint="eastAsia" w:ascii="仿宋_GB2312"/>
                <w:sz w:val="24"/>
              </w:rPr>
              <w:t xml:space="preserve">⑨未向评标委员会宣布评标纪律的； </w:t>
            </w:r>
          </w:p>
          <w:p>
            <w:pPr>
              <w:snapToGrid w:val="0"/>
              <w:spacing w:line="320" w:lineRule="exact"/>
              <w:ind w:firstLine="472" w:firstLineChars="200"/>
              <w:rPr>
                <w:rFonts w:ascii="仿宋_GB2312"/>
                <w:sz w:val="24"/>
              </w:rPr>
            </w:pPr>
            <w:r>
              <w:rPr>
                <w:rFonts w:hint="eastAsia" w:ascii="仿宋_GB2312"/>
                <w:sz w:val="24"/>
              </w:rPr>
              <w:t xml:space="preserve">⑩未提醒评标委员会成员存在应当回避的情形； </w:t>
            </w:r>
          </w:p>
          <w:p>
            <w:pPr>
              <w:snapToGrid w:val="0"/>
              <w:spacing w:line="320" w:lineRule="exact"/>
              <w:ind w:firstLine="472" w:firstLineChars="200"/>
              <w:rPr>
                <w:rFonts w:ascii="仿宋_GB2312"/>
                <w:sz w:val="24"/>
              </w:rPr>
            </w:pPr>
            <w:r>
              <w:rPr>
                <w:rFonts w:hint="eastAsia" w:ascii="仿宋_GB2312"/>
                <w:sz w:val="24"/>
              </w:rPr>
              <w:t>⑪携带手机</w:t>
            </w:r>
            <w:r>
              <w:rPr>
                <w:rFonts w:hint="eastAsia" w:ascii="仿宋_GB2312"/>
                <w:sz w:val="24"/>
                <w:lang w:eastAsia="zh-CN"/>
              </w:rPr>
              <w:t>或未收缴其余人员手机</w:t>
            </w:r>
            <w:r>
              <w:rPr>
                <w:rFonts w:hint="eastAsia" w:ascii="仿宋_GB2312"/>
                <w:sz w:val="24"/>
              </w:rPr>
              <w:t xml:space="preserve">进入评标区的； </w:t>
            </w:r>
          </w:p>
          <w:p>
            <w:pPr>
              <w:snapToGrid w:val="0"/>
              <w:spacing w:line="320" w:lineRule="exact"/>
              <w:ind w:firstLine="472" w:firstLineChars="200"/>
              <w:rPr>
                <w:rFonts w:ascii="仿宋_GB2312"/>
                <w:sz w:val="24"/>
              </w:rPr>
            </w:pPr>
            <w:r>
              <w:rPr>
                <w:rFonts w:hint="eastAsia" w:ascii="仿宋_GB2312"/>
                <w:sz w:val="24"/>
              </w:rPr>
              <w:t>⑫代理项目负责人未认真履行代理职责，造成不良影响的。</w:t>
            </w:r>
          </w:p>
          <w:p>
            <w:pPr>
              <w:snapToGrid w:val="0"/>
              <w:spacing w:line="320" w:lineRule="exact"/>
              <w:ind w:firstLine="472" w:firstLineChars="200"/>
              <w:rPr>
                <w:rFonts w:ascii="仿宋_GB2312"/>
                <w:sz w:val="24"/>
              </w:rPr>
            </w:pPr>
            <w:r>
              <w:rPr>
                <w:rFonts w:hint="eastAsia" w:ascii="仿宋_GB2312"/>
                <w:sz w:val="24"/>
              </w:rPr>
              <w:t>本项满分</w:t>
            </w:r>
            <w:r>
              <w:rPr>
                <w:rFonts w:hint="eastAsia" w:ascii="仿宋_GB2312"/>
                <w:sz w:val="24"/>
                <w:lang w:val="en-US" w:eastAsia="zh-CN"/>
              </w:rPr>
              <w:t>20</w:t>
            </w:r>
            <w:r>
              <w:rPr>
                <w:rFonts w:hint="eastAsia" w:ascii="仿宋_GB2312"/>
                <w:sz w:val="24"/>
              </w:rPr>
              <w:t>分。扣完为止。</w:t>
            </w:r>
            <w:r>
              <w:rPr>
                <w:rFonts w:hint="eastAsia" w:ascii="仿宋_GB2312"/>
                <w:color w:val="FF0000"/>
                <w:sz w:val="24"/>
                <w:szCs w:val="24"/>
              </w:rPr>
              <w:t>本年度内没有业绩的，本项得基本分</w:t>
            </w:r>
            <w:r>
              <w:rPr>
                <w:rFonts w:hint="eastAsia" w:ascii="仿宋_GB2312"/>
                <w:color w:val="FF0000"/>
                <w:sz w:val="24"/>
                <w:szCs w:val="24"/>
                <w:lang w:val="en-US" w:eastAsia="zh-CN"/>
              </w:rPr>
              <w:t>1</w:t>
            </w:r>
            <w:r>
              <w:rPr>
                <w:rFonts w:hint="eastAsia" w:ascii="仿宋_GB2312"/>
                <w:color w:val="FF0000"/>
                <w:sz w:val="24"/>
                <w:szCs w:val="24"/>
              </w:rPr>
              <w:t>5分。</w:t>
            </w:r>
          </w:p>
        </w:tc>
        <w:tc>
          <w:tcPr>
            <w:tcW w:w="793" w:type="dxa"/>
            <w:tcBorders>
              <w:top w:val="single" w:color="auto" w:sz="4" w:space="0"/>
              <w:left w:val="nil"/>
              <w:bottom w:val="single" w:color="auto" w:sz="4" w:space="0"/>
              <w:right w:val="single" w:color="auto" w:sz="4" w:space="0"/>
            </w:tcBorders>
            <w:vAlign w:val="center"/>
          </w:tcPr>
          <w:p>
            <w:pPr>
              <w:snapToGrid w:val="0"/>
              <w:jc w:val="center"/>
              <w:rPr>
                <w:rFonts w:hint="default" w:ascii="仿宋_GB2312" w:eastAsia="仿宋_GB2312"/>
                <w:sz w:val="24"/>
                <w:lang w:val="en-US" w:eastAsia="zh-CN"/>
              </w:rPr>
            </w:pPr>
            <w:r>
              <w:rPr>
                <w:rFonts w:hint="eastAsia" w:ascii="仿宋_GB2312"/>
                <w:sz w:val="24"/>
                <w:lang w:val="en-US" w:eastAsia="zh-CN"/>
              </w:rPr>
              <w:t>20</w:t>
            </w:r>
          </w:p>
        </w:tc>
        <w:tc>
          <w:tcPr>
            <w:tcW w:w="888" w:type="dxa"/>
            <w:tcBorders>
              <w:top w:val="single" w:color="auto" w:sz="4" w:space="0"/>
              <w:left w:val="nil"/>
              <w:bottom w:val="single" w:color="auto" w:sz="4" w:space="0"/>
              <w:right w:val="single" w:color="auto" w:sz="4" w:space="0"/>
            </w:tcBorders>
            <w:vAlign w:val="center"/>
          </w:tcPr>
          <w:p>
            <w:pPr>
              <w:snapToGrid w:val="0"/>
              <w:jc w:val="center"/>
              <w:rPr>
                <w:rFonts w:ascii="仿宋_GB2312"/>
                <w:sz w:val="24"/>
              </w:rPr>
            </w:pPr>
          </w:p>
        </w:tc>
      </w:tr>
      <w:tr>
        <w:tblPrEx>
          <w:tblCellMar>
            <w:top w:w="0" w:type="dxa"/>
            <w:left w:w="108" w:type="dxa"/>
            <w:bottom w:w="0" w:type="dxa"/>
            <w:right w:w="108" w:type="dxa"/>
          </w:tblCellMar>
        </w:tblPrEx>
        <w:trPr>
          <w:trHeight w:val="455" w:hRule="atLeast"/>
        </w:trPr>
        <w:tc>
          <w:tcPr>
            <w:tcW w:w="533" w:type="dxa"/>
            <w:tcBorders>
              <w:top w:val="single" w:color="auto" w:sz="4" w:space="0"/>
              <w:left w:val="single" w:color="auto" w:sz="4" w:space="0"/>
              <w:bottom w:val="single" w:color="auto" w:sz="4" w:space="0"/>
              <w:right w:val="single" w:color="auto" w:sz="4" w:space="0"/>
            </w:tcBorders>
            <w:vAlign w:val="center"/>
          </w:tcPr>
          <w:p>
            <w:pPr>
              <w:snapToGrid w:val="0"/>
              <w:jc w:val="center"/>
              <w:rPr>
                <w:rFonts w:hint="eastAsia" w:ascii="仿宋_GB2312" w:eastAsia="仿宋_GB2312"/>
                <w:sz w:val="24"/>
                <w:lang w:eastAsia="zh-CN"/>
              </w:rPr>
            </w:pPr>
            <w:r>
              <w:rPr>
                <w:rFonts w:hint="eastAsia" w:ascii="仿宋_GB2312"/>
                <w:sz w:val="24"/>
                <w:lang w:val="en-US" w:eastAsia="zh-CN"/>
              </w:rPr>
              <w:t>5</w:t>
            </w:r>
          </w:p>
        </w:tc>
        <w:tc>
          <w:tcPr>
            <w:tcW w:w="839" w:type="dxa"/>
            <w:tcBorders>
              <w:top w:val="single" w:color="auto" w:sz="4" w:space="0"/>
              <w:left w:val="nil"/>
              <w:bottom w:val="single" w:color="auto" w:sz="4" w:space="0"/>
              <w:right w:val="single" w:color="auto" w:sz="4" w:space="0"/>
            </w:tcBorders>
            <w:vAlign w:val="center"/>
          </w:tcPr>
          <w:p>
            <w:pPr>
              <w:snapToGrid w:val="0"/>
              <w:jc w:val="center"/>
              <w:rPr>
                <w:rFonts w:ascii="仿宋_GB2312"/>
                <w:sz w:val="24"/>
              </w:rPr>
            </w:pPr>
            <w:r>
              <w:rPr>
                <w:rFonts w:hint="eastAsia" w:ascii="仿宋_GB2312"/>
                <w:sz w:val="24"/>
              </w:rPr>
              <w:t>系统操作</w:t>
            </w:r>
          </w:p>
        </w:tc>
        <w:tc>
          <w:tcPr>
            <w:tcW w:w="7082" w:type="dxa"/>
            <w:tcBorders>
              <w:top w:val="single" w:color="auto" w:sz="4" w:space="0"/>
              <w:left w:val="nil"/>
              <w:bottom w:val="single" w:color="auto" w:sz="4" w:space="0"/>
              <w:right w:val="single" w:color="auto" w:sz="4" w:space="0"/>
            </w:tcBorders>
          </w:tcPr>
          <w:p>
            <w:pPr>
              <w:snapToGrid w:val="0"/>
              <w:spacing w:line="320" w:lineRule="exact"/>
              <w:rPr>
                <w:rFonts w:ascii="仿宋_GB2312"/>
                <w:sz w:val="24"/>
              </w:rPr>
            </w:pPr>
            <w:r>
              <w:rPr>
                <w:rFonts w:hint="eastAsia" w:ascii="仿宋_GB2312"/>
                <w:sz w:val="24"/>
                <w:lang w:val="en-US" w:eastAsia="zh-CN"/>
              </w:rPr>
              <w:t>5</w:t>
            </w:r>
            <w:r>
              <w:rPr>
                <w:rFonts w:hint="eastAsia" w:ascii="仿宋_GB2312"/>
                <w:sz w:val="24"/>
              </w:rPr>
              <w:t>.1评价内容：各招标代理机构系统操作</w:t>
            </w:r>
          </w:p>
          <w:p>
            <w:pPr>
              <w:snapToGrid w:val="0"/>
              <w:spacing w:line="320" w:lineRule="exact"/>
              <w:rPr>
                <w:rFonts w:ascii="仿宋_GB2312"/>
                <w:sz w:val="24"/>
              </w:rPr>
            </w:pPr>
            <w:r>
              <w:rPr>
                <w:rFonts w:hint="eastAsia" w:ascii="仿宋_GB2312"/>
                <w:sz w:val="24"/>
                <w:lang w:val="en-US" w:eastAsia="zh-CN"/>
              </w:rPr>
              <w:t>5</w:t>
            </w:r>
            <w:r>
              <w:rPr>
                <w:rFonts w:hint="eastAsia" w:ascii="仿宋_GB2312"/>
                <w:sz w:val="24"/>
              </w:rPr>
              <w:t>.2评价方式：每家代理机构进行测试项目系统操作打分。</w:t>
            </w:r>
          </w:p>
          <w:p>
            <w:pPr>
              <w:snapToGrid w:val="0"/>
              <w:spacing w:line="320" w:lineRule="exact"/>
              <w:rPr>
                <w:rFonts w:ascii="仿宋_GB2312"/>
                <w:sz w:val="24"/>
              </w:rPr>
            </w:pPr>
            <w:r>
              <w:rPr>
                <w:rFonts w:hint="eastAsia" w:ascii="仿宋_GB2312"/>
                <w:sz w:val="24"/>
                <w:lang w:val="en-US" w:eastAsia="zh-CN"/>
              </w:rPr>
              <w:t>5</w:t>
            </w:r>
            <w:r>
              <w:rPr>
                <w:rFonts w:hint="eastAsia" w:ascii="仿宋_GB2312"/>
                <w:sz w:val="24"/>
              </w:rPr>
              <w:t>.3评价标准：</w:t>
            </w:r>
          </w:p>
          <w:p>
            <w:pPr>
              <w:snapToGrid w:val="0"/>
              <w:spacing w:line="320" w:lineRule="exact"/>
              <w:ind w:firstLine="472" w:firstLineChars="200"/>
              <w:rPr>
                <w:rFonts w:ascii="仿宋_GB2312"/>
                <w:sz w:val="24"/>
              </w:rPr>
            </w:pPr>
            <w:r>
              <w:rPr>
                <w:rFonts w:hint="eastAsia" w:ascii="仿宋_GB2312"/>
                <w:sz w:val="24"/>
              </w:rPr>
              <w:t>（1）前期备案操作情况。</w:t>
            </w:r>
          </w:p>
          <w:p>
            <w:pPr>
              <w:snapToGrid w:val="0"/>
              <w:spacing w:line="320" w:lineRule="exact"/>
              <w:ind w:firstLine="472" w:firstLineChars="200"/>
              <w:rPr>
                <w:rFonts w:ascii="仿宋_GB2312"/>
                <w:sz w:val="24"/>
              </w:rPr>
            </w:pPr>
            <w:r>
              <w:rPr>
                <w:rFonts w:hint="eastAsia" w:ascii="仿宋_GB2312"/>
                <w:sz w:val="24"/>
              </w:rPr>
              <w:t>（2）开标系统操作情况。</w:t>
            </w:r>
          </w:p>
          <w:p>
            <w:pPr>
              <w:snapToGrid w:val="0"/>
              <w:spacing w:line="320" w:lineRule="exact"/>
              <w:ind w:firstLine="472" w:firstLineChars="200"/>
              <w:rPr>
                <w:rFonts w:ascii="仿宋_GB2312"/>
                <w:sz w:val="24"/>
              </w:rPr>
            </w:pPr>
            <w:r>
              <w:rPr>
                <w:rFonts w:hint="eastAsia" w:ascii="仿宋_GB2312"/>
                <w:sz w:val="24"/>
              </w:rPr>
              <w:t>（3）评标系统操作情况。</w:t>
            </w:r>
          </w:p>
          <w:p>
            <w:pPr>
              <w:snapToGrid w:val="0"/>
              <w:spacing w:line="320" w:lineRule="exact"/>
              <w:ind w:firstLine="472" w:firstLineChars="200"/>
              <w:rPr>
                <w:rFonts w:ascii="仿宋_GB2312"/>
                <w:sz w:val="24"/>
              </w:rPr>
            </w:pPr>
            <w:r>
              <w:rPr>
                <w:rFonts w:hint="eastAsia" w:ascii="仿宋_GB2312"/>
                <w:sz w:val="24"/>
              </w:rPr>
              <w:t>（4）后期系统操作情况。</w:t>
            </w:r>
          </w:p>
          <w:p>
            <w:pPr>
              <w:snapToGrid w:val="0"/>
              <w:spacing w:line="320" w:lineRule="exact"/>
              <w:ind w:firstLine="472" w:firstLineChars="200"/>
              <w:rPr>
                <w:rFonts w:ascii="仿宋_GB2312"/>
                <w:sz w:val="24"/>
              </w:rPr>
            </w:pPr>
            <w:r>
              <w:rPr>
                <w:rFonts w:hint="eastAsia" w:ascii="仿宋_GB2312"/>
                <w:sz w:val="24"/>
              </w:rPr>
              <w:t>根据各代理机构人员操作情况进行量化打分，总分</w:t>
            </w:r>
            <w:r>
              <w:rPr>
                <w:rFonts w:hint="eastAsia" w:ascii="仿宋_GB2312"/>
                <w:sz w:val="24"/>
                <w:lang w:val="en-US" w:eastAsia="zh-CN"/>
              </w:rPr>
              <w:t>8</w:t>
            </w:r>
            <w:r>
              <w:rPr>
                <w:rFonts w:hint="eastAsia" w:ascii="仿宋_GB2312"/>
                <w:sz w:val="24"/>
              </w:rPr>
              <w:t>分，扣完为止。</w:t>
            </w:r>
          </w:p>
        </w:tc>
        <w:tc>
          <w:tcPr>
            <w:tcW w:w="793" w:type="dxa"/>
            <w:tcBorders>
              <w:top w:val="single" w:color="auto" w:sz="4" w:space="0"/>
              <w:left w:val="nil"/>
              <w:bottom w:val="single" w:color="auto" w:sz="4" w:space="0"/>
              <w:right w:val="single" w:color="auto" w:sz="4" w:space="0"/>
            </w:tcBorders>
            <w:vAlign w:val="center"/>
          </w:tcPr>
          <w:p>
            <w:pPr>
              <w:snapToGrid w:val="0"/>
              <w:jc w:val="center"/>
              <w:rPr>
                <w:rFonts w:hint="default" w:ascii="仿宋_GB2312" w:eastAsia="仿宋_GB2312"/>
                <w:sz w:val="24"/>
                <w:lang w:val="en-US" w:eastAsia="zh-CN"/>
              </w:rPr>
            </w:pPr>
            <w:r>
              <w:rPr>
                <w:rFonts w:hint="eastAsia" w:ascii="仿宋_GB2312"/>
                <w:sz w:val="24"/>
                <w:lang w:val="en-US" w:eastAsia="zh-CN"/>
              </w:rPr>
              <w:t>8</w:t>
            </w:r>
          </w:p>
        </w:tc>
        <w:tc>
          <w:tcPr>
            <w:tcW w:w="888" w:type="dxa"/>
            <w:tcBorders>
              <w:top w:val="single" w:color="auto" w:sz="4" w:space="0"/>
              <w:left w:val="nil"/>
              <w:bottom w:val="single" w:color="auto" w:sz="4" w:space="0"/>
              <w:right w:val="single" w:color="auto" w:sz="4" w:space="0"/>
            </w:tcBorders>
            <w:vAlign w:val="center"/>
          </w:tcPr>
          <w:p>
            <w:pPr>
              <w:snapToGrid w:val="0"/>
              <w:jc w:val="center"/>
              <w:rPr>
                <w:rFonts w:ascii="仿宋_GB2312"/>
                <w:sz w:val="24"/>
              </w:rPr>
            </w:pPr>
          </w:p>
        </w:tc>
      </w:tr>
      <w:tr>
        <w:tblPrEx>
          <w:tblCellMar>
            <w:top w:w="0" w:type="dxa"/>
            <w:left w:w="108" w:type="dxa"/>
            <w:bottom w:w="0" w:type="dxa"/>
            <w:right w:w="108" w:type="dxa"/>
          </w:tblCellMar>
        </w:tblPrEx>
        <w:trPr>
          <w:trHeight w:val="541" w:hRule="atLeast"/>
        </w:trPr>
        <w:tc>
          <w:tcPr>
            <w:tcW w:w="533" w:type="dxa"/>
            <w:tcBorders>
              <w:top w:val="single" w:color="auto" w:sz="4" w:space="0"/>
              <w:left w:val="single" w:color="auto" w:sz="4" w:space="0"/>
              <w:bottom w:val="single" w:color="auto" w:sz="4" w:space="0"/>
              <w:right w:val="single" w:color="auto" w:sz="4" w:space="0"/>
            </w:tcBorders>
            <w:vAlign w:val="center"/>
          </w:tcPr>
          <w:p>
            <w:pPr>
              <w:snapToGrid w:val="0"/>
              <w:jc w:val="center"/>
              <w:rPr>
                <w:rFonts w:ascii="仿宋_GB2312"/>
                <w:sz w:val="24"/>
              </w:rPr>
            </w:pPr>
            <w:r>
              <w:rPr>
                <w:rFonts w:hint="eastAsia" w:ascii="仿宋_GB2312"/>
                <w:sz w:val="24"/>
              </w:rPr>
              <w:t>6</w:t>
            </w:r>
          </w:p>
        </w:tc>
        <w:tc>
          <w:tcPr>
            <w:tcW w:w="839" w:type="dxa"/>
            <w:tcBorders>
              <w:top w:val="single" w:color="auto" w:sz="4" w:space="0"/>
              <w:left w:val="nil"/>
              <w:bottom w:val="single" w:color="auto" w:sz="4" w:space="0"/>
              <w:right w:val="single" w:color="auto" w:sz="4" w:space="0"/>
            </w:tcBorders>
            <w:vAlign w:val="center"/>
          </w:tcPr>
          <w:p>
            <w:pPr>
              <w:snapToGrid w:val="0"/>
              <w:jc w:val="center"/>
              <w:rPr>
                <w:rFonts w:ascii="仿宋_GB2312"/>
                <w:sz w:val="24"/>
              </w:rPr>
            </w:pPr>
            <w:r>
              <w:rPr>
                <w:rFonts w:hint="eastAsia" w:ascii="仿宋_GB2312"/>
                <w:sz w:val="24"/>
              </w:rPr>
              <w:t>社会信誉</w:t>
            </w:r>
          </w:p>
        </w:tc>
        <w:tc>
          <w:tcPr>
            <w:tcW w:w="7082" w:type="dxa"/>
            <w:tcBorders>
              <w:top w:val="single" w:color="auto" w:sz="4" w:space="0"/>
              <w:left w:val="nil"/>
              <w:bottom w:val="single" w:color="auto" w:sz="4" w:space="0"/>
              <w:right w:val="single" w:color="auto" w:sz="4" w:space="0"/>
            </w:tcBorders>
          </w:tcPr>
          <w:p>
            <w:pPr>
              <w:snapToGrid w:val="0"/>
              <w:spacing w:line="320" w:lineRule="exact"/>
              <w:rPr>
                <w:rFonts w:ascii="仿宋_GB2312"/>
                <w:sz w:val="24"/>
              </w:rPr>
            </w:pPr>
            <w:r>
              <w:rPr>
                <w:rFonts w:hint="eastAsia" w:ascii="仿宋_GB2312"/>
                <w:sz w:val="24"/>
                <w:lang w:val="en-US" w:eastAsia="zh-CN"/>
              </w:rPr>
              <w:t>6</w:t>
            </w:r>
            <w:r>
              <w:rPr>
                <w:rFonts w:hint="eastAsia" w:ascii="仿宋_GB2312"/>
                <w:sz w:val="24"/>
              </w:rPr>
              <w:t>.1评价内容：各代理机构社会信誉</w:t>
            </w:r>
          </w:p>
          <w:p>
            <w:pPr>
              <w:snapToGrid w:val="0"/>
              <w:spacing w:line="320" w:lineRule="exact"/>
              <w:rPr>
                <w:rFonts w:ascii="仿宋_GB2312"/>
                <w:sz w:val="24"/>
              </w:rPr>
            </w:pPr>
            <w:r>
              <w:rPr>
                <w:rFonts w:hint="eastAsia" w:ascii="仿宋_GB2312"/>
                <w:sz w:val="24"/>
                <w:lang w:val="en-US" w:eastAsia="zh-CN"/>
              </w:rPr>
              <w:t>6</w:t>
            </w:r>
            <w:r>
              <w:rPr>
                <w:rFonts w:hint="eastAsia" w:ascii="仿宋_GB2312"/>
                <w:sz w:val="24"/>
              </w:rPr>
              <w:t>.2评价标准</w:t>
            </w:r>
          </w:p>
          <w:p>
            <w:pPr>
              <w:snapToGrid w:val="0"/>
              <w:spacing w:line="320" w:lineRule="exact"/>
              <w:rPr>
                <w:rFonts w:ascii="仿宋_GB2312"/>
                <w:sz w:val="24"/>
              </w:rPr>
            </w:pPr>
            <w:r>
              <w:rPr>
                <w:rFonts w:hint="eastAsia" w:ascii="仿宋_GB2312"/>
                <w:sz w:val="24"/>
              </w:rPr>
              <w:t>（1）招标代理机构最近2年内获得市级及以上“优秀招标代理机构”称号的得1分（出具相关证明文件的）；</w:t>
            </w:r>
          </w:p>
          <w:p>
            <w:pPr>
              <w:snapToGrid w:val="0"/>
              <w:spacing w:line="320" w:lineRule="exact"/>
              <w:rPr>
                <w:rFonts w:ascii="仿宋_GB2312"/>
                <w:sz w:val="24"/>
              </w:rPr>
            </w:pPr>
            <w:r>
              <w:rPr>
                <w:rFonts w:hint="eastAsia" w:ascii="仿宋_GB2312"/>
                <w:sz w:val="24"/>
              </w:rPr>
              <w:t>（2）参与市、县（市、区）两级招投标相关规范性文件、招标文件示范文本的制定，得1分（出具相关证明文件的）。</w:t>
            </w:r>
          </w:p>
        </w:tc>
        <w:tc>
          <w:tcPr>
            <w:tcW w:w="793" w:type="dxa"/>
            <w:tcBorders>
              <w:top w:val="single" w:color="auto" w:sz="4" w:space="0"/>
              <w:left w:val="nil"/>
              <w:bottom w:val="single" w:color="auto" w:sz="4" w:space="0"/>
              <w:right w:val="single" w:color="auto" w:sz="4" w:space="0"/>
            </w:tcBorders>
            <w:vAlign w:val="center"/>
          </w:tcPr>
          <w:p>
            <w:pPr>
              <w:snapToGrid w:val="0"/>
              <w:jc w:val="center"/>
              <w:rPr>
                <w:rFonts w:ascii="仿宋_GB2312"/>
                <w:sz w:val="24"/>
              </w:rPr>
            </w:pPr>
            <w:r>
              <w:rPr>
                <w:rFonts w:hint="eastAsia" w:ascii="仿宋_GB2312"/>
                <w:sz w:val="24"/>
              </w:rPr>
              <w:t>2</w:t>
            </w:r>
          </w:p>
        </w:tc>
        <w:tc>
          <w:tcPr>
            <w:tcW w:w="888" w:type="dxa"/>
            <w:tcBorders>
              <w:top w:val="single" w:color="auto" w:sz="4" w:space="0"/>
              <w:left w:val="nil"/>
              <w:bottom w:val="single" w:color="auto" w:sz="4" w:space="0"/>
              <w:right w:val="single" w:color="auto" w:sz="4" w:space="0"/>
            </w:tcBorders>
            <w:vAlign w:val="center"/>
          </w:tcPr>
          <w:p>
            <w:pPr>
              <w:snapToGrid w:val="0"/>
              <w:jc w:val="center"/>
              <w:rPr>
                <w:rFonts w:ascii="仿宋_GB2312"/>
                <w:sz w:val="24"/>
              </w:rPr>
            </w:pPr>
          </w:p>
        </w:tc>
      </w:tr>
    </w:tbl>
    <w:p>
      <w:pPr>
        <w:ind w:firstLine="632"/>
        <w:jc w:val="left"/>
        <w:rPr>
          <w:rFonts w:ascii="方正小标宋简体" w:eastAsia="方正小标宋简体"/>
        </w:rPr>
      </w:pPr>
      <w:r>
        <w:rPr>
          <w:rFonts w:hint="eastAsia" w:ascii="黑体" w:hAnsi="黑体" w:eastAsia="黑体"/>
        </w:rPr>
        <w:br w:type="page"/>
      </w:r>
    </w:p>
    <w:p>
      <w:pPr>
        <w:snapToGrid w:val="0"/>
        <w:spacing w:line="600" w:lineRule="exact"/>
        <w:ind w:firstLine="632"/>
        <w:jc w:val="left"/>
        <w:rPr>
          <w:rFonts w:ascii="方正小标宋简体" w:eastAsia="方正小标宋简体"/>
        </w:rPr>
      </w:pPr>
      <w:r>
        <w:rPr>
          <w:rFonts w:hint="eastAsia" w:ascii="方正小标宋简体" w:eastAsia="方正小标宋简体"/>
        </w:rPr>
        <w:t>附件2：</w:t>
      </w:r>
    </w:p>
    <w:p>
      <w:pPr>
        <w:snapToGrid w:val="0"/>
        <w:spacing w:line="600" w:lineRule="exact"/>
        <w:ind w:firstLine="792"/>
        <w:jc w:val="center"/>
        <w:rPr>
          <w:rFonts w:ascii="华文中宋" w:hAnsi="华文中宋" w:eastAsia="华文中宋" w:cs="华文中宋"/>
          <w:bCs/>
          <w:sz w:val="40"/>
          <w:szCs w:val="40"/>
        </w:rPr>
      </w:pPr>
      <w:r>
        <w:rPr>
          <w:rFonts w:hint="eastAsia" w:ascii="华文中宋" w:hAnsi="华文中宋" w:eastAsia="华文中宋" w:cs="华文中宋"/>
          <w:bCs/>
          <w:sz w:val="40"/>
          <w:szCs w:val="40"/>
        </w:rPr>
        <w:t>三门县招标代理机构及从业人员资料汇总表</w:t>
      </w:r>
    </w:p>
    <w:p>
      <w:pPr>
        <w:snapToGrid w:val="0"/>
        <w:spacing w:line="600" w:lineRule="exact"/>
        <w:ind w:firstLine="192"/>
        <w:jc w:val="center"/>
        <w:rPr>
          <w:rFonts w:ascii="仿宋_GB2312"/>
          <w:sz w:val="10"/>
          <w:szCs w:val="10"/>
        </w:rPr>
      </w:pPr>
    </w:p>
    <w:tbl>
      <w:tblPr>
        <w:tblStyle w:val="6"/>
        <w:tblW w:w="8944" w:type="dxa"/>
        <w:jc w:val="center"/>
        <w:tblLayout w:type="fixed"/>
        <w:tblCellMar>
          <w:top w:w="0" w:type="dxa"/>
          <w:left w:w="108" w:type="dxa"/>
          <w:bottom w:w="0" w:type="dxa"/>
          <w:right w:w="108" w:type="dxa"/>
        </w:tblCellMar>
      </w:tblPr>
      <w:tblGrid>
        <w:gridCol w:w="2573"/>
        <w:gridCol w:w="1559"/>
        <w:gridCol w:w="993"/>
        <w:gridCol w:w="1618"/>
        <w:gridCol w:w="987"/>
        <w:gridCol w:w="1214"/>
      </w:tblGrid>
      <w:tr>
        <w:tblPrEx>
          <w:tblCellMar>
            <w:top w:w="0" w:type="dxa"/>
            <w:left w:w="108" w:type="dxa"/>
            <w:bottom w:w="0" w:type="dxa"/>
            <w:right w:w="108" w:type="dxa"/>
          </w:tblCellMar>
        </w:tblPrEx>
        <w:trPr>
          <w:trHeight w:val="670" w:hRule="atLeast"/>
          <w:jc w:val="center"/>
        </w:trPr>
        <w:tc>
          <w:tcPr>
            <w:tcW w:w="2573"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代理机构名称</w:t>
            </w:r>
          </w:p>
        </w:tc>
        <w:tc>
          <w:tcPr>
            <w:tcW w:w="6371" w:type="dxa"/>
            <w:gridSpan w:val="5"/>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700" w:hRule="atLeast"/>
          <w:jc w:val="center"/>
        </w:trPr>
        <w:tc>
          <w:tcPr>
            <w:tcW w:w="2573"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注册地址</w:t>
            </w:r>
          </w:p>
        </w:tc>
        <w:tc>
          <w:tcPr>
            <w:tcW w:w="6371" w:type="dxa"/>
            <w:gridSpan w:val="5"/>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670" w:hRule="atLeast"/>
          <w:jc w:val="center"/>
        </w:trPr>
        <w:tc>
          <w:tcPr>
            <w:tcW w:w="2573"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建立时间</w:t>
            </w:r>
          </w:p>
        </w:tc>
        <w:tc>
          <w:tcPr>
            <w:tcW w:w="1559"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261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注册资本金</w:t>
            </w:r>
          </w:p>
        </w:tc>
        <w:tc>
          <w:tcPr>
            <w:tcW w:w="220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655" w:hRule="atLeast"/>
          <w:jc w:val="center"/>
        </w:trPr>
        <w:tc>
          <w:tcPr>
            <w:tcW w:w="2573"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营业执照注册号</w:t>
            </w:r>
          </w:p>
        </w:tc>
        <w:tc>
          <w:tcPr>
            <w:tcW w:w="1559"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261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办公面积</w:t>
            </w:r>
          </w:p>
        </w:tc>
        <w:tc>
          <w:tcPr>
            <w:tcW w:w="220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655" w:hRule="atLeast"/>
          <w:jc w:val="center"/>
        </w:trPr>
        <w:tc>
          <w:tcPr>
            <w:tcW w:w="2573"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法定代表人</w:t>
            </w:r>
          </w:p>
          <w:p>
            <w:pPr>
              <w:snapToGrid w:val="0"/>
              <w:spacing w:line="600" w:lineRule="exact"/>
              <w:ind w:firstLine="552"/>
              <w:jc w:val="center"/>
              <w:rPr>
                <w:rFonts w:ascii="仿宋_GB2312"/>
                <w:sz w:val="28"/>
                <w:szCs w:val="28"/>
              </w:rPr>
            </w:pPr>
            <w:r>
              <w:rPr>
                <w:rFonts w:hint="eastAsia" w:ascii="仿宋_GB2312"/>
                <w:sz w:val="28"/>
                <w:szCs w:val="28"/>
              </w:rPr>
              <w:t>（主要负责人）</w:t>
            </w:r>
          </w:p>
        </w:tc>
        <w:tc>
          <w:tcPr>
            <w:tcW w:w="1559"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993"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职务</w:t>
            </w:r>
          </w:p>
        </w:tc>
        <w:tc>
          <w:tcPr>
            <w:tcW w:w="1618"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987"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职称</w:t>
            </w:r>
          </w:p>
        </w:tc>
        <w:tc>
          <w:tcPr>
            <w:tcW w:w="1214"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477" w:hRule="atLeast"/>
          <w:jc w:val="center"/>
        </w:trPr>
        <w:tc>
          <w:tcPr>
            <w:tcW w:w="2573"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办公地址</w:t>
            </w:r>
          </w:p>
        </w:tc>
        <w:tc>
          <w:tcPr>
            <w:tcW w:w="6371" w:type="dxa"/>
            <w:gridSpan w:val="5"/>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655" w:hRule="atLeast"/>
          <w:jc w:val="center"/>
        </w:trPr>
        <w:tc>
          <w:tcPr>
            <w:tcW w:w="2573"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项目负责人1</w:t>
            </w:r>
          </w:p>
        </w:tc>
        <w:tc>
          <w:tcPr>
            <w:tcW w:w="1559"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261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职称</w:t>
            </w:r>
          </w:p>
        </w:tc>
        <w:tc>
          <w:tcPr>
            <w:tcW w:w="220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655" w:hRule="atLeast"/>
          <w:jc w:val="center"/>
        </w:trPr>
        <w:tc>
          <w:tcPr>
            <w:tcW w:w="2573"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项目负责人2</w:t>
            </w:r>
          </w:p>
        </w:tc>
        <w:tc>
          <w:tcPr>
            <w:tcW w:w="1559"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261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职称</w:t>
            </w:r>
          </w:p>
        </w:tc>
        <w:tc>
          <w:tcPr>
            <w:tcW w:w="220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655" w:hRule="atLeast"/>
          <w:jc w:val="center"/>
        </w:trPr>
        <w:tc>
          <w:tcPr>
            <w:tcW w:w="2573"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w:t>
            </w:r>
          </w:p>
        </w:tc>
        <w:tc>
          <w:tcPr>
            <w:tcW w:w="1559"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261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220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655" w:hRule="atLeast"/>
          <w:jc w:val="center"/>
        </w:trPr>
        <w:tc>
          <w:tcPr>
            <w:tcW w:w="2573"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其他人员1</w:t>
            </w:r>
          </w:p>
        </w:tc>
        <w:tc>
          <w:tcPr>
            <w:tcW w:w="1559"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261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职称</w:t>
            </w:r>
          </w:p>
        </w:tc>
        <w:tc>
          <w:tcPr>
            <w:tcW w:w="220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655" w:hRule="atLeast"/>
          <w:jc w:val="center"/>
        </w:trPr>
        <w:tc>
          <w:tcPr>
            <w:tcW w:w="2573"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其他人员2</w:t>
            </w:r>
          </w:p>
        </w:tc>
        <w:tc>
          <w:tcPr>
            <w:tcW w:w="1559"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261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职称</w:t>
            </w:r>
          </w:p>
        </w:tc>
        <w:tc>
          <w:tcPr>
            <w:tcW w:w="220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655" w:hRule="atLeast"/>
          <w:jc w:val="center"/>
        </w:trPr>
        <w:tc>
          <w:tcPr>
            <w:tcW w:w="2573"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w:t>
            </w:r>
          </w:p>
        </w:tc>
        <w:tc>
          <w:tcPr>
            <w:tcW w:w="1559"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261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220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655" w:hRule="atLeast"/>
          <w:jc w:val="center"/>
        </w:trPr>
        <w:tc>
          <w:tcPr>
            <w:tcW w:w="2573"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1559"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261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2201"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bl>
    <w:p>
      <w:pPr>
        <w:snapToGrid w:val="0"/>
        <w:spacing w:line="400" w:lineRule="exact"/>
        <w:rPr>
          <w:rFonts w:ascii="仿宋_GB2312"/>
          <w:sz w:val="24"/>
        </w:rPr>
      </w:pPr>
      <w:r>
        <w:rPr>
          <w:rFonts w:hint="eastAsia" w:ascii="仿宋_GB2312"/>
          <w:sz w:val="24"/>
        </w:rPr>
        <w:t>须附营业执照副本；办公场所的房屋租赁合同或房屋产权证明。</w:t>
      </w:r>
    </w:p>
    <w:p>
      <w:pPr>
        <w:snapToGrid w:val="0"/>
        <w:spacing w:line="600" w:lineRule="exact"/>
        <w:ind w:firstLine="632"/>
        <w:jc w:val="left"/>
        <w:rPr>
          <w:rFonts w:ascii="方正小标宋简体" w:eastAsia="方正小标宋简体"/>
        </w:rPr>
      </w:pPr>
      <w:r>
        <w:rPr>
          <w:rFonts w:hint="eastAsia" w:ascii="方正小标宋简体" w:eastAsia="方正小标宋简体"/>
        </w:rPr>
        <w:t>附件3：</w:t>
      </w:r>
    </w:p>
    <w:p>
      <w:pPr>
        <w:snapToGrid w:val="0"/>
        <w:spacing w:line="600" w:lineRule="exact"/>
        <w:ind w:firstLine="792"/>
        <w:jc w:val="center"/>
        <w:rPr>
          <w:rFonts w:ascii="华文中宋" w:hAnsi="华文中宋" w:eastAsia="华文中宋" w:cs="华文中宋"/>
          <w:bCs/>
          <w:sz w:val="40"/>
          <w:szCs w:val="40"/>
        </w:rPr>
      </w:pPr>
      <w:r>
        <w:rPr>
          <w:rFonts w:hint="eastAsia" w:ascii="华文中宋" w:hAnsi="华文中宋" w:eastAsia="华文中宋" w:cs="华文中宋"/>
          <w:bCs/>
          <w:sz w:val="40"/>
          <w:szCs w:val="40"/>
        </w:rPr>
        <w:t>三门县招标代理人员基本情况表</w:t>
      </w:r>
    </w:p>
    <w:p>
      <w:pPr>
        <w:snapToGrid w:val="0"/>
        <w:spacing w:line="600" w:lineRule="exact"/>
        <w:ind w:firstLine="552"/>
        <w:rPr>
          <w:rFonts w:ascii="仿宋_GB2312"/>
          <w:sz w:val="28"/>
          <w:szCs w:val="28"/>
        </w:rPr>
      </w:pPr>
      <w:r>
        <w:rPr>
          <w:rFonts w:hint="eastAsia" w:ascii="仿宋_GB2312"/>
          <w:sz w:val="28"/>
          <w:szCs w:val="28"/>
          <w:u w:val="single"/>
        </w:rPr>
        <w:t xml:space="preserve">                  </w:t>
      </w:r>
      <w:r>
        <w:rPr>
          <w:rFonts w:hint="eastAsia" w:ascii="仿宋_GB2312"/>
          <w:sz w:val="28"/>
          <w:szCs w:val="28"/>
        </w:rPr>
        <w:t>代理单位（盖章）</w:t>
      </w:r>
    </w:p>
    <w:tbl>
      <w:tblPr>
        <w:tblStyle w:val="6"/>
        <w:tblW w:w="9077" w:type="dxa"/>
        <w:jc w:val="center"/>
        <w:tblLayout w:type="fixed"/>
        <w:tblCellMar>
          <w:top w:w="0" w:type="dxa"/>
          <w:left w:w="108" w:type="dxa"/>
          <w:bottom w:w="0" w:type="dxa"/>
          <w:right w:w="108" w:type="dxa"/>
        </w:tblCellMar>
      </w:tblPr>
      <w:tblGrid>
        <w:gridCol w:w="1376"/>
        <w:gridCol w:w="2296"/>
        <w:gridCol w:w="1274"/>
        <w:gridCol w:w="116"/>
        <w:gridCol w:w="1146"/>
        <w:gridCol w:w="144"/>
        <w:gridCol w:w="973"/>
        <w:gridCol w:w="317"/>
        <w:gridCol w:w="1435"/>
      </w:tblGrid>
      <w:tr>
        <w:tblPrEx>
          <w:tblCellMar>
            <w:top w:w="0" w:type="dxa"/>
            <w:left w:w="108" w:type="dxa"/>
            <w:bottom w:w="0" w:type="dxa"/>
            <w:right w:w="108" w:type="dxa"/>
          </w:tblCellMar>
        </w:tblPrEx>
        <w:trPr>
          <w:trHeight w:val="747" w:hRule="atLeast"/>
          <w:jc w:val="center"/>
        </w:trPr>
        <w:tc>
          <w:tcPr>
            <w:tcW w:w="1376"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姓名</w:t>
            </w:r>
          </w:p>
        </w:tc>
        <w:tc>
          <w:tcPr>
            <w:tcW w:w="2296"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1390"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性别</w:t>
            </w:r>
          </w:p>
        </w:tc>
        <w:tc>
          <w:tcPr>
            <w:tcW w:w="2263" w:type="dxa"/>
            <w:gridSpan w:val="3"/>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1752" w:type="dxa"/>
            <w:gridSpan w:val="2"/>
            <w:vMerge w:val="restart"/>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近期免冠</w:t>
            </w:r>
          </w:p>
          <w:p>
            <w:pPr>
              <w:snapToGrid w:val="0"/>
              <w:spacing w:line="600" w:lineRule="exact"/>
              <w:ind w:firstLine="552"/>
              <w:jc w:val="center"/>
              <w:rPr>
                <w:rFonts w:ascii="仿宋_GB2312"/>
                <w:sz w:val="28"/>
                <w:szCs w:val="28"/>
              </w:rPr>
            </w:pPr>
            <w:r>
              <w:rPr>
                <w:rFonts w:hint="eastAsia" w:ascii="仿宋_GB2312"/>
                <w:sz w:val="28"/>
                <w:szCs w:val="28"/>
              </w:rPr>
              <w:t>2寸彩照</w:t>
            </w:r>
          </w:p>
        </w:tc>
      </w:tr>
      <w:tr>
        <w:tblPrEx>
          <w:tblCellMar>
            <w:top w:w="0" w:type="dxa"/>
            <w:left w:w="108" w:type="dxa"/>
            <w:bottom w:w="0" w:type="dxa"/>
            <w:right w:w="108" w:type="dxa"/>
          </w:tblCellMar>
        </w:tblPrEx>
        <w:trPr>
          <w:trHeight w:val="747" w:hRule="atLeast"/>
          <w:jc w:val="center"/>
        </w:trPr>
        <w:tc>
          <w:tcPr>
            <w:tcW w:w="1376"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民族</w:t>
            </w:r>
          </w:p>
        </w:tc>
        <w:tc>
          <w:tcPr>
            <w:tcW w:w="2296"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1390"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政治面貌</w:t>
            </w:r>
          </w:p>
        </w:tc>
        <w:tc>
          <w:tcPr>
            <w:tcW w:w="2263" w:type="dxa"/>
            <w:gridSpan w:val="3"/>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1752" w:type="dxa"/>
            <w:gridSpan w:val="2"/>
            <w:vMerge w:val="continue"/>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747" w:hRule="atLeast"/>
          <w:jc w:val="center"/>
        </w:trPr>
        <w:tc>
          <w:tcPr>
            <w:tcW w:w="1376"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从事年限</w:t>
            </w:r>
          </w:p>
        </w:tc>
        <w:tc>
          <w:tcPr>
            <w:tcW w:w="2296"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1390"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专业</w:t>
            </w:r>
          </w:p>
        </w:tc>
        <w:tc>
          <w:tcPr>
            <w:tcW w:w="2263" w:type="dxa"/>
            <w:gridSpan w:val="3"/>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1752" w:type="dxa"/>
            <w:gridSpan w:val="2"/>
            <w:vMerge w:val="continue"/>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747" w:hRule="atLeast"/>
          <w:jc w:val="center"/>
        </w:trPr>
        <w:tc>
          <w:tcPr>
            <w:tcW w:w="1376"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职称</w:t>
            </w:r>
          </w:p>
        </w:tc>
        <w:tc>
          <w:tcPr>
            <w:tcW w:w="2296"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2536" w:type="dxa"/>
            <w:gridSpan w:val="3"/>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注册（执业）资格</w:t>
            </w:r>
          </w:p>
        </w:tc>
        <w:tc>
          <w:tcPr>
            <w:tcW w:w="2869" w:type="dxa"/>
            <w:gridSpan w:val="4"/>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747" w:hRule="atLeast"/>
          <w:jc w:val="center"/>
        </w:trPr>
        <w:tc>
          <w:tcPr>
            <w:tcW w:w="1376"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职务</w:t>
            </w:r>
          </w:p>
        </w:tc>
        <w:tc>
          <w:tcPr>
            <w:tcW w:w="4832" w:type="dxa"/>
            <w:gridSpan w:val="4"/>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是否为项目负责人</w:t>
            </w:r>
          </w:p>
        </w:tc>
        <w:tc>
          <w:tcPr>
            <w:tcW w:w="1434" w:type="dxa"/>
            <w:gridSpan w:val="3"/>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是□</w:t>
            </w:r>
          </w:p>
        </w:tc>
        <w:tc>
          <w:tcPr>
            <w:tcW w:w="1435" w:type="dxa"/>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否□</w:t>
            </w:r>
          </w:p>
        </w:tc>
      </w:tr>
      <w:tr>
        <w:tblPrEx>
          <w:tblCellMar>
            <w:top w:w="0" w:type="dxa"/>
            <w:left w:w="108" w:type="dxa"/>
            <w:bottom w:w="0" w:type="dxa"/>
            <w:right w:w="108" w:type="dxa"/>
          </w:tblCellMar>
        </w:tblPrEx>
        <w:trPr>
          <w:trHeight w:val="2297" w:hRule="atLeast"/>
          <w:jc w:val="center"/>
        </w:trPr>
        <w:tc>
          <w:tcPr>
            <w:tcW w:w="1376"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上年度学习培训情况</w:t>
            </w:r>
          </w:p>
        </w:tc>
        <w:tc>
          <w:tcPr>
            <w:tcW w:w="7701" w:type="dxa"/>
            <w:gridSpan w:val="8"/>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747" w:hRule="atLeast"/>
          <w:jc w:val="center"/>
        </w:trPr>
        <w:tc>
          <w:tcPr>
            <w:tcW w:w="1376" w:type="dxa"/>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办公电话</w:t>
            </w:r>
          </w:p>
        </w:tc>
        <w:tc>
          <w:tcPr>
            <w:tcW w:w="3570" w:type="dxa"/>
            <w:gridSpan w:val="2"/>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c>
          <w:tcPr>
            <w:tcW w:w="1406" w:type="dxa"/>
            <w:gridSpan w:val="3"/>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r>
              <w:rPr>
                <w:rFonts w:hint="eastAsia" w:ascii="仿宋_GB2312"/>
                <w:sz w:val="28"/>
                <w:szCs w:val="28"/>
              </w:rPr>
              <w:t>手机</w:t>
            </w:r>
          </w:p>
        </w:tc>
        <w:tc>
          <w:tcPr>
            <w:tcW w:w="2725" w:type="dxa"/>
            <w:gridSpan w:val="3"/>
            <w:tcBorders>
              <w:top w:val="single" w:color="000000" w:sz="8" w:space="0"/>
              <w:left w:val="nil"/>
              <w:bottom w:val="single" w:color="000000" w:sz="8" w:space="0"/>
              <w:right w:val="single" w:color="000000" w:sz="8" w:space="0"/>
            </w:tcBorders>
            <w:vAlign w:val="center"/>
          </w:tcPr>
          <w:p>
            <w:pPr>
              <w:snapToGrid w:val="0"/>
              <w:spacing w:line="600" w:lineRule="exact"/>
              <w:ind w:firstLine="552"/>
              <w:jc w:val="center"/>
              <w:rPr>
                <w:rFonts w:ascii="仿宋_GB2312"/>
                <w:sz w:val="28"/>
                <w:szCs w:val="28"/>
              </w:rPr>
            </w:pPr>
          </w:p>
        </w:tc>
      </w:tr>
      <w:tr>
        <w:tblPrEx>
          <w:tblCellMar>
            <w:top w:w="0" w:type="dxa"/>
            <w:left w:w="108" w:type="dxa"/>
            <w:bottom w:w="0" w:type="dxa"/>
            <w:right w:w="108" w:type="dxa"/>
          </w:tblCellMar>
        </w:tblPrEx>
        <w:trPr>
          <w:trHeight w:val="747" w:hRule="atLeast"/>
          <w:jc w:val="center"/>
        </w:trPr>
        <w:tc>
          <w:tcPr>
            <w:tcW w:w="9077" w:type="dxa"/>
            <w:gridSpan w:val="9"/>
            <w:tcBorders>
              <w:top w:val="single" w:color="000000" w:sz="8" w:space="0"/>
              <w:left w:val="single" w:color="000000" w:sz="8" w:space="0"/>
              <w:bottom w:val="single" w:color="000000" w:sz="8" w:space="0"/>
              <w:right w:val="single" w:color="000000" w:sz="8" w:space="0"/>
            </w:tcBorders>
            <w:vAlign w:val="center"/>
          </w:tcPr>
          <w:p>
            <w:pPr>
              <w:snapToGrid w:val="0"/>
              <w:spacing w:line="600" w:lineRule="exact"/>
              <w:ind w:firstLine="552"/>
              <w:jc w:val="left"/>
              <w:rPr>
                <w:rFonts w:ascii="仿宋_GB2312"/>
                <w:sz w:val="28"/>
                <w:szCs w:val="28"/>
              </w:rPr>
            </w:pPr>
            <w:r>
              <w:rPr>
                <w:rFonts w:hint="eastAsia" w:ascii="仿宋_GB2312"/>
                <w:sz w:val="28"/>
                <w:szCs w:val="28"/>
              </w:rPr>
              <w:t>备注：</w:t>
            </w:r>
          </w:p>
        </w:tc>
      </w:tr>
    </w:tbl>
    <w:p>
      <w:pPr>
        <w:snapToGrid w:val="0"/>
        <w:spacing w:line="400" w:lineRule="exact"/>
        <w:rPr>
          <w:rFonts w:ascii="仿宋_GB2312"/>
          <w:sz w:val="24"/>
        </w:rPr>
      </w:pPr>
      <w:r>
        <w:rPr>
          <w:rFonts w:hint="eastAsia" w:ascii="仿宋_GB2312"/>
          <w:sz w:val="24"/>
        </w:rPr>
        <w:t>须附身份证、电子职称证书、资格证书、执业注册证书及其他证明材料（包括劳动合同、缴纳社会保险的凭证等）</w:t>
      </w:r>
    </w:p>
    <w:p>
      <w:pPr>
        <w:snapToGrid w:val="0"/>
        <w:spacing w:line="400" w:lineRule="exact"/>
        <w:ind w:firstLine="632"/>
        <w:rPr>
          <w:rFonts w:ascii="仿宋_GB2312"/>
        </w:rPr>
      </w:pPr>
    </w:p>
    <w:p>
      <w:pPr>
        <w:ind w:firstLine="632"/>
      </w:pPr>
    </w:p>
    <w:p>
      <w:pPr>
        <w:ind w:firstLine="632"/>
      </w:pPr>
    </w:p>
    <w:p>
      <w:pPr>
        <w:ind w:firstLine="632"/>
      </w:pPr>
    </w:p>
    <w:p>
      <w:pPr>
        <w:ind w:firstLine="632"/>
      </w:pPr>
    </w:p>
    <w:p>
      <w:pPr>
        <w:ind w:firstLine="632"/>
      </w:pPr>
    </w:p>
    <w:p>
      <w:pPr>
        <w:ind w:firstLine="632"/>
      </w:pPr>
    </w:p>
    <w:p>
      <w:pPr>
        <w:ind w:firstLine="632"/>
        <w:jc w:val="left"/>
        <w:rPr>
          <w:rFonts w:ascii="方正小标宋简体" w:eastAsia="方正小标宋简体"/>
        </w:rPr>
      </w:pPr>
      <w:r>
        <w:rPr>
          <w:rFonts w:hint="eastAsia" w:ascii="方正小标宋简体" w:eastAsia="方正小标宋简体"/>
        </w:rPr>
        <w:t xml:space="preserve">附件4：    </w:t>
      </w:r>
      <w:r>
        <w:rPr>
          <w:rFonts w:hint="eastAsia" w:ascii="仿宋_GB2312" w:hAnsi="宋体" w:cs="宋体"/>
          <w:color w:val="000000"/>
        </w:rPr>
        <w:t xml:space="preserve">  上一年度招标代理机构代理项目一览表</w:t>
      </w:r>
    </w:p>
    <w:p>
      <w:pPr>
        <w:snapToGrid w:val="0"/>
        <w:spacing w:line="600" w:lineRule="exact"/>
        <w:ind w:firstLine="552"/>
        <w:rPr>
          <w:rFonts w:ascii="仿宋_GB2312"/>
          <w:sz w:val="28"/>
          <w:szCs w:val="28"/>
        </w:rPr>
      </w:pPr>
      <w:r>
        <w:rPr>
          <w:rFonts w:hint="eastAsia" w:ascii="仿宋_GB2312"/>
          <w:sz w:val="28"/>
          <w:szCs w:val="28"/>
          <w:u w:val="single"/>
        </w:rPr>
        <w:t xml:space="preserve">                  </w:t>
      </w:r>
      <w:r>
        <w:rPr>
          <w:rFonts w:hint="eastAsia" w:ascii="仿宋_GB2312"/>
          <w:sz w:val="28"/>
          <w:szCs w:val="28"/>
        </w:rPr>
        <w:t>代理单位（盖章）</w:t>
      </w:r>
    </w:p>
    <w:p>
      <w:pPr>
        <w:snapToGrid w:val="0"/>
        <w:spacing w:line="600" w:lineRule="exact"/>
        <w:ind w:firstLine="552"/>
        <w:rPr>
          <w:rFonts w:ascii="仿宋_GB2312"/>
          <w:sz w:val="28"/>
          <w:szCs w:val="28"/>
        </w:rPr>
      </w:pPr>
    </w:p>
    <w:tbl>
      <w:tblPr>
        <w:tblStyle w:val="7"/>
        <w:tblW w:w="10774" w:type="dxa"/>
        <w:tblInd w:w="-88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41"/>
        <w:gridCol w:w="1400"/>
        <w:gridCol w:w="920"/>
        <w:gridCol w:w="1130"/>
        <w:gridCol w:w="1180"/>
        <w:gridCol w:w="1870"/>
        <w:gridCol w:w="1770"/>
        <w:gridCol w:w="156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41" w:type="dxa"/>
          </w:tcPr>
          <w:p>
            <w:pPr>
              <w:jc w:val="center"/>
              <w:rPr>
                <w:rFonts w:ascii="仿宋_GB2312"/>
                <w:sz w:val="28"/>
                <w:szCs w:val="28"/>
              </w:rPr>
            </w:pPr>
            <w:r>
              <w:rPr>
                <w:rFonts w:hint="eastAsia" w:ascii="仿宋_GB2312"/>
                <w:sz w:val="28"/>
                <w:szCs w:val="28"/>
              </w:rPr>
              <w:t>序号</w:t>
            </w:r>
          </w:p>
        </w:tc>
        <w:tc>
          <w:tcPr>
            <w:tcW w:w="1400" w:type="dxa"/>
          </w:tcPr>
          <w:p>
            <w:pPr>
              <w:jc w:val="center"/>
              <w:rPr>
                <w:rFonts w:ascii="仿宋_GB2312"/>
                <w:sz w:val="28"/>
                <w:szCs w:val="28"/>
              </w:rPr>
            </w:pPr>
            <w:r>
              <w:rPr>
                <w:rFonts w:hint="eastAsia" w:ascii="仿宋_GB2312"/>
                <w:sz w:val="28"/>
                <w:szCs w:val="28"/>
              </w:rPr>
              <w:t>项目名称</w:t>
            </w:r>
          </w:p>
        </w:tc>
        <w:tc>
          <w:tcPr>
            <w:tcW w:w="920" w:type="dxa"/>
          </w:tcPr>
          <w:p>
            <w:pPr>
              <w:jc w:val="center"/>
              <w:rPr>
                <w:rFonts w:ascii="仿宋_GB2312"/>
                <w:sz w:val="28"/>
                <w:szCs w:val="28"/>
              </w:rPr>
            </w:pPr>
            <w:r>
              <w:rPr>
                <w:rFonts w:hint="eastAsia" w:ascii="仿宋_GB2312"/>
                <w:sz w:val="28"/>
                <w:szCs w:val="28"/>
              </w:rPr>
              <w:t>类别</w:t>
            </w:r>
          </w:p>
        </w:tc>
        <w:tc>
          <w:tcPr>
            <w:tcW w:w="1130" w:type="dxa"/>
          </w:tcPr>
          <w:p>
            <w:pPr>
              <w:jc w:val="center"/>
              <w:rPr>
                <w:rFonts w:ascii="仿宋_GB2312"/>
                <w:sz w:val="28"/>
                <w:szCs w:val="28"/>
              </w:rPr>
            </w:pPr>
            <w:r>
              <w:rPr>
                <w:rFonts w:hint="eastAsia" w:ascii="仿宋_GB2312"/>
                <w:sz w:val="28"/>
                <w:szCs w:val="28"/>
              </w:rPr>
              <w:t>预算价</w:t>
            </w:r>
          </w:p>
        </w:tc>
        <w:tc>
          <w:tcPr>
            <w:tcW w:w="1180" w:type="dxa"/>
          </w:tcPr>
          <w:p>
            <w:pPr>
              <w:jc w:val="center"/>
              <w:rPr>
                <w:rFonts w:ascii="仿宋_GB2312"/>
                <w:sz w:val="28"/>
                <w:szCs w:val="28"/>
              </w:rPr>
            </w:pPr>
            <w:r>
              <w:rPr>
                <w:rFonts w:hint="eastAsia" w:ascii="仿宋_GB2312"/>
                <w:sz w:val="28"/>
                <w:szCs w:val="28"/>
              </w:rPr>
              <w:t>中标价</w:t>
            </w:r>
          </w:p>
        </w:tc>
        <w:tc>
          <w:tcPr>
            <w:tcW w:w="1870" w:type="dxa"/>
          </w:tcPr>
          <w:p>
            <w:pPr>
              <w:jc w:val="center"/>
              <w:rPr>
                <w:rFonts w:ascii="仿宋_GB2312"/>
                <w:sz w:val="28"/>
                <w:szCs w:val="28"/>
              </w:rPr>
            </w:pPr>
            <w:r>
              <w:rPr>
                <w:rFonts w:hint="eastAsia" w:ascii="仿宋_GB2312"/>
                <w:sz w:val="28"/>
                <w:szCs w:val="28"/>
              </w:rPr>
              <w:t>开标时间</w:t>
            </w:r>
          </w:p>
        </w:tc>
        <w:tc>
          <w:tcPr>
            <w:tcW w:w="1770" w:type="dxa"/>
          </w:tcPr>
          <w:p>
            <w:pPr>
              <w:jc w:val="center"/>
              <w:rPr>
                <w:rFonts w:ascii="仿宋_GB2312"/>
                <w:sz w:val="28"/>
                <w:szCs w:val="28"/>
              </w:rPr>
            </w:pPr>
            <w:r>
              <w:rPr>
                <w:rFonts w:hint="eastAsia" w:ascii="仿宋_GB2312"/>
                <w:sz w:val="28"/>
                <w:szCs w:val="28"/>
              </w:rPr>
              <w:t>项目负责人</w:t>
            </w:r>
          </w:p>
        </w:tc>
        <w:tc>
          <w:tcPr>
            <w:tcW w:w="1563" w:type="dxa"/>
          </w:tcPr>
          <w:p>
            <w:pPr>
              <w:jc w:val="center"/>
              <w:rPr>
                <w:rFonts w:ascii="仿宋_GB2312"/>
                <w:sz w:val="28"/>
                <w:szCs w:val="28"/>
              </w:rPr>
            </w:pPr>
            <w:r>
              <w:rPr>
                <w:rFonts w:hint="eastAsia" w:ascii="仿宋_GB2312"/>
                <w:sz w:val="28"/>
                <w:szCs w:val="28"/>
              </w:rPr>
              <w:t>备注</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41" w:type="dxa"/>
          </w:tcPr>
          <w:p>
            <w:pPr>
              <w:ind w:firstLine="552"/>
              <w:jc w:val="left"/>
              <w:rPr>
                <w:rFonts w:ascii="仿宋_GB2312"/>
                <w:sz w:val="28"/>
                <w:szCs w:val="28"/>
              </w:rPr>
            </w:pPr>
            <w:r>
              <w:rPr>
                <w:rFonts w:hint="eastAsia" w:ascii="仿宋_GB2312"/>
                <w:sz w:val="28"/>
                <w:szCs w:val="28"/>
              </w:rPr>
              <w:t>1</w:t>
            </w:r>
          </w:p>
        </w:tc>
        <w:tc>
          <w:tcPr>
            <w:tcW w:w="1400" w:type="dxa"/>
          </w:tcPr>
          <w:p>
            <w:pPr>
              <w:ind w:firstLine="552"/>
              <w:jc w:val="left"/>
              <w:rPr>
                <w:rFonts w:ascii="仿宋_GB2312"/>
                <w:sz w:val="28"/>
                <w:szCs w:val="28"/>
              </w:rPr>
            </w:pPr>
          </w:p>
        </w:tc>
        <w:tc>
          <w:tcPr>
            <w:tcW w:w="920" w:type="dxa"/>
          </w:tcPr>
          <w:p>
            <w:pPr>
              <w:ind w:firstLine="552"/>
              <w:jc w:val="left"/>
              <w:rPr>
                <w:rFonts w:ascii="仿宋_GB2312"/>
                <w:sz w:val="28"/>
                <w:szCs w:val="28"/>
              </w:rPr>
            </w:pPr>
          </w:p>
        </w:tc>
        <w:tc>
          <w:tcPr>
            <w:tcW w:w="1130" w:type="dxa"/>
          </w:tcPr>
          <w:p>
            <w:pPr>
              <w:ind w:firstLine="552"/>
              <w:jc w:val="left"/>
              <w:rPr>
                <w:rFonts w:ascii="仿宋_GB2312"/>
                <w:sz w:val="28"/>
                <w:szCs w:val="28"/>
              </w:rPr>
            </w:pPr>
          </w:p>
        </w:tc>
        <w:tc>
          <w:tcPr>
            <w:tcW w:w="1180" w:type="dxa"/>
          </w:tcPr>
          <w:p>
            <w:pPr>
              <w:ind w:firstLine="552"/>
              <w:jc w:val="left"/>
              <w:rPr>
                <w:rFonts w:ascii="仿宋_GB2312"/>
                <w:sz w:val="28"/>
                <w:szCs w:val="28"/>
              </w:rPr>
            </w:pPr>
          </w:p>
        </w:tc>
        <w:tc>
          <w:tcPr>
            <w:tcW w:w="1870" w:type="dxa"/>
          </w:tcPr>
          <w:p>
            <w:pPr>
              <w:ind w:firstLine="552"/>
              <w:jc w:val="left"/>
              <w:rPr>
                <w:rFonts w:ascii="仿宋_GB2312"/>
                <w:sz w:val="28"/>
                <w:szCs w:val="28"/>
              </w:rPr>
            </w:pPr>
          </w:p>
        </w:tc>
        <w:tc>
          <w:tcPr>
            <w:tcW w:w="1770" w:type="dxa"/>
          </w:tcPr>
          <w:p>
            <w:pPr>
              <w:ind w:firstLine="552"/>
              <w:jc w:val="left"/>
              <w:rPr>
                <w:rFonts w:ascii="仿宋_GB2312"/>
                <w:sz w:val="28"/>
                <w:szCs w:val="28"/>
              </w:rPr>
            </w:pPr>
          </w:p>
        </w:tc>
        <w:tc>
          <w:tcPr>
            <w:tcW w:w="1563" w:type="dxa"/>
          </w:tcPr>
          <w:p>
            <w:pPr>
              <w:ind w:firstLine="552"/>
              <w:jc w:val="left"/>
              <w:rPr>
                <w:rFonts w:ascii="仿宋_GB2312"/>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41" w:type="dxa"/>
          </w:tcPr>
          <w:p>
            <w:pPr>
              <w:ind w:firstLine="552"/>
              <w:jc w:val="left"/>
              <w:rPr>
                <w:rFonts w:ascii="仿宋_GB2312"/>
                <w:sz w:val="28"/>
                <w:szCs w:val="28"/>
              </w:rPr>
            </w:pPr>
            <w:r>
              <w:rPr>
                <w:rFonts w:hint="eastAsia" w:ascii="仿宋_GB2312"/>
                <w:sz w:val="28"/>
                <w:szCs w:val="28"/>
              </w:rPr>
              <w:t>2</w:t>
            </w:r>
          </w:p>
        </w:tc>
        <w:tc>
          <w:tcPr>
            <w:tcW w:w="1400" w:type="dxa"/>
          </w:tcPr>
          <w:p>
            <w:pPr>
              <w:ind w:firstLine="552"/>
              <w:jc w:val="left"/>
              <w:rPr>
                <w:rFonts w:ascii="仿宋_GB2312"/>
                <w:sz w:val="28"/>
                <w:szCs w:val="28"/>
              </w:rPr>
            </w:pPr>
          </w:p>
        </w:tc>
        <w:tc>
          <w:tcPr>
            <w:tcW w:w="920" w:type="dxa"/>
          </w:tcPr>
          <w:p>
            <w:pPr>
              <w:ind w:firstLine="552"/>
              <w:jc w:val="left"/>
              <w:rPr>
                <w:rFonts w:ascii="仿宋_GB2312"/>
                <w:sz w:val="28"/>
                <w:szCs w:val="28"/>
              </w:rPr>
            </w:pPr>
          </w:p>
        </w:tc>
        <w:tc>
          <w:tcPr>
            <w:tcW w:w="1130" w:type="dxa"/>
          </w:tcPr>
          <w:p>
            <w:pPr>
              <w:ind w:firstLine="552"/>
              <w:jc w:val="left"/>
              <w:rPr>
                <w:rFonts w:ascii="仿宋_GB2312"/>
                <w:sz w:val="28"/>
                <w:szCs w:val="28"/>
              </w:rPr>
            </w:pPr>
          </w:p>
        </w:tc>
        <w:tc>
          <w:tcPr>
            <w:tcW w:w="1180" w:type="dxa"/>
          </w:tcPr>
          <w:p>
            <w:pPr>
              <w:ind w:firstLine="552"/>
              <w:jc w:val="left"/>
              <w:rPr>
                <w:rFonts w:ascii="仿宋_GB2312"/>
                <w:sz w:val="28"/>
                <w:szCs w:val="28"/>
              </w:rPr>
            </w:pPr>
          </w:p>
        </w:tc>
        <w:tc>
          <w:tcPr>
            <w:tcW w:w="1870" w:type="dxa"/>
          </w:tcPr>
          <w:p>
            <w:pPr>
              <w:ind w:firstLine="552"/>
              <w:jc w:val="left"/>
              <w:rPr>
                <w:rFonts w:ascii="仿宋_GB2312"/>
                <w:sz w:val="28"/>
                <w:szCs w:val="28"/>
              </w:rPr>
            </w:pPr>
          </w:p>
        </w:tc>
        <w:tc>
          <w:tcPr>
            <w:tcW w:w="1770" w:type="dxa"/>
          </w:tcPr>
          <w:p>
            <w:pPr>
              <w:ind w:firstLine="552"/>
              <w:jc w:val="left"/>
              <w:rPr>
                <w:rFonts w:ascii="仿宋_GB2312"/>
                <w:sz w:val="28"/>
                <w:szCs w:val="28"/>
              </w:rPr>
            </w:pPr>
          </w:p>
        </w:tc>
        <w:tc>
          <w:tcPr>
            <w:tcW w:w="1563" w:type="dxa"/>
          </w:tcPr>
          <w:p>
            <w:pPr>
              <w:ind w:firstLine="552"/>
              <w:jc w:val="left"/>
              <w:rPr>
                <w:rFonts w:ascii="仿宋_GB2312"/>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41" w:type="dxa"/>
          </w:tcPr>
          <w:p>
            <w:pPr>
              <w:ind w:firstLine="552"/>
              <w:jc w:val="left"/>
              <w:rPr>
                <w:rFonts w:ascii="仿宋_GB2312"/>
                <w:sz w:val="28"/>
                <w:szCs w:val="28"/>
              </w:rPr>
            </w:pPr>
            <w:r>
              <w:rPr>
                <w:rFonts w:hint="eastAsia" w:ascii="仿宋_GB2312"/>
                <w:sz w:val="28"/>
                <w:szCs w:val="28"/>
              </w:rPr>
              <w:t>3</w:t>
            </w:r>
          </w:p>
        </w:tc>
        <w:tc>
          <w:tcPr>
            <w:tcW w:w="1400" w:type="dxa"/>
          </w:tcPr>
          <w:p>
            <w:pPr>
              <w:ind w:firstLine="552"/>
              <w:jc w:val="left"/>
              <w:rPr>
                <w:rFonts w:ascii="仿宋_GB2312"/>
                <w:sz w:val="28"/>
                <w:szCs w:val="28"/>
              </w:rPr>
            </w:pPr>
          </w:p>
        </w:tc>
        <w:tc>
          <w:tcPr>
            <w:tcW w:w="920" w:type="dxa"/>
          </w:tcPr>
          <w:p>
            <w:pPr>
              <w:ind w:firstLine="552"/>
              <w:jc w:val="left"/>
              <w:rPr>
                <w:rFonts w:ascii="仿宋_GB2312"/>
                <w:sz w:val="28"/>
                <w:szCs w:val="28"/>
              </w:rPr>
            </w:pPr>
          </w:p>
        </w:tc>
        <w:tc>
          <w:tcPr>
            <w:tcW w:w="1130" w:type="dxa"/>
          </w:tcPr>
          <w:p>
            <w:pPr>
              <w:ind w:firstLine="552"/>
              <w:jc w:val="left"/>
              <w:rPr>
                <w:rFonts w:ascii="仿宋_GB2312"/>
                <w:sz w:val="28"/>
                <w:szCs w:val="28"/>
              </w:rPr>
            </w:pPr>
          </w:p>
        </w:tc>
        <w:tc>
          <w:tcPr>
            <w:tcW w:w="1180" w:type="dxa"/>
          </w:tcPr>
          <w:p>
            <w:pPr>
              <w:ind w:firstLine="552"/>
              <w:jc w:val="left"/>
              <w:rPr>
                <w:rFonts w:ascii="仿宋_GB2312"/>
                <w:sz w:val="28"/>
                <w:szCs w:val="28"/>
              </w:rPr>
            </w:pPr>
          </w:p>
        </w:tc>
        <w:tc>
          <w:tcPr>
            <w:tcW w:w="1870" w:type="dxa"/>
          </w:tcPr>
          <w:p>
            <w:pPr>
              <w:ind w:firstLine="552"/>
              <w:jc w:val="left"/>
              <w:rPr>
                <w:rFonts w:ascii="仿宋_GB2312"/>
                <w:sz w:val="28"/>
                <w:szCs w:val="28"/>
              </w:rPr>
            </w:pPr>
          </w:p>
        </w:tc>
        <w:tc>
          <w:tcPr>
            <w:tcW w:w="1770" w:type="dxa"/>
          </w:tcPr>
          <w:p>
            <w:pPr>
              <w:ind w:firstLine="552"/>
              <w:jc w:val="left"/>
              <w:rPr>
                <w:rFonts w:ascii="仿宋_GB2312"/>
                <w:sz w:val="28"/>
                <w:szCs w:val="28"/>
              </w:rPr>
            </w:pPr>
          </w:p>
        </w:tc>
        <w:tc>
          <w:tcPr>
            <w:tcW w:w="1563" w:type="dxa"/>
          </w:tcPr>
          <w:p>
            <w:pPr>
              <w:ind w:firstLine="552"/>
              <w:jc w:val="left"/>
              <w:rPr>
                <w:rFonts w:ascii="仿宋_GB2312"/>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41" w:type="dxa"/>
          </w:tcPr>
          <w:p>
            <w:pPr>
              <w:ind w:firstLine="552"/>
              <w:jc w:val="left"/>
              <w:rPr>
                <w:rFonts w:ascii="仿宋_GB2312"/>
                <w:sz w:val="28"/>
                <w:szCs w:val="28"/>
              </w:rPr>
            </w:pPr>
            <w:r>
              <w:rPr>
                <w:rFonts w:hint="eastAsia" w:ascii="仿宋_GB2312"/>
                <w:sz w:val="28"/>
                <w:szCs w:val="28"/>
              </w:rPr>
              <w:t>4</w:t>
            </w:r>
          </w:p>
        </w:tc>
        <w:tc>
          <w:tcPr>
            <w:tcW w:w="1400" w:type="dxa"/>
          </w:tcPr>
          <w:p>
            <w:pPr>
              <w:ind w:firstLine="552"/>
              <w:jc w:val="left"/>
              <w:rPr>
                <w:rFonts w:ascii="仿宋_GB2312"/>
                <w:sz w:val="28"/>
                <w:szCs w:val="28"/>
              </w:rPr>
            </w:pPr>
          </w:p>
        </w:tc>
        <w:tc>
          <w:tcPr>
            <w:tcW w:w="920" w:type="dxa"/>
          </w:tcPr>
          <w:p>
            <w:pPr>
              <w:ind w:firstLine="552"/>
              <w:jc w:val="left"/>
              <w:rPr>
                <w:rFonts w:ascii="仿宋_GB2312"/>
                <w:sz w:val="28"/>
                <w:szCs w:val="28"/>
              </w:rPr>
            </w:pPr>
          </w:p>
        </w:tc>
        <w:tc>
          <w:tcPr>
            <w:tcW w:w="1130" w:type="dxa"/>
          </w:tcPr>
          <w:p>
            <w:pPr>
              <w:ind w:firstLine="552"/>
              <w:jc w:val="left"/>
              <w:rPr>
                <w:rFonts w:ascii="仿宋_GB2312"/>
                <w:sz w:val="28"/>
                <w:szCs w:val="28"/>
              </w:rPr>
            </w:pPr>
          </w:p>
        </w:tc>
        <w:tc>
          <w:tcPr>
            <w:tcW w:w="1180" w:type="dxa"/>
          </w:tcPr>
          <w:p>
            <w:pPr>
              <w:ind w:firstLine="552"/>
              <w:jc w:val="left"/>
              <w:rPr>
                <w:rFonts w:ascii="仿宋_GB2312"/>
                <w:sz w:val="28"/>
                <w:szCs w:val="28"/>
              </w:rPr>
            </w:pPr>
          </w:p>
        </w:tc>
        <w:tc>
          <w:tcPr>
            <w:tcW w:w="1870" w:type="dxa"/>
          </w:tcPr>
          <w:p>
            <w:pPr>
              <w:ind w:firstLine="552"/>
              <w:jc w:val="left"/>
              <w:rPr>
                <w:rFonts w:ascii="仿宋_GB2312"/>
                <w:sz w:val="28"/>
                <w:szCs w:val="28"/>
              </w:rPr>
            </w:pPr>
          </w:p>
        </w:tc>
        <w:tc>
          <w:tcPr>
            <w:tcW w:w="1770" w:type="dxa"/>
          </w:tcPr>
          <w:p>
            <w:pPr>
              <w:ind w:firstLine="552"/>
              <w:jc w:val="left"/>
              <w:rPr>
                <w:rFonts w:ascii="仿宋_GB2312"/>
                <w:sz w:val="28"/>
                <w:szCs w:val="28"/>
              </w:rPr>
            </w:pPr>
          </w:p>
        </w:tc>
        <w:tc>
          <w:tcPr>
            <w:tcW w:w="1563" w:type="dxa"/>
          </w:tcPr>
          <w:p>
            <w:pPr>
              <w:ind w:firstLine="552"/>
              <w:jc w:val="left"/>
              <w:rPr>
                <w:rFonts w:ascii="仿宋_GB2312"/>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41" w:type="dxa"/>
          </w:tcPr>
          <w:p>
            <w:pPr>
              <w:ind w:firstLine="552"/>
              <w:jc w:val="left"/>
              <w:rPr>
                <w:rFonts w:ascii="仿宋_GB2312"/>
                <w:sz w:val="28"/>
                <w:szCs w:val="28"/>
              </w:rPr>
            </w:pPr>
            <w:r>
              <w:rPr>
                <w:rFonts w:hint="eastAsia" w:ascii="仿宋_GB2312"/>
                <w:sz w:val="28"/>
                <w:szCs w:val="28"/>
              </w:rPr>
              <w:t>.....</w:t>
            </w:r>
          </w:p>
        </w:tc>
        <w:tc>
          <w:tcPr>
            <w:tcW w:w="1400" w:type="dxa"/>
          </w:tcPr>
          <w:p>
            <w:pPr>
              <w:ind w:firstLine="552"/>
              <w:jc w:val="left"/>
              <w:rPr>
                <w:rFonts w:ascii="仿宋_GB2312"/>
                <w:sz w:val="28"/>
                <w:szCs w:val="28"/>
              </w:rPr>
            </w:pPr>
          </w:p>
        </w:tc>
        <w:tc>
          <w:tcPr>
            <w:tcW w:w="920" w:type="dxa"/>
          </w:tcPr>
          <w:p>
            <w:pPr>
              <w:ind w:firstLine="552"/>
              <w:jc w:val="left"/>
              <w:rPr>
                <w:rFonts w:ascii="仿宋_GB2312"/>
                <w:sz w:val="28"/>
                <w:szCs w:val="28"/>
              </w:rPr>
            </w:pPr>
          </w:p>
        </w:tc>
        <w:tc>
          <w:tcPr>
            <w:tcW w:w="1130" w:type="dxa"/>
          </w:tcPr>
          <w:p>
            <w:pPr>
              <w:ind w:firstLine="552"/>
              <w:jc w:val="left"/>
              <w:rPr>
                <w:rFonts w:ascii="仿宋_GB2312"/>
                <w:sz w:val="28"/>
                <w:szCs w:val="28"/>
              </w:rPr>
            </w:pPr>
          </w:p>
        </w:tc>
        <w:tc>
          <w:tcPr>
            <w:tcW w:w="1180" w:type="dxa"/>
          </w:tcPr>
          <w:p>
            <w:pPr>
              <w:ind w:firstLine="552"/>
              <w:jc w:val="left"/>
              <w:rPr>
                <w:rFonts w:ascii="仿宋_GB2312"/>
                <w:sz w:val="28"/>
                <w:szCs w:val="28"/>
              </w:rPr>
            </w:pPr>
          </w:p>
        </w:tc>
        <w:tc>
          <w:tcPr>
            <w:tcW w:w="1870" w:type="dxa"/>
          </w:tcPr>
          <w:p>
            <w:pPr>
              <w:ind w:firstLine="552"/>
              <w:jc w:val="left"/>
              <w:rPr>
                <w:rFonts w:ascii="仿宋_GB2312"/>
                <w:sz w:val="28"/>
                <w:szCs w:val="28"/>
              </w:rPr>
            </w:pPr>
          </w:p>
        </w:tc>
        <w:tc>
          <w:tcPr>
            <w:tcW w:w="1770" w:type="dxa"/>
          </w:tcPr>
          <w:p>
            <w:pPr>
              <w:ind w:firstLine="552"/>
              <w:jc w:val="left"/>
              <w:rPr>
                <w:rFonts w:ascii="仿宋_GB2312"/>
                <w:sz w:val="28"/>
                <w:szCs w:val="28"/>
              </w:rPr>
            </w:pPr>
          </w:p>
        </w:tc>
        <w:tc>
          <w:tcPr>
            <w:tcW w:w="1563" w:type="dxa"/>
          </w:tcPr>
          <w:p>
            <w:pPr>
              <w:ind w:firstLine="552"/>
              <w:jc w:val="left"/>
              <w:rPr>
                <w:rFonts w:ascii="仿宋_GB2312"/>
                <w:sz w:val="28"/>
                <w:szCs w:val="28"/>
              </w:rPr>
            </w:pPr>
          </w:p>
        </w:tc>
      </w:tr>
    </w:tbl>
    <w:p>
      <w:pPr>
        <w:ind w:firstLine="552"/>
        <w:jc w:val="left"/>
        <w:rPr>
          <w:rFonts w:ascii="仿宋_GB2312"/>
          <w:sz w:val="28"/>
          <w:szCs w:val="28"/>
        </w:rPr>
      </w:pPr>
      <w:r>
        <w:rPr>
          <w:rFonts w:hint="eastAsia" w:ascii="仿宋_GB2312"/>
          <w:sz w:val="28"/>
          <w:szCs w:val="28"/>
        </w:rPr>
        <w:t>注：业绩内容仅指建设工程招标项目，类别栏目里分别填写施工类或服务类或货物类或总承包。</w:t>
      </w:r>
    </w:p>
    <w:sectPr>
      <w:headerReference r:id="rId3" w:type="default"/>
      <w:footerReference r:id="rId5" w:type="default"/>
      <w:headerReference r:id="rId4" w:type="even"/>
      <w:footerReference r:id="rId6" w:type="even"/>
      <w:pgSz w:w="11907" w:h="16840"/>
      <w:pgMar w:top="1701" w:right="1531" w:bottom="1701" w:left="1531" w:header="851" w:footer="1559" w:gutter="0"/>
      <w:cols w:space="720" w:num="1"/>
      <w:docGrid w:type="linesAndChars" w:linePitch="586" w:charSpace="-8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D013DDF-B1AD-4ADD-B6AB-59B95D2B2E1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2" w:fontKey="{E307A0E2-1EF4-47C8-B8C9-5366E4B12714}"/>
  </w:font>
  <w:font w:name="小标宋">
    <w:altName w:val="微软雅黑"/>
    <w:panose1 w:val="00000000000000000000"/>
    <w:charset w:val="86"/>
    <w:family w:val="script"/>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方正小标宋简体">
    <w:panose1 w:val="02000000000000000000"/>
    <w:charset w:val="86"/>
    <w:family w:val="auto"/>
    <w:pitch w:val="default"/>
    <w:sig w:usb0="00000001" w:usb1="08000000" w:usb2="00000000" w:usb3="00000000" w:csb0="00040000" w:csb1="00000000"/>
    <w:embedRegular r:id="rId3" w:fontKey="{AA07A5AB-39F9-4438-B23B-9CF90ED63F2D}"/>
  </w:font>
  <w:font w:name="华文中宋">
    <w:panose1 w:val="02010600040101010101"/>
    <w:charset w:val="86"/>
    <w:family w:val="auto"/>
    <w:pitch w:val="default"/>
    <w:sig w:usb0="00000287" w:usb1="080F0000" w:usb2="00000000" w:usb3="00000000" w:csb0="0004009F" w:csb1="DFD70000"/>
    <w:embedRegular r:id="rId4" w:fontKey="{0E2D04F2-DAE1-4DCF-AA2E-7440F6AF5C11}"/>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wordWrap w:val="0"/>
      <w:ind w:firstLine="560"/>
      <w:jc w:val="right"/>
      <w:rPr>
        <w:rFonts w:ascii="宋体" w:hAnsi="宋体" w:eastAsia="宋体" w:cs="Courier New"/>
        <w:sz w:val="28"/>
      </w:rPr>
    </w:pPr>
    <w:r>
      <w:rPr>
        <w:rFonts w:hint="eastAsia" w:ascii="宋体" w:hAnsi="宋体" w:eastAsia="宋体" w:cs="宋体"/>
        <w:sz w:val="28"/>
      </w:rPr>
      <w:t>－</w:t>
    </w:r>
    <w:r>
      <w:rPr>
        <w:rFonts w:ascii="宋体" w:hAnsi="宋体" w:eastAsia="宋体" w:cs="Courier New"/>
        <w:sz w:val="28"/>
      </w:rPr>
      <w:fldChar w:fldCharType="begin"/>
    </w:r>
    <w:r>
      <w:rPr>
        <w:rStyle w:val="9"/>
        <w:rFonts w:ascii="宋体" w:hAnsi="宋体" w:eastAsia="宋体" w:cs="Courier New"/>
        <w:sz w:val="28"/>
      </w:rPr>
      <w:instrText xml:space="preserve"> PAGE </w:instrText>
    </w:r>
    <w:r>
      <w:rPr>
        <w:rFonts w:ascii="宋体" w:hAnsi="宋体" w:eastAsia="宋体" w:cs="Courier New"/>
        <w:sz w:val="28"/>
      </w:rPr>
      <w:fldChar w:fldCharType="separate"/>
    </w:r>
    <w:r>
      <w:rPr>
        <w:rStyle w:val="9"/>
        <w:rFonts w:ascii="宋体" w:hAnsi="宋体" w:eastAsia="宋体" w:cs="Courier New"/>
        <w:sz w:val="28"/>
      </w:rPr>
      <w:t>5</w:t>
    </w:r>
    <w:r>
      <w:rPr>
        <w:rFonts w:ascii="宋体" w:hAnsi="宋体" w:eastAsia="宋体" w:cs="Courier New"/>
        <w:sz w:val="28"/>
      </w:rPr>
      <w:fldChar w:fldCharType="end"/>
    </w:r>
    <w:r>
      <w:rPr>
        <w:rFonts w:hint="eastAsia" w:ascii="宋体" w:hAnsi="宋体" w:eastAsia="宋体" w:cs="宋体"/>
        <w:sz w:val="28"/>
      </w:rPr>
      <w:t>－</w:t>
    </w:r>
    <w:r>
      <w:rPr>
        <w:rFonts w:hint="eastAsia" w:ascii="宋体" w:hAnsi="宋体" w:eastAsia="宋体" w:cs="Courier New"/>
        <w:sz w:val="28"/>
      </w:rPr>
      <w:t xml:space="preserve">  </w:t>
    </w:r>
  </w:p>
  <w:p>
    <w:pPr>
      <w:ind w:firstLine="640"/>
    </w:pPr>
  </w:p>
  <w:p>
    <w:pPr>
      <w:ind w:firstLine="64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280" w:firstLineChars="100"/>
      <w:rPr>
        <w:rFonts w:ascii="宋体" w:hAnsi="宋体" w:eastAsia="宋体" w:cs="Courier New"/>
        <w:sz w:val="28"/>
        <w:szCs w:val="28"/>
      </w:rPr>
    </w:pPr>
    <w:r>
      <w:rPr>
        <w:rFonts w:hint="eastAsia" w:ascii="宋体" w:hAnsi="宋体" w:eastAsia="宋体" w:cs="宋体"/>
        <w:sz w:val="28"/>
        <w:szCs w:val="28"/>
      </w:rPr>
      <w:t>―</w:t>
    </w:r>
    <w:r>
      <w:rPr>
        <w:rFonts w:ascii="宋体" w:hAnsi="宋体" w:eastAsia="宋体"/>
        <w:sz w:val="28"/>
        <w:szCs w:val="28"/>
      </w:rPr>
      <w:fldChar w:fldCharType="begin"/>
    </w:r>
    <w:r>
      <w:rPr>
        <w:rStyle w:val="9"/>
        <w:rFonts w:ascii="宋体" w:hAnsi="宋体" w:eastAsia="宋体"/>
        <w:sz w:val="28"/>
        <w:szCs w:val="28"/>
      </w:rPr>
      <w:instrText xml:space="preserve"> PAGE </w:instrText>
    </w:r>
    <w:r>
      <w:rPr>
        <w:rFonts w:ascii="宋体" w:hAnsi="宋体" w:eastAsia="宋体"/>
        <w:sz w:val="28"/>
        <w:szCs w:val="28"/>
      </w:rPr>
      <w:fldChar w:fldCharType="separate"/>
    </w:r>
    <w:r>
      <w:rPr>
        <w:rStyle w:val="9"/>
        <w:rFonts w:ascii="宋体" w:hAnsi="宋体" w:eastAsia="宋体"/>
        <w:sz w:val="28"/>
        <w:szCs w:val="28"/>
      </w:rPr>
      <w:t>36</w:t>
    </w:r>
    <w:r>
      <w:rPr>
        <w:rFonts w:ascii="宋体" w:hAnsi="宋体" w:eastAsia="宋体"/>
        <w:sz w:val="28"/>
        <w:szCs w:val="28"/>
      </w:rPr>
      <w:fldChar w:fldCharType="end"/>
    </w:r>
    <w:r>
      <w:rPr>
        <w:rFonts w:hint="eastAsia" w:ascii="宋体" w:hAnsi="宋体" w:eastAsia="宋体" w:cs="宋体"/>
        <w:sz w:val="28"/>
        <w:szCs w:val="28"/>
      </w:rPr>
      <w:t>―</w:t>
    </w:r>
  </w:p>
  <w:p>
    <w:pPr>
      <w:ind w:firstLine="640"/>
    </w:pPr>
  </w:p>
  <w:p>
    <w:pPr>
      <w:ind w:firstLine="64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ind w:firstLine="360"/>
    </w:pPr>
  </w:p>
  <w:p>
    <w:pPr>
      <w:ind w:firstLine="640"/>
    </w:pPr>
  </w:p>
  <w:p>
    <w:pPr>
      <w:ind w:firstLine="6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ind w:firstLine="360"/>
    </w:pPr>
  </w:p>
  <w:p>
    <w:pPr>
      <w:ind w:firstLine="640"/>
    </w:pPr>
  </w:p>
  <w:p>
    <w:pPr>
      <w:ind w:firstLine="6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mQ1ZjczZjZkYmNhZGZhMzk0NTc2ZWZkNjRmMTk0MDAifQ=="/>
    <w:docVar w:name="KSO_WPS_MARK_KEY" w:val="e6e66777-8907-464c-92c8-060ea7dc5c8b"/>
  </w:docVars>
  <w:rsids>
    <w:rsidRoot w:val="623E794D"/>
    <w:rsid w:val="000A2067"/>
    <w:rsid w:val="001F45FF"/>
    <w:rsid w:val="00300F4D"/>
    <w:rsid w:val="003263E0"/>
    <w:rsid w:val="004713C0"/>
    <w:rsid w:val="004D60D8"/>
    <w:rsid w:val="007D453F"/>
    <w:rsid w:val="00A1475F"/>
    <w:rsid w:val="00BF5389"/>
    <w:rsid w:val="00C8363F"/>
    <w:rsid w:val="00ED4A56"/>
    <w:rsid w:val="02866A1B"/>
    <w:rsid w:val="0BBE064B"/>
    <w:rsid w:val="13FA44AB"/>
    <w:rsid w:val="19197EF3"/>
    <w:rsid w:val="1C5645B1"/>
    <w:rsid w:val="20AE40C2"/>
    <w:rsid w:val="2AE337D3"/>
    <w:rsid w:val="2EA8572B"/>
    <w:rsid w:val="37927C84"/>
    <w:rsid w:val="3A4304B0"/>
    <w:rsid w:val="45F75BBF"/>
    <w:rsid w:val="4DEE5442"/>
    <w:rsid w:val="569D1D71"/>
    <w:rsid w:val="623E794D"/>
    <w:rsid w:val="6BFF1513"/>
    <w:rsid w:val="7FAC51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3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eastAsia="宋体" w:cs="Courier New"/>
      <w:sz w:val="21"/>
      <w:szCs w:val="21"/>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jc w:val="left"/>
    </w:pPr>
    <w:rPr>
      <w:rFonts w:ascii="宋体" w:hAnsi="宋体" w:eastAsia="宋体" w:cs="宋体"/>
      <w:sz w:val="24"/>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9">
    <w:name w:val="page number"/>
    <w:basedOn w:val="8"/>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877</Words>
  <Characters>5001</Characters>
  <Lines>41</Lines>
  <Paragraphs>11</Paragraphs>
  <TotalTime>3</TotalTime>
  <ScaleCrop>false</ScaleCrop>
  <LinksUpToDate>false</LinksUpToDate>
  <CharactersWithSpaces>5867</CharactersWithSpaces>
  <Application>WPS Office_11.1.0.14178_F1E327BC-269C-435d-A152-05C5408002CA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2019-11-12T02:30:00Z</dcterms:created>
  <dc:creator>孤独的大尾巴狼</dc:creator>
  <cp:lastModifiedBy>看流星飞走</cp:lastModifiedBy>
  <cp:lastPrinted>2024-03-21T01:20:00Z</cp:lastPrinted>
  <dcterms:modified xsi:type="dcterms:W3CDTF">2024-03-22T01:03:08Z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2052-11.1.0.14178</vt:lpwstr>
  </property>
  <property fmtid="{D5CDD505-2E9C-101B-9397-08002B2CF9AE}" pid="3" name="ICV">
    <vt:lpwstr>96C348F74B5741469781C79BC07EB4CD_12</vt:lpwstr>
  </property>
</Properties>
</file>