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3A0F" w:rsidRPr="000D3A0F" w:rsidRDefault="000D3A0F" w:rsidP="000D3A0F">
      <w:pPr>
        <w:rPr>
          <w:rFonts w:ascii="黑体" w:eastAsia="黑体" w:hAnsi="黑体" w:cs="黑体"/>
          <w:sz w:val="32"/>
          <w:szCs w:val="32"/>
        </w:rPr>
      </w:pPr>
      <w:r w:rsidRPr="000D3A0F">
        <w:rPr>
          <w:rFonts w:ascii="黑体" w:eastAsia="黑体" w:hAnsi="黑体" w:cs="黑体" w:hint="eastAsia"/>
          <w:sz w:val="32"/>
          <w:szCs w:val="32"/>
        </w:rPr>
        <w:t>附件2</w:t>
      </w:r>
    </w:p>
    <w:p w:rsidR="000D3A0F" w:rsidRPr="000D3A0F" w:rsidRDefault="000D3A0F" w:rsidP="000D3A0F">
      <w:pPr>
        <w:jc w:val="center"/>
        <w:rPr>
          <w:rFonts w:ascii="黑体" w:eastAsia="黑体" w:hAnsi="黑体" w:cs="黑体" w:hint="eastAsia"/>
          <w:sz w:val="32"/>
          <w:szCs w:val="32"/>
        </w:rPr>
      </w:pPr>
      <w:r w:rsidRPr="000D3A0F">
        <w:rPr>
          <w:rFonts w:ascii="黑体" w:eastAsia="黑体" w:hAnsi="黑体" w:cs="黑体" w:hint="eastAsia"/>
          <w:sz w:val="32"/>
          <w:szCs w:val="32"/>
        </w:rPr>
        <w:t>杭州市养老机构安全隐患整改指南</w:t>
      </w:r>
    </w:p>
    <w:p w:rsidR="000D3A0F" w:rsidRPr="000D3A0F" w:rsidRDefault="000D3A0F" w:rsidP="000D3A0F">
      <w:pPr>
        <w:rPr>
          <w:rFonts w:ascii="黑体" w:eastAsia="黑体" w:hAnsi="黑体" w:cs="黑体" w:hint="eastAsia"/>
          <w:sz w:val="22"/>
        </w:rPr>
      </w:pPr>
      <w:r w:rsidRPr="000D3A0F">
        <w:rPr>
          <w:rFonts w:ascii="黑体" w:eastAsia="黑体" w:hAnsi="黑体" w:cs="黑体" w:hint="eastAsia"/>
          <w:sz w:val="22"/>
        </w:rPr>
        <w:t xml:space="preserve"> </w:t>
      </w:r>
    </w:p>
    <w:p w:rsidR="000D3A0F" w:rsidRPr="000D3A0F" w:rsidRDefault="000D3A0F" w:rsidP="000D3A0F">
      <w:pPr>
        <w:rPr>
          <w:rFonts w:ascii="黑体" w:eastAsia="黑体" w:hAnsi="黑体" w:cs="黑体" w:hint="eastAsia"/>
          <w:sz w:val="28"/>
          <w:szCs w:val="28"/>
        </w:rPr>
      </w:pPr>
      <w:r w:rsidRPr="000D3A0F">
        <w:rPr>
          <w:rFonts w:ascii="黑体" w:eastAsia="黑体" w:hAnsi="黑体" w:cs="黑体" w:hint="eastAsia"/>
          <w:sz w:val="22"/>
        </w:rPr>
        <w:t>表1</w:t>
      </w:r>
      <w:r w:rsidRPr="000D3A0F">
        <w:rPr>
          <w:rFonts w:ascii="黑体" w:eastAsia="黑体" w:hAnsi="黑体" w:cs="黑体" w:hint="eastAsia"/>
          <w:sz w:val="22"/>
          <w:vertAlign w:val="subscript"/>
        </w:rPr>
        <w:t>：</w:t>
      </w:r>
      <w:r w:rsidRPr="000D3A0F">
        <w:rPr>
          <w:rFonts w:ascii="黑体" w:eastAsia="黑体" w:hAnsi="黑体" w:cs="黑体" w:hint="eastAsia"/>
          <w:sz w:val="22"/>
        </w:rPr>
        <w:t>“红灯”指标</w:t>
      </w:r>
      <w:r w:rsidRPr="000D3A0F">
        <w:rPr>
          <w:rFonts w:ascii="黑体" w:eastAsia="黑体" w:hAnsi="黑体" w:cs="黑体" w:hint="eastAsia"/>
          <w:sz w:val="28"/>
          <w:szCs w:val="28"/>
        </w:rPr>
        <w:t xml:space="preserve"> </w:t>
      </w:r>
    </w:p>
    <w:tbl>
      <w:tblPr>
        <w:tblW w:w="13084" w:type="dxa"/>
        <w:tblLayout w:type="fixed"/>
        <w:tblLook w:val="04A0"/>
      </w:tblPr>
      <w:tblGrid>
        <w:gridCol w:w="13084"/>
      </w:tblGrid>
      <w:tr w:rsidR="000D3A0F" w:rsidRPr="000D3A0F" w:rsidTr="000D3A0F">
        <w:trPr>
          <w:trHeight w:val="277"/>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center"/>
              <w:rPr>
                <w:rFonts w:ascii="仿宋" w:eastAsia="仿宋" w:hAnsi="仿宋" w:cs="Vrinda"/>
                <w:b/>
                <w:bCs/>
                <w:kern w:val="0"/>
                <w:sz w:val="20"/>
                <w:szCs w:val="20"/>
              </w:rPr>
            </w:pPr>
            <w:r w:rsidRPr="000D3A0F">
              <w:rPr>
                <w:rFonts w:ascii="黑体" w:eastAsia="黑体" w:hAnsi="黑体" w:cs="Vrinda" w:hint="eastAsia"/>
                <w:kern w:val="0"/>
                <w:sz w:val="24"/>
                <w:szCs w:val="24"/>
              </w:rPr>
              <w:t>指标内容</w:t>
            </w:r>
          </w:p>
        </w:tc>
      </w:tr>
      <w:tr w:rsidR="000D3A0F" w:rsidRPr="000D3A0F" w:rsidTr="000D3A0F">
        <w:trPr>
          <w:trHeight w:val="277"/>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1.无养老机构设立许可证</w:t>
            </w:r>
          </w:p>
        </w:tc>
      </w:tr>
      <w:tr w:rsidR="000D3A0F" w:rsidRPr="000D3A0F" w:rsidTr="000D3A0F">
        <w:trPr>
          <w:trHeight w:val="277"/>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整改期限90天，由机构所在区域民政局负责督促，机构负责人负责整改，且取证前需完成消防验收</w:t>
            </w:r>
          </w:p>
        </w:tc>
      </w:tr>
      <w:tr w:rsidR="000D3A0F" w:rsidRPr="000D3A0F" w:rsidTr="000D3A0F">
        <w:trPr>
          <w:trHeight w:val="277"/>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2.无消防验收合格意见（备案）或现场查验记录</w:t>
            </w:r>
          </w:p>
        </w:tc>
      </w:tr>
      <w:tr w:rsidR="000D3A0F" w:rsidRPr="000D3A0F" w:rsidTr="000D3A0F">
        <w:trPr>
          <w:trHeight w:val="277"/>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整改期限90天，联系当地消防大队，由机构所在区域民政局负责督促，机构负责人负责整改，直至拿到消防大队出具的消防验收合格意见（备案）或现场查验记录</w:t>
            </w:r>
          </w:p>
        </w:tc>
      </w:tr>
      <w:tr w:rsidR="000D3A0F" w:rsidRPr="000D3A0F" w:rsidTr="000D3A0F">
        <w:trPr>
          <w:trHeight w:val="277"/>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3.医养结合型养老机构无医疗机构执业许可证</w:t>
            </w:r>
          </w:p>
        </w:tc>
      </w:tr>
      <w:tr w:rsidR="000D3A0F" w:rsidRPr="000D3A0F" w:rsidTr="000D3A0F">
        <w:trPr>
          <w:trHeight w:val="277"/>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整改期限90天，联系卫计部门、消防部门、环保部门进行材料的提交与审核</w:t>
            </w:r>
          </w:p>
        </w:tc>
      </w:tr>
      <w:tr w:rsidR="000D3A0F" w:rsidRPr="000D3A0F" w:rsidTr="000D3A0F">
        <w:trPr>
          <w:trHeight w:val="272"/>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4.内设食堂养老机构无《食品经营许可证》或《餐饮服务许可证》</w:t>
            </w:r>
          </w:p>
        </w:tc>
      </w:tr>
      <w:tr w:rsidR="000D3A0F" w:rsidRPr="000D3A0F" w:rsidTr="000D3A0F">
        <w:trPr>
          <w:trHeight w:val="272"/>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整改期限40天，由机构所在区域民政局负责督促，机构负责人负责整改，拿上营业执照、场地证明等材料，到市场监管局指定窗口办理《食品经营许可证》（目前办证已取消《餐饮服务许可证》）</w:t>
            </w:r>
          </w:p>
        </w:tc>
      </w:tr>
      <w:tr w:rsidR="000D3A0F" w:rsidRPr="000D3A0F" w:rsidTr="000D3A0F">
        <w:trPr>
          <w:trHeight w:val="272"/>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5.人员住宿和主要活动场所使用易燃可燃装饰装修材料，或采用夹芯材料燃烧性能低于A级的彩钢板搭建建筑</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整改期限30天，由机构所在区域民政局负责督促，机构负责人负责整改，拆除易燃可燃装饰装修材料，不使用或采用夹芯材料燃烧性能低于A级的彩钢板搭建建筑</w:t>
            </w:r>
          </w:p>
        </w:tc>
      </w:tr>
    </w:tbl>
    <w:p w:rsidR="000D3A0F" w:rsidRPr="000D3A0F" w:rsidRDefault="000D3A0F" w:rsidP="000D3A0F">
      <w:pPr>
        <w:widowControl/>
        <w:spacing w:line="360" w:lineRule="exact"/>
        <w:textAlignment w:val="center"/>
        <w:rPr>
          <w:rFonts w:ascii="黑体" w:eastAsia="黑体" w:hAnsi="黑体" w:cs="Times New Roman" w:hint="eastAsia"/>
          <w:sz w:val="22"/>
        </w:rPr>
      </w:pPr>
      <w:r w:rsidRPr="000D3A0F">
        <w:rPr>
          <w:rFonts w:ascii="黑体" w:eastAsia="黑体" w:hAnsi="黑体" w:cs="Times New Roman" w:hint="eastAsia"/>
          <w:sz w:val="22"/>
        </w:rPr>
        <w:t xml:space="preserve"> </w:t>
      </w: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Pr="000D3A0F" w:rsidRDefault="000D3A0F" w:rsidP="000D3A0F">
      <w:pPr>
        <w:widowControl/>
        <w:spacing w:line="360" w:lineRule="exact"/>
        <w:textAlignment w:val="center"/>
        <w:rPr>
          <w:rFonts w:ascii="黑体" w:eastAsia="黑体" w:hAnsi="黑体" w:cs="Times New Roman" w:hint="eastAsia"/>
          <w:sz w:val="22"/>
        </w:rPr>
      </w:pPr>
      <w:r w:rsidRPr="000D3A0F">
        <w:rPr>
          <w:rFonts w:ascii="黑体" w:eastAsia="黑体" w:hAnsi="黑体" w:cs="Times New Roman" w:hint="eastAsia"/>
          <w:sz w:val="22"/>
        </w:rPr>
        <w:lastRenderedPageBreak/>
        <w:t>表2：“橙灯”指标</w:t>
      </w:r>
    </w:p>
    <w:tbl>
      <w:tblPr>
        <w:tblW w:w="13084" w:type="dxa"/>
        <w:tblLayout w:type="fixed"/>
        <w:tblLook w:val="04A0"/>
      </w:tblPr>
      <w:tblGrid>
        <w:gridCol w:w="13084"/>
      </w:tblGrid>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jc w:val="center"/>
              <w:rPr>
                <w:rFonts w:ascii="仿宋" w:eastAsia="仿宋" w:hAnsi="仿宋" w:cs="Vrinda"/>
                <w:b/>
                <w:bCs/>
                <w:kern w:val="0"/>
                <w:sz w:val="20"/>
                <w:szCs w:val="20"/>
              </w:rPr>
            </w:pPr>
            <w:r w:rsidRPr="000D3A0F">
              <w:rPr>
                <w:rFonts w:ascii="黑体" w:eastAsia="黑体" w:hAnsi="黑体" w:cs="Vrinda" w:hint="eastAsia"/>
                <w:kern w:val="0"/>
                <w:sz w:val="24"/>
                <w:szCs w:val="24"/>
              </w:rPr>
              <w:t>指标内容</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Vrinda"/>
                <w:b/>
                <w:bCs/>
                <w:kern w:val="0"/>
                <w:sz w:val="20"/>
                <w:szCs w:val="20"/>
              </w:rPr>
            </w:pPr>
            <w:r w:rsidRPr="000D3A0F">
              <w:rPr>
                <w:rFonts w:ascii="仿宋" w:eastAsia="仿宋" w:hAnsi="仿宋" w:cs="黑体" w:hint="eastAsia"/>
                <w:b/>
                <w:bCs/>
                <w:kern w:val="0"/>
                <w:sz w:val="20"/>
                <w:szCs w:val="20"/>
              </w:rPr>
              <w:t>6.老年人确认入住后未签署入住合同</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整改期限20天，由机构负责人负责督促整改，完成所有未签署入住协议老人的协议，明确机构、入住老人、家属间责权利的划分</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7.无消防值班制度</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整改期限20天，由机构负责人负责督促整改，制度上明确值班人数、值班方式、值班规范、注意事项等</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8.无消控室的，未实行每日24小时消控人员值班制度，或每班值班人数少于两人（使用远程报警系统的值班人数可减半）</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整改期限30天，由机构负责人负责督促整改，消控人员需持消控证上岗</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9.无安全责任制度，包括各岗位责任人的职责、权限、工作内容、工作流程及要求</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整改期限20天，由机构负责人负责督促整改，制度上明确岗位责任人的职责、权限、工作内容、工作流程、要求等</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10.无消防安全管理制度、各岗位人员职责、消防应急疏散制度或措施</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整改期限20天，由机构负责人负责督促整改，三项制度都需完善且明确</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11.无食品安全教育培训制度和岗位责任制度</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整改期限20天，由机构负责人负责督促整改，明确培训制度和岗位责任制度</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12.工作人员未熟练掌握“四个能力”相关内容</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整改期限20天，由机构负责人负责督促整改，需有消防“四个能力”具体内容，工作人员需熟知消防“四个能力”的简版知识</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13.未制定消防演练、应急疏散和灭火预案</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整改期限20天，由机构负责人负责督促整改，制定完善的预案</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14.无专人清点检查灭火器、消防栓</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整改期限20天，由机构负责人负责督促整改，由专人进行每月的灭火器、消防栓检查并记录检查时间和检查人员，灭火器指标在绿色或黄色指标处方为有效，消防栓需正常出水方为有效</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15.介助、介护人员疏散无专人负责</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整改期限20天，由机构负责人负责督促整改，明确介助和介护区域人员的疏散责任人</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16.介护区域未配备应急疏散物资，如轮椅、担架等</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整改期限20天，由机构负责人负责督促整改，备齐应急疏散物资，且放置在容易拿取处</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lastRenderedPageBreak/>
              <w:t>17.未落实室内禁烟和使用明火</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整改期限20天，由机构负责人负责督促整改，并安排工作人员进行每日查房检查，监督院内老人及其他人员禁止室内吸烟和使用明火</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18.在活动室、休养室的外窗设置不能从内部打开的铁栅栏</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整改期限20天，由机构负责人负责督促整改，拆除铁栅栏，若有特殊理由的可设置成从内部打开的铁栅栏，钥匙统一存放在消控室</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19.常闭式防火门不能向疏散方向打开</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整改期限20天，由机构负责人负责督促整改，常闭式防火门打开方向为疏散方向，以便于人员的疏散</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20.确需上锁的防火门断电后不能自动打开</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整改期限20天，由机构负责人负责督促整改，拆除防火门上的锁或遇火灾后门能自动打开，以便人员疏散和逃生</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21.疏散通道、安全出口放置影响逃生和灭火救援的障碍物</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整改期限20天，由机构负责人负责督促整改，清理障碍物，并安排工作人员进行巡查和负责</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22.建筑内部电气线路未使用金属管或涂无防火材料的塑胶管道进行穿管</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23.走廊通道墙面明显处未设置疏散路线示意图，安全出口、疏散通道和楼梯口设置疏散指示标志，无应急照明灯具或应急照明灯具无法使用</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23.走廊通道墙面明显处未设置疏散路线示意图，安全出口、疏散通道和楼梯口设置疏散指示标志，无应急照明灯具或应急照明灯具无法使用</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整改期限20天，由机构负责人负责督促整改，统一位置设置疏散路线示意图，安全出口、疏散通道和楼梯口设有明显的疏散指示标志，应急灯在断电情况下可正常使用</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24.有使用五年以上的电热水器、带显像管的电视机</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整改期限20天，由机构负责人负责督促整改，置换使用五年以上的电热水器、带显像管的电视机</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25.室内使用大功率电器（大于1500瓦的用电器统称为大功率电器）</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整改期限20天，由机构负责人负责督促整改，且安排工作人员进行每日寻房，提醒院内老人禁止使用大功率电器</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rPr>
                <w:rFonts w:ascii="仿宋" w:eastAsia="仿宋" w:hAnsi="仿宋" w:cs="黑体"/>
                <w:b/>
                <w:bCs/>
                <w:kern w:val="0"/>
                <w:sz w:val="20"/>
                <w:szCs w:val="20"/>
              </w:rPr>
            </w:pPr>
            <w:r w:rsidRPr="000D3A0F">
              <w:rPr>
                <w:rFonts w:ascii="仿宋" w:eastAsia="仿宋" w:hAnsi="仿宋" w:cs="黑体" w:hint="eastAsia"/>
                <w:b/>
                <w:bCs/>
                <w:kern w:val="0"/>
                <w:sz w:val="20"/>
                <w:szCs w:val="20"/>
              </w:rPr>
              <w:t>26.自动喷淋灭火系统无法正常使用，喷淋泵最小压力低于0.1兆帕，或未达到楼层高度（米）*0.01+0.4兆帕</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rPr>
                <w:rFonts w:ascii="仿宋" w:eastAsia="仿宋" w:hAnsi="仿宋" w:cs="黑体"/>
                <w:kern w:val="0"/>
                <w:sz w:val="20"/>
                <w:szCs w:val="20"/>
              </w:rPr>
            </w:pPr>
            <w:r w:rsidRPr="000D3A0F">
              <w:rPr>
                <w:rFonts w:ascii="仿宋" w:eastAsia="仿宋" w:hAnsi="仿宋" w:cs="黑体" w:hint="eastAsia"/>
                <w:kern w:val="0"/>
                <w:sz w:val="20"/>
                <w:szCs w:val="20"/>
              </w:rPr>
              <w:t>整改期限40天，由机构负责人负责督促整改，由专人进行每月检查并记录，若压力过小或过大，可找维保单位进行检修</w:t>
            </w:r>
          </w:p>
        </w:tc>
      </w:tr>
      <w:tr w:rsidR="000D3A0F" w:rsidRPr="000D3A0F" w:rsidTr="000D3A0F">
        <w:trPr>
          <w:trHeight w:val="284"/>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rPr>
                <w:rFonts w:ascii="仿宋" w:eastAsia="仿宋" w:hAnsi="仿宋" w:cs="黑体"/>
                <w:b/>
                <w:bCs/>
                <w:kern w:val="0"/>
                <w:sz w:val="20"/>
                <w:szCs w:val="20"/>
              </w:rPr>
            </w:pPr>
            <w:r w:rsidRPr="000D3A0F">
              <w:rPr>
                <w:rFonts w:ascii="仿宋" w:eastAsia="仿宋" w:hAnsi="仿宋" w:cs="黑体" w:hint="eastAsia"/>
                <w:b/>
                <w:bCs/>
                <w:kern w:val="0"/>
                <w:sz w:val="20"/>
                <w:szCs w:val="20"/>
              </w:rPr>
              <w:t>27.没有自动喷淋灭火系统的，在100米以内无市政消防栓或者大型水池、河流等水源，以保证应急水的充足</w:t>
            </w:r>
          </w:p>
        </w:tc>
      </w:tr>
      <w:tr w:rsidR="000D3A0F" w:rsidRPr="000D3A0F" w:rsidTr="000D3A0F">
        <w:trPr>
          <w:trHeight w:val="284"/>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整改期限20天，由机构负责人负责督促整改，若有特殊情况的，提交情况说明至区级民政局</w:t>
            </w:r>
          </w:p>
        </w:tc>
      </w:tr>
      <w:tr w:rsidR="000D3A0F" w:rsidRPr="000D3A0F" w:rsidTr="000D3A0F">
        <w:trPr>
          <w:trHeight w:val="284"/>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rPr>
                <w:rFonts w:ascii="仿宋" w:eastAsia="仿宋" w:hAnsi="仿宋" w:cs="黑体"/>
                <w:b/>
                <w:bCs/>
                <w:kern w:val="0"/>
                <w:sz w:val="20"/>
                <w:szCs w:val="20"/>
              </w:rPr>
            </w:pPr>
            <w:r w:rsidRPr="000D3A0F">
              <w:rPr>
                <w:rFonts w:ascii="仿宋" w:eastAsia="仿宋" w:hAnsi="仿宋" w:cs="黑体" w:hint="eastAsia"/>
                <w:b/>
                <w:bCs/>
                <w:kern w:val="0"/>
                <w:sz w:val="20"/>
                <w:szCs w:val="20"/>
              </w:rPr>
              <w:t>28.室内外消火栓、水泵接合器有损坏、埋压、遮挡、圈占等影响使用的情况</w:t>
            </w:r>
          </w:p>
        </w:tc>
      </w:tr>
      <w:tr w:rsidR="000D3A0F" w:rsidRPr="000D3A0F" w:rsidTr="000D3A0F">
        <w:trPr>
          <w:trHeight w:val="284"/>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整改期限20天，由机构负责人负责督促整改，由专人进行每月的检查并记录</w:t>
            </w:r>
          </w:p>
        </w:tc>
      </w:tr>
      <w:tr w:rsidR="000D3A0F" w:rsidRPr="000D3A0F" w:rsidTr="000D3A0F">
        <w:trPr>
          <w:trHeight w:val="284"/>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rPr>
                <w:rFonts w:ascii="仿宋" w:eastAsia="仿宋" w:hAnsi="仿宋" w:cs="黑体"/>
                <w:b/>
                <w:bCs/>
                <w:kern w:val="0"/>
                <w:sz w:val="20"/>
                <w:szCs w:val="20"/>
              </w:rPr>
            </w:pPr>
            <w:r w:rsidRPr="000D3A0F">
              <w:rPr>
                <w:rFonts w:ascii="仿宋" w:eastAsia="仿宋" w:hAnsi="仿宋" w:cs="黑体" w:hint="eastAsia"/>
                <w:b/>
                <w:bCs/>
                <w:kern w:val="0"/>
                <w:sz w:val="20"/>
                <w:szCs w:val="20"/>
              </w:rPr>
              <w:lastRenderedPageBreak/>
              <w:t>29.每50m范围内未配备一组（2~4个）灭火器，厨房、过道、老人活动点重点未配备灭火器，或配置的无法正常使用</w:t>
            </w:r>
          </w:p>
        </w:tc>
      </w:tr>
      <w:tr w:rsidR="000D3A0F" w:rsidRPr="000D3A0F" w:rsidTr="000D3A0F">
        <w:trPr>
          <w:trHeight w:val="284"/>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整改期限20天，由机构负责人负责督促整改，在规定范围和特定范围内放置有效的灭火器</w:t>
            </w:r>
          </w:p>
        </w:tc>
      </w:tr>
      <w:tr w:rsidR="000D3A0F" w:rsidRPr="000D3A0F" w:rsidTr="000D3A0F">
        <w:trPr>
          <w:trHeight w:val="284"/>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30.使用柴为燃料或使用煤气罐的厨房，煤气罐和柴未独立放置在室外或单独房间内，或煤气罐总数超过2个</w:t>
            </w:r>
          </w:p>
        </w:tc>
      </w:tr>
      <w:tr w:rsidR="000D3A0F" w:rsidRPr="000D3A0F" w:rsidTr="000D3A0F">
        <w:trPr>
          <w:trHeight w:val="284"/>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整改期限20天，由机构负责人负责督促整改，尽量改用燃气灶或电灶，若暂时无法改变的，要加强柴和煤气罐的管理和存放</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31.电动车存在无规定的停放点、无充电安全保护装置或堵塞消防通道的情况</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整改期限20天，由机构负责人负责督促整改，要求电动车按规定地点存放，并在存放处安装充电安全保护装置</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32.通过配送餐方式供餐的养老机构，未签订食品安全书面协议，或者未保留对方食品经营许可证/餐饮许可证复印件</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整改期限20天，由机构负责人负责督促整改，并保留配送方有效的食品经营许可证/餐饮许可证复印件、配送合同原件</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33.食品的从业人员未进行每年健康体检，并取得健康体检合格证</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整改期限20天，由机构负责人负责督促整改，要求每位从事食品工作的人员进行健康体检，并取得有效的健康体检合格证</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34.在机构内提供医疗服务的医生、护士未持有有效的专业资格证书</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整改期限20天，由机构负责人负责督促整改，无医疗服务的可不提供</w:t>
            </w:r>
          </w:p>
        </w:tc>
      </w:tr>
    </w:tbl>
    <w:p w:rsidR="000D3A0F" w:rsidRPr="000D3A0F" w:rsidRDefault="000D3A0F" w:rsidP="000D3A0F">
      <w:pPr>
        <w:widowControl/>
        <w:spacing w:line="360" w:lineRule="exact"/>
        <w:textAlignment w:val="center"/>
        <w:rPr>
          <w:rFonts w:ascii="黑体" w:eastAsia="黑体" w:hAnsi="黑体" w:cs="Times New Roman" w:hint="eastAsia"/>
          <w:sz w:val="22"/>
        </w:rPr>
      </w:pPr>
      <w:r w:rsidRPr="000D3A0F">
        <w:rPr>
          <w:rFonts w:ascii="黑体" w:eastAsia="黑体" w:hAnsi="黑体" w:cs="Times New Roman" w:hint="eastAsia"/>
          <w:sz w:val="22"/>
        </w:rPr>
        <w:t xml:space="preserve"> </w:t>
      </w: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Pr="000D3A0F" w:rsidRDefault="000D3A0F" w:rsidP="000D3A0F">
      <w:pPr>
        <w:widowControl/>
        <w:spacing w:line="360" w:lineRule="exact"/>
        <w:textAlignment w:val="center"/>
        <w:rPr>
          <w:rFonts w:ascii="黑体" w:eastAsia="黑体" w:hAnsi="黑体" w:cs="Times New Roman" w:hint="eastAsia"/>
          <w:sz w:val="22"/>
        </w:rPr>
      </w:pPr>
      <w:r w:rsidRPr="000D3A0F">
        <w:rPr>
          <w:rFonts w:ascii="黑体" w:eastAsia="黑体" w:hAnsi="黑体" w:cs="Times New Roman" w:hint="eastAsia"/>
          <w:sz w:val="22"/>
        </w:rPr>
        <w:lastRenderedPageBreak/>
        <w:t>表3：“黄灯”指标</w:t>
      </w:r>
    </w:p>
    <w:tbl>
      <w:tblPr>
        <w:tblW w:w="13084" w:type="dxa"/>
        <w:tblLayout w:type="fixed"/>
        <w:tblLook w:val="04A0"/>
      </w:tblPr>
      <w:tblGrid>
        <w:gridCol w:w="13084"/>
      </w:tblGrid>
      <w:tr w:rsidR="000D3A0F" w:rsidRPr="000D3A0F" w:rsidTr="000D3A0F">
        <w:trPr>
          <w:trHeight w:val="194"/>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center"/>
              <w:rPr>
                <w:rFonts w:ascii="仿宋" w:eastAsia="仿宋" w:hAnsi="仿宋" w:cs="Vrinda"/>
                <w:b/>
                <w:bCs/>
                <w:kern w:val="0"/>
                <w:sz w:val="20"/>
                <w:szCs w:val="20"/>
              </w:rPr>
            </w:pPr>
            <w:r w:rsidRPr="000D3A0F">
              <w:rPr>
                <w:rFonts w:ascii="黑体" w:eastAsia="黑体" w:hAnsi="黑体" w:cs="Vrinda" w:hint="eastAsia"/>
                <w:kern w:val="0"/>
                <w:sz w:val="24"/>
                <w:szCs w:val="24"/>
              </w:rPr>
              <w:t>指标内容</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35.养老机构床位未投保综合责任保险或综合保险</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整改期限20天，由机构负责人负责督促整改，找指定保险单位购买（2018年指定保险单位为中国人寿财产保险股份有限公司）</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36.无防止压疮制度和措施</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整改期限20天，由机构负责人负责督促整改，有卧床老人或无卧床老人都需要备好防止压疮制度和措施</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37.无火灾、食物中毒、走失、跌倒、故意伤害、传染病应急预案</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整改期限20天，由机构负责人负责督促整改，建立火灾、食物中毒、走失、跌倒、故意伤害、传染病应急预案</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38.无危机预警报告制度，对老年人可能出现的情绪危机或心理危机不能及时发现、及时预警、及时干预</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整改期限20天，由机构负责人负责督促整改，建立老年人危机预警报告制度，明确责任人</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39.消防设施设备运行和维护保养，未进行每月一次全面检查</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整改期限20天，由机构负责人负责督促整改，院内所有消防设施设备设专人进行每月的检查并记录时间和检查人</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40.未定期组织对电器产品及其线路、管路进行维护保养和检测</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整改期限20天，由机构负责人负责督促整改，由专人定期对电子产品及其线路、管路进行维护保养和检测，若电器老化或损坏，建议立即更换或者找专业的维修技师进行维修</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41.未对食品从业人员进行每日晨检，或没有记录</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整改期限20天，由机构负责人负责督促整改，每日对食品从业人员进行咳嗽、腹泻、皮肤感染等基础性传染病和个人卫生的检查</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42.厨房、灶间烟道未做每季度清洗，或没有记录</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整改期限20天，由机构负责人负责督促整改，烟道可找专业的清洗油烟机和管道的团队进行清洗</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43.未开展每日房间巡查，观察老年人的身心状况，特殊情况没有及时报告并协助处理，或未做好记录和交接班</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整改期限20天，由机构负责人负责督促整改，明确每位老人的责任人，责任人需每日进行房间巡查，若遇突发状况，要及时报告并做好应对</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44.养老机构食堂未配备专职或兼职食品安全管理人员，食堂从业人员、管理人员未经过食品安全知识培训，或没有培训档案</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整改期限20天，由机构负责人负责督促整改，邀请专业的食品专家或市场监管局工作人员对相关人员进行培训，并做好记录</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45.护理人员和服务对象的自理、介助、介护配比低于1:15,1:10,1:4</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整改期限40天，由机构负责人负责督促整改，同一位护理人员不可重复计算</w:t>
            </w:r>
          </w:p>
        </w:tc>
      </w:tr>
      <w:tr w:rsidR="000D3A0F" w:rsidRPr="000D3A0F" w:rsidTr="000D3A0F">
        <w:trPr>
          <w:trHeight w:val="329"/>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lastRenderedPageBreak/>
              <w:t>46.对老年人未进行入院评估，或无法根据老年人需求特点提供服务</w:t>
            </w:r>
          </w:p>
        </w:tc>
      </w:tr>
      <w:tr w:rsidR="000D3A0F" w:rsidRPr="000D3A0F" w:rsidTr="000D3A0F">
        <w:trPr>
          <w:trHeight w:val="329"/>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整改期限20天，由机构负责人负责督促整改，院内建立符合自身类别的评估指标，对每位入院老人的身体状况、需求等进行入院评估</w:t>
            </w:r>
          </w:p>
        </w:tc>
      </w:tr>
      <w:tr w:rsidR="000D3A0F" w:rsidRPr="000D3A0F" w:rsidTr="000D3A0F">
        <w:trPr>
          <w:trHeight w:val="329"/>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47.床头、厕所未安装呼叫装置</w:t>
            </w:r>
          </w:p>
        </w:tc>
      </w:tr>
      <w:tr w:rsidR="000D3A0F" w:rsidRPr="000D3A0F" w:rsidTr="000D3A0F">
        <w:trPr>
          <w:trHeight w:val="329"/>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整改期限20天，由机构负责人负责督促整改，若新拉电线不方便，可考虑安装无线呼叫器</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48.未定期对走廊、功能活动区及设施设备进行清洁和消毒</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整改期限20天，由机构负责人负责督促整改，并记录消毒时间和人员</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49.监控设备，视频监控系统无法正常使用，无法对养老机构公共区域进行全方位监控或实行24小时巡查</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整改期限20天，由机构负责人负责督促整改，可采用有线/无线监控设备，事实查看院内情况，并将监控视频保留至少7天及以上，以备发生突发状况时查看回放</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90"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50.使用的电器未通过中国强制认证，不具备3C认证标志</w:t>
            </w:r>
          </w:p>
        </w:tc>
      </w:tr>
      <w:tr w:rsidR="000D3A0F" w:rsidRPr="000D3A0F" w:rsidTr="000D3A0F">
        <w:trPr>
          <w:trHeight w:val="90"/>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90"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整改期限40天，由机构负责人负责督促整改，更换未通过中国强制认证的电器</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51.每400㎡的建筑面积未配备一处消防栓</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整改期限90天，由机构负责人负责督促整改，若无消防栓的养老机构，需提供情况说明</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52.消防车通道不能满足宽4米，高4米，且无障碍物</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整改期限90天，由机构所在区域民政局负责督促，机构负责人负责整改，听取本地域内消防大队建议，若无法整改需提交情况说明</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53.使用燃气管道的未安装自动切断及泄漏报警装置</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整改期限20天，由机构负责人负责督促整改，可在电器商场或网上购买一体化自动切断及泄漏报警装置，并安装</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54.未建成以视频展示为主的“阳光厨房”（＞100张床位的养老机构需配备）</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整改期限40天，由机构负责人负责督促整改，阳光厨房的展示应放在就餐区域，视频接入众食安手机APP，小于100张床位则不做硬性要求</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pacing w:line="188" w:lineRule="atLeast"/>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55.无法满足餐（饮）具每日消毒，餐厨垃圾每日处理</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snapToGrid w:val="0"/>
              <w:spacing w:line="188" w:lineRule="atLeast"/>
              <w:ind w:left="400" w:hangingChars="200" w:hanging="400"/>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整改期限20天，由机构负责人负责督促整改，餐（饮）具消毒和每日的餐厨垃圾、废弃油脂处理要做好记录，相关规定请参考2016年4月1日起实施的《杭州市餐厨废弃物管理办法》</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56.无相对独立的食品原料存放间、食品加工操作间、食品出售场所和就餐场所</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整改期限20天，由机构负责人负责督促整改，要区分并设立单独的功能间</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57.厨房、仓库等辅助用房无1.5米以上的瓷砖或其他可清洗的材料制成的墙裙，备餐间墙裙未到顶</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lastRenderedPageBreak/>
              <w:t>整改期限20天，由机构负责人负责督促整改，墙裙建议使用浅色瓷砖，方便清洗</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58.备餐间、饭菜出售间未安装制冷设备</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整改期限40天，由机构负责人负责督促整改，制冷设备建议使用空调</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59.除冷冻（藏）库外的库房、食品处理区、备餐等场所未安装机械通风、防鼠、防蝇等设施</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整改期限20天，由机构负责人负责督促整改，建议这些区域安装排风扇、挡鼠板、防蝇灯、纱窗等设施</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60.原料粗加工场地未设置水产类、肉类、蔬菜类的清洗水池，或没有明显标识</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整改期限20天，由机构负责人负责督促整改，明确各清洗水池的功能，不可混合使用，以免造成食材的交叉污染</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snapToGrid w:val="0"/>
              <w:ind w:left="402" w:hangingChars="200" w:hanging="402"/>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61.食品储存场所未设有隔离地面的平台和层架（离墙10厘米以上，最底层隔离地面10厘米以上），食品原料未按主食、副食品和调味品等分类分区域存放</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整改期限20天，由机构负责人负责督促整改，可使用货架，并明确各区域存放类别，若为配送，则不需要考虑该项</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62.半成品、成品，生食、熟食未做分柜存放</w:t>
            </w:r>
          </w:p>
        </w:tc>
      </w:tr>
      <w:tr w:rsidR="000D3A0F" w:rsidRPr="000D3A0F" w:rsidTr="000D3A0F">
        <w:trPr>
          <w:trHeight w:val="34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整改期限20天，由机构负责人负责督促整改，明确各类物品的存放区域，不可混合存放，以免造成交叉感染</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63.食品加工、储存、消毒、冷藏和冷冻设施无法正常使用</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整改期限20天，由机构负责人负责督促整改，安装符合要求的加工、储存、消毒、冷藏（冻）设备</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仿宋" w:eastAsia="仿宋" w:hAnsi="仿宋" w:cs="黑体"/>
                <w:b/>
                <w:bCs/>
                <w:kern w:val="0"/>
                <w:sz w:val="20"/>
                <w:szCs w:val="20"/>
              </w:rPr>
            </w:pPr>
            <w:r w:rsidRPr="000D3A0F">
              <w:rPr>
                <w:rFonts w:ascii="仿宋" w:eastAsia="仿宋" w:hAnsi="仿宋" w:cs="黑体" w:hint="eastAsia"/>
                <w:b/>
                <w:bCs/>
                <w:kern w:val="0"/>
                <w:sz w:val="20"/>
                <w:szCs w:val="20"/>
              </w:rPr>
              <w:t>64.灭蝇灯、紫外线灯无法正常使用，或固定式紫外线安装距离高于2米</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整改期限20天，由机构负责人负责督促整改，灭蚊灯和紫外线灯可使用固定式或移动式，其中紫外线灯的有效总时长不超过1000小时</w:t>
            </w:r>
          </w:p>
        </w:tc>
      </w:tr>
    </w:tbl>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Default="000D3A0F" w:rsidP="000D3A0F">
      <w:pPr>
        <w:widowControl/>
        <w:spacing w:line="360" w:lineRule="exact"/>
        <w:textAlignment w:val="center"/>
        <w:rPr>
          <w:rFonts w:ascii="黑体" w:eastAsia="黑体" w:hAnsi="黑体" w:cs="Times New Roman" w:hint="eastAsia"/>
          <w:sz w:val="22"/>
        </w:rPr>
      </w:pPr>
    </w:p>
    <w:p w:rsidR="000D3A0F" w:rsidRPr="000D3A0F" w:rsidRDefault="000D3A0F" w:rsidP="000D3A0F">
      <w:pPr>
        <w:widowControl/>
        <w:spacing w:line="360" w:lineRule="exact"/>
        <w:textAlignment w:val="center"/>
        <w:rPr>
          <w:rFonts w:ascii="黑体" w:eastAsia="黑体" w:hAnsi="黑体" w:cs="Times New Roman" w:hint="eastAsia"/>
          <w:sz w:val="22"/>
        </w:rPr>
      </w:pPr>
      <w:r w:rsidRPr="000D3A0F">
        <w:rPr>
          <w:rFonts w:ascii="黑体" w:eastAsia="黑体" w:hAnsi="黑体" w:cs="Times New Roman" w:hint="eastAsia"/>
          <w:sz w:val="22"/>
        </w:rPr>
        <w:lastRenderedPageBreak/>
        <w:t>表4：“蓝灯”指标</w:t>
      </w:r>
    </w:p>
    <w:tbl>
      <w:tblPr>
        <w:tblW w:w="13084" w:type="dxa"/>
        <w:tblLayout w:type="fixed"/>
        <w:tblLook w:val="04A0"/>
      </w:tblPr>
      <w:tblGrid>
        <w:gridCol w:w="13084"/>
      </w:tblGrid>
      <w:tr w:rsidR="000D3A0F" w:rsidRPr="000D3A0F" w:rsidTr="000D3A0F">
        <w:trPr>
          <w:trHeight w:val="327"/>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center"/>
              <w:rPr>
                <w:rFonts w:ascii="Vrinda" w:eastAsia="宋体" w:hAnsi="Vrinda" w:cs="Vrinda"/>
                <w:b/>
                <w:bCs/>
                <w:kern w:val="0"/>
                <w:sz w:val="20"/>
                <w:szCs w:val="20"/>
              </w:rPr>
            </w:pPr>
            <w:r w:rsidRPr="000D3A0F">
              <w:rPr>
                <w:rFonts w:ascii="黑体" w:eastAsia="黑体" w:hAnsi="黑体" w:cs="Vrinda" w:hint="eastAsia"/>
                <w:kern w:val="0"/>
                <w:sz w:val="24"/>
                <w:szCs w:val="24"/>
              </w:rPr>
              <w:t>指标内容</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65</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消控室工作人员未持有消防行业特有工种职业资格证书</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整改期限20天，由机构负责人负责督促整改，无证的可报名参加市级或国家级培训和考试</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66</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无出入、探视、请销假等制度</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整改期限20天，由机构负责人负责督促整改，建立出入、探视、请销假等制度，并在门卫或消控室做好相关登记</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67</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无食品安全信息公示制度</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整改期限20天，由机构负责人负责督促整改，建立食品安全信息公示制度，并完善相应的许可证、健康体检合格证等的上墙公示</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68</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无负责接待和处理老年人投诉建议的专门部门、人员或电话</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整改期限20天，由机构负责人负责督促整改，明确责任部门、责任人及相关电话</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69</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未配置公共洗衣房和洗衣设施</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整改期限20天，由机构负责人负责督促整改，配备洗衣机等洗衣设备，并有公共洗衣房供老人和工作人员使用</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70</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活动场地有坡度，或有坡度时未局部设置台阶，未设置轮椅坡道及扶手</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整改期限40天，由机构负责人负责督促整改</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71</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走廊、过道两侧未设置扶手（扶手距地面</w:t>
            </w:r>
            <w:r w:rsidRPr="000D3A0F">
              <w:rPr>
                <w:rFonts w:ascii="Times New Roman" w:eastAsia="宋体" w:hAnsi="Times New Roman" w:cs="Times New Roman" w:hint="eastAsia"/>
                <w:b/>
                <w:bCs/>
                <w:kern w:val="0"/>
                <w:sz w:val="20"/>
                <w:szCs w:val="20"/>
              </w:rPr>
              <w:t>0.8</w:t>
            </w:r>
            <w:r w:rsidRPr="000D3A0F">
              <w:rPr>
                <w:rFonts w:ascii="宋体" w:eastAsia="宋体" w:hAnsi="宋体" w:cs="黑体" w:hint="eastAsia"/>
                <w:b/>
                <w:bCs/>
                <w:kern w:val="0"/>
                <w:sz w:val="20"/>
                <w:szCs w:val="20"/>
              </w:rPr>
              <w:t>米</w:t>
            </w:r>
            <w:r w:rsidRPr="000D3A0F">
              <w:rPr>
                <w:rFonts w:ascii="Times New Roman" w:eastAsia="宋体" w:hAnsi="Times New Roman" w:cs="Times New Roman" w:hint="eastAsia"/>
                <w:b/>
                <w:bCs/>
                <w:kern w:val="0"/>
                <w:sz w:val="20"/>
                <w:szCs w:val="20"/>
              </w:rPr>
              <w:t>~0.85</w:t>
            </w:r>
            <w:r w:rsidRPr="000D3A0F">
              <w:rPr>
                <w:rFonts w:ascii="宋体" w:eastAsia="宋体" w:hAnsi="宋体" w:cs="黑体" w:hint="eastAsia"/>
                <w:b/>
                <w:bCs/>
                <w:kern w:val="0"/>
                <w:sz w:val="20"/>
                <w:szCs w:val="20"/>
              </w:rPr>
              <w:t>米）</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整改期限40天，由机构负责人负责督促整改，扶手直径或者宽度应符合老年人手掌大小，且高度符合</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72</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安全玻璃门、玻璃墙未在显著位置警示标志</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整改期限20天，由机构负责人负责督促整改，玻璃门、玻璃墙可贴上腰封和提醒标志，防止人员受伤</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73</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健身器材的安全注意事项和警示标志未设置在活动区显著位置</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整改期限20天，由机构负责人负责督促整改，注意事项建议时刻查看，若标志不明显，需要立即更换新标志</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74</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台阶起止位置无明显的提醒标志</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整改期限20天，由机构负责人负责督促整改，贴上或防止“小心台阶”等的警示标志</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75</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居住房间、餐厅、洗衣房、活动室、走道地面未采用防滑材料或做防滑处理</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整改期限20天，由机构负责人负责督促整改，并防止地面有水，若遇下雨或大雪天气，要及时做好防滑应对措施，准备好防滑垫、稻草等防滑材料</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spacing w:line="188" w:lineRule="atLeast"/>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lastRenderedPageBreak/>
              <w:t>76</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老年人能接触到的各种设施有尖角凸出部分</w:t>
            </w:r>
          </w:p>
        </w:tc>
      </w:tr>
      <w:tr w:rsidR="000D3A0F" w:rsidRPr="000D3A0F" w:rsidTr="000D3A0F">
        <w:trPr>
          <w:trHeight w:val="188"/>
        </w:trPr>
        <w:tc>
          <w:tcPr>
            <w:tcW w:w="13084" w:type="dxa"/>
            <w:tcBorders>
              <w:top w:val="single" w:sz="4" w:space="0" w:color="auto"/>
              <w:left w:val="single" w:sz="4" w:space="0" w:color="auto"/>
              <w:bottom w:val="single" w:sz="4" w:space="0" w:color="auto"/>
              <w:right w:val="single" w:sz="4" w:space="0" w:color="auto"/>
            </w:tcBorders>
            <w:hideMark/>
          </w:tcPr>
          <w:p w:rsidR="000D3A0F" w:rsidRPr="000D3A0F" w:rsidRDefault="000D3A0F" w:rsidP="000D3A0F">
            <w:pPr>
              <w:numPr>
                <w:ilvl w:val="0"/>
                <w:numId w:val="1"/>
              </w:numPr>
              <w:spacing w:line="188" w:lineRule="atLeast"/>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整改期限20天，由机构负责人负责督促整改，对尖角部位进行包裹</w:t>
            </w:r>
          </w:p>
        </w:tc>
      </w:tr>
      <w:tr w:rsidR="000D3A0F" w:rsidRPr="000D3A0F" w:rsidTr="000D3A0F">
        <w:trPr>
          <w:trHeight w:val="265"/>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77</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未利用展板、专栏、广播、电视、电子显示屏等形式开展消防、食品卫生宣传教育</w:t>
            </w:r>
          </w:p>
        </w:tc>
      </w:tr>
      <w:tr w:rsidR="000D3A0F" w:rsidRPr="000D3A0F" w:rsidTr="000D3A0F">
        <w:trPr>
          <w:trHeight w:val="265"/>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整改期限20天，由机构负责人负责督促整改，通过各种适合本院的方式，进行消防安全、食品卫生的宣传教育</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78</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失智老人的生活区域无安全防范措施，未设置独立区域、设置安全门窗</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整改期限40天，由机构负责人负责督促整改，失智老人生活区域应有专人进行24小时的看管，且有门禁等设备，设置可开启式的安全门窗</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79</w:t>
            </w:r>
            <w:r w:rsidRPr="000D3A0F">
              <w:rPr>
                <w:rFonts w:ascii="Times New Roman" w:eastAsia="宋体" w:hAnsi="Times New Roman" w:cs="黑体" w:hint="eastAsia"/>
                <w:b/>
                <w:bCs/>
                <w:kern w:val="0"/>
                <w:sz w:val="20"/>
                <w:szCs w:val="20"/>
              </w:rPr>
              <w:t>.</w:t>
            </w:r>
            <w:r w:rsidRPr="000D3A0F">
              <w:rPr>
                <w:rFonts w:ascii="宋体" w:eastAsia="宋体" w:hAnsi="宋体" w:cs="黑体" w:hint="eastAsia"/>
                <w:b/>
                <w:bCs/>
                <w:kern w:val="0"/>
                <w:sz w:val="20"/>
                <w:szCs w:val="20"/>
              </w:rPr>
              <w:t>工作人员防范意识淡薄、不掌握基础安全事故的应急措施和自救互救知识</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整改期限20天，由机构负责人负责督促整改，定期组织工作人员学习基础安全知识、防范意识、应急措施和自救互救知识，并做好培训记录</w:t>
            </w:r>
          </w:p>
        </w:tc>
      </w:tr>
      <w:tr w:rsidR="000D3A0F" w:rsidRPr="000D3A0F" w:rsidTr="000D3A0F">
        <w:trPr>
          <w:trHeight w:val="286"/>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jc w:val="left"/>
              <w:rPr>
                <w:rFonts w:ascii="Times New Roman" w:eastAsia="宋体" w:hAnsi="Times New Roman" w:cs="黑体"/>
                <w:b/>
                <w:bCs/>
                <w:kern w:val="0"/>
                <w:sz w:val="20"/>
                <w:szCs w:val="20"/>
              </w:rPr>
            </w:pPr>
            <w:r w:rsidRPr="000D3A0F">
              <w:rPr>
                <w:rFonts w:ascii="Times New Roman" w:eastAsia="宋体" w:hAnsi="Times New Roman" w:cs="黑体"/>
                <w:b/>
                <w:bCs/>
                <w:kern w:val="0"/>
                <w:sz w:val="20"/>
                <w:szCs w:val="20"/>
              </w:rPr>
              <w:t>80</w:t>
            </w:r>
            <w:r w:rsidRPr="000D3A0F">
              <w:rPr>
                <w:rFonts w:ascii="Times New Roman" w:eastAsia="宋体" w:hAnsi="Times New Roman" w:cs="黑体" w:hint="eastAsia"/>
                <w:b/>
                <w:bCs/>
                <w:kern w:val="0"/>
                <w:sz w:val="20"/>
                <w:szCs w:val="20"/>
              </w:rPr>
              <w:t>.100</w:t>
            </w:r>
            <w:r w:rsidRPr="000D3A0F">
              <w:rPr>
                <w:rFonts w:ascii="宋体" w:eastAsia="宋体" w:hAnsi="宋体" w:cs="黑体" w:hint="eastAsia"/>
                <w:b/>
                <w:bCs/>
                <w:kern w:val="0"/>
                <w:sz w:val="20"/>
                <w:szCs w:val="20"/>
              </w:rPr>
              <w:t>张床位以上的养老机构未建立微型消防站，并配有</w:t>
            </w:r>
            <w:r w:rsidRPr="000D3A0F">
              <w:rPr>
                <w:rFonts w:ascii="Times New Roman" w:eastAsia="宋体" w:hAnsi="Times New Roman" w:cs="Times New Roman" w:hint="eastAsia"/>
                <w:b/>
                <w:bCs/>
                <w:kern w:val="0"/>
                <w:sz w:val="20"/>
                <w:szCs w:val="20"/>
              </w:rPr>
              <w:t>4</w:t>
            </w:r>
            <w:r w:rsidRPr="000D3A0F">
              <w:rPr>
                <w:rFonts w:ascii="宋体" w:eastAsia="宋体" w:hAnsi="宋体" w:cs="黑体" w:hint="eastAsia"/>
                <w:b/>
                <w:bCs/>
                <w:kern w:val="0"/>
                <w:sz w:val="20"/>
                <w:szCs w:val="20"/>
              </w:rPr>
              <w:t>名以上专</w:t>
            </w:r>
            <w:r w:rsidRPr="000D3A0F">
              <w:rPr>
                <w:rFonts w:ascii="Times New Roman" w:eastAsia="宋体" w:hAnsi="Times New Roman" w:cs="Times New Roman" w:hint="eastAsia"/>
                <w:b/>
                <w:bCs/>
                <w:kern w:val="0"/>
                <w:sz w:val="20"/>
                <w:szCs w:val="20"/>
              </w:rPr>
              <w:t>/</w:t>
            </w:r>
            <w:r w:rsidRPr="000D3A0F">
              <w:rPr>
                <w:rFonts w:ascii="宋体" w:eastAsia="宋体" w:hAnsi="宋体" w:cs="黑体" w:hint="eastAsia"/>
                <w:b/>
                <w:bCs/>
                <w:kern w:val="0"/>
                <w:sz w:val="20"/>
                <w:szCs w:val="20"/>
              </w:rPr>
              <w:t>兼职消防人员</w:t>
            </w:r>
          </w:p>
        </w:tc>
      </w:tr>
      <w:tr w:rsidR="000D3A0F" w:rsidRPr="000D3A0F" w:rsidTr="000D3A0F">
        <w:trPr>
          <w:trHeight w:val="228"/>
        </w:trPr>
        <w:tc>
          <w:tcPr>
            <w:tcW w:w="13084" w:type="dxa"/>
            <w:tcBorders>
              <w:top w:val="single" w:sz="4" w:space="0" w:color="auto"/>
              <w:left w:val="single" w:sz="4" w:space="0" w:color="auto"/>
              <w:bottom w:val="single" w:sz="4" w:space="0" w:color="auto"/>
              <w:right w:val="single" w:sz="4" w:space="0" w:color="auto"/>
            </w:tcBorders>
            <w:vAlign w:val="center"/>
            <w:hideMark/>
          </w:tcPr>
          <w:p w:rsidR="000D3A0F" w:rsidRPr="000D3A0F" w:rsidRDefault="000D3A0F" w:rsidP="000D3A0F">
            <w:pPr>
              <w:numPr>
                <w:ilvl w:val="0"/>
                <w:numId w:val="1"/>
              </w:numPr>
              <w:jc w:val="left"/>
              <w:rPr>
                <w:rFonts w:ascii="仿宋" w:eastAsia="仿宋" w:hAnsi="仿宋" w:cs="黑体"/>
                <w:kern w:val="0"/>
                <w:sz w:val="20"/>
                <w:szCs w:val="20"/>
              </w:rPr>
            </w:pPr>
            <w:r w:rsidRPr="000D3A0F">
              <w:rPr>
                <w:rFonts w:ascii="仿宋" w:eastAsia="仿宋" w:hAnsi="仿宋" w:cs="黑体" w:hint="eastAsia"/>
                <w:kern w:val="0"/>
                <w:sz w:val="20"/>
                <w:szCs w:val="20"/>
              </w:rPr>
              <w:t>整改期限20天，由机构负责人负责督促整改，微型消防站内应配备灭火器、消防水带、消防服套装、防毒面具、照明灯等设施设备，并明确专/兼职消防人员；小于100张床位的可不设立</w:t>
            </w:r>
          </w:p>
        </w:tc>
      </w:tr>
    </w:tbl>
    <w:p w:rsidR="000D3A0F" w:rsidRPr="000D3A0F" w:rsidRDefault="000D3A0F" w:rsidP="000D3A0F">
      <w:pPr>
        <w:rPr>
          <w:rFonts w:ascii="Calibri" w:eastAsia="宋体" w:hAnsi="Calibri" w:cs="黑体" w:hint="eastAsia"/>
          <w:b/>
          <w:bCs/>
          <w:szCs w:val="21"/>
        </w:rPr>
      </w:pPr>
      <w:r w:rsidRPr="000D3A0F">
        <w:rPr>
          <w:rFonts w:ascii="Calibri" w:eastAsia="宋体" w:hAnsi="Calibri" w:cs="黑体" w:hint="eastAsia"/>
          <w:b/>
          <w:bCs/>
          <w:szCs w:val="21"/>
        </w:rPr>
        <w:t xml:space="preserve"> </w:t>
      </w:r>
    </w:p>
    <w:p w:rsidR="00CB0FCB" w:rsidRDefault="000D3A0F"/>
    <w:sectPr w:rsidR="00CB0FCB" w:rsidSect="0029591B">
      <w:pgSz w:w="16838" w:h="11906" w:orient="landscape"/>
      <w:pgMar w:top="1800" w:right="1440" w:bottom="1800" w:left="144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rinda">
    <w:panose1 w:val="020B0502040204020203"/>
    <w:charset w:val="00"/>
    <w:family w:val="swiss"/>
    <w:pitch w:val="variable"/>
    <w:sig w:usb0="0001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6672AE"/>
    <w:multiLevelType w:val="multilevel"/>
    <w:tmpl w:val="FAE824B8"/>
    <w:lvl w:ilvl="0">
      <w:start w:val="1"/>
      <w:numFmt w:val="bullet"/>
      <w:lvlText w:val=""/>
      <w:lvlJc w:val="left"/>
      <w:pPr>
        <w:ind w:left="420" w:hanging="42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29591B"/>
    <w:rsid w:val="000D3A0F"/>
    <w:rsid w:val="0029591B"/>
    <w:rsid w:val="00AB1C5E"/>
    <w:rsid w:val="00B67A46"/>
    <w:rsid w:val="00FE0D2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0D2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D3A0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279072400">
      <w:bodyDiv w:val="1"/>
      <w:marLeft w:val="0"/>
      <w:marRight w:val="0"/>
      <w:marTop w:val="0"/>
      <w:marBottom w:val="0"/>
      <w:divBdr>
        <w:top w:val="none" w:sz="0" w:space="0" w:color="auto"/>
        <w:left w:val="none" w:sz="0" w:space="0" w:color="auto"/>
        <w:bottom w:val="none" w:sz="0" w:space="0" w:color="auto"/>
        <w:right w:val="none" w:sz="0" w:space="0" w:color="auto"/>
      </w:divBdr>
    </w:div>
    <w:div w:id="149880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1028</Words>
  <Characters>5860</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2019-05-28T08:27:00Z</dcterms:created>
  <dcterms:modified xsi:type="dcterms:W3CDTF">2019-05-28T08:27:00Z</dcterms:modified>
</cp:coreProperties>
</file>