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Times New Roman" w:hAnsi="Times New Roman" w:eastAsia="方正小标宋简体" w:cs="Times New Roman"/>
          <w:color w:val="000000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b w:val="0"/>
          <w:bCs w:val="0"/>
          <w:color w:val="000000"/>
          <w:sz w:val="44"/>
          <w:szCs w:val="44"/>
          <w:lang w:val="en-US" w:eastAsia="zh-CN"/>
        </w:rPr>
        <w:t>温岭市科创基金项目评审实施细则（试行）</w:t>
      </w:r>
    </w:p>
    <w:bookmarkEnd w:id="0"/>
    <w:p>
      <w:pPr>
        <w:jc w:val="center"/>
        <w:rPr>
          <w:rFonts w:hint="eastAsia" w:ascii="仿宋" w:hAnsi="仿宋" w:eastAsia="仿宋" w:cs="仿宋"/>
          <w:b/>
          <w:bCs/>
          <w:color w:val="000000"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为加强温岭市科创基金管理，规范投资决策，根据《温岭市科技创新子基金管理办法（修订）》精神，制定本实施细则。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  <w:lang w:eastAsia="zh-CN"/>
        </w:rPr>
        <w:t>适用范围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本细则适用于科创基金“期权+激励”模式的项目投资。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</w:rPr>
        <w:t>评审标准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（一）评审委员会组成。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评审委员会共计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10人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具体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由</w:t>
      </w:r>
      <w:r>
        <w:rPr>
          <w:rFonts w:hint="eastAsia" w:ascii="仿宋_GB2312" w:hAnsi="仿宋_GB2312" w:eastAsia="仿宋_GB2312" w:cs="仿宋_GB2312"/>
          <w:b w:val="0"/>
          <w:color w:val="000000"/>
          <w:kern w:val="2"/>
          <w:sz w:val="32"/>
          <w:szCs w:val="32"/>
          <w:lang w:val="en-US" w:eastAsia="zh-CN" w:bidi="ar"/>
        </w:rPr>
        <w:t>市委组织部（市委人才办）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、市经信局、市科技局、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市财政局、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市人力社保局、市投资促进中心、市国投集团分别委派1人和外部专家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人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（二）评审依据。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评审委员会主要针对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项目团队能力、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技术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水平、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市场前景、商业模式、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风险管理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资金保障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等方面进行评价，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总分为100分。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评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审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标准见附件1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温岭市科创基金项目评审表（试行）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（三）评审规则。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评审委员会决策采取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评分制，评审得分计分规则为去掉一个最高分、一个最低分，剩下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8人评分取平均分。评审得分大于等于60分的，视为同意投资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（四）否决制。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3名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外部专家有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2名及以上对项目评分低于60分的项目不予投资。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</w:rPr>
        <w:t>二、</w:t>
      </w: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  <w:lang w:eastAsia="zh-CN"/>
        </w:rPr>
        <w:t>投资</w:t>
      </w: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</w:rPr>
        <w:t>标准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根据评审委员会的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评审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结果，评分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≥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85分的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项目，按照最高投资额的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100%投资；75分≤评分＜85分的项目，按照最高投资额的75%投资；60分≤评分＜75分的项目，按照最高投资额的50%投资。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对同时符合首期资助和追加资助的项目，可同时申请首期资助和追加资助，根据评分结果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按照上述标准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累加投资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金额。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实际投资额不超过项目方申请投资额。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  <w:lang w:val="en-US" w:eastAsia="zh-CN"/>
        </w:rPr>
        <w:t>三、附则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Hans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Hans"/>
        </w:rPr>
        <w:t>（一）本办法于发布之日起施行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Hans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Hans"/>
        </w:rPr>
        <w:t>（二）本办法由市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科创基金管理委员会办公室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Hans"/>
        </w:rPr>
        <w:t>负责解释。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附件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1：温岭市科创基金投资评审表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eastAsia="zh-CN"/>
        </w:rPr>
        <w:t>附件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2：温岭市科创基金投资申请表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附件3：项目计划书模板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sectPr>
          <w:footerReference r:id="rId3" w:type="default"/>
          <w:pgSz w:w="11906" w:h="16838"/>
          <w:pgMar w:top="1440" w:right="1293" w:bottom="1440" w:left="1406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26" w:charSpace="0"/>
        </w:sectPr>
      </w:pPr>
    </w:p>
    <w:p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333333"/>
          <w:sz w:val="32"/>
          <w:szCs w:val="32"/>
          <w:u w:val="none"/>
          <w:shd w:val="clear" w:color="auto" w:fill="auto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333333"/>
          <w:sz w:val="32"/>
          <w:szCs w:val="32"/>
          <w:u w:val="none"/>
          <w:shd w:val="clear" w:color="auto" w:fill="auto"/>
          <w:lang w:val="en-US" w:eastAsia="zh-CN"/>
        </w:rPr>
        <w:t>附件1：</w:t>
      </w:r>
    </w:p>
    <w:p>
      <w:pPr>
        <w:pStyle w:val="5"/>
        <w:adjustRightInd w:val="0"/>
        <w:snapToGrid w:val="0"/>
        <w:spacing w:beforeAutospacing="0" w:afterAutospacing="0" w:line="600" w:lineRule="exact"/>
        <w:jc w:val="center"/>
        <w:rPr>
          <w:rFonts w:hint="default" w:ascii="Times New Roman" w:hAnsi="Times New Roman" w:eastAsia="方正小标宋简体" w:cs="Times New Roman"/>
          <w:color w:val="000000"/>
          <w:sz w:val="36"/>
          <w:szCs w:val="36"/>
          <w:lang w:val="en-US" w:eastAsia="zh-CN"/>
        </w:rPr>
      </w:pPr>
      <w:r>
        <w:rPr>
          <w:rFonts w:hint="eastAsia" w:ascii="Times New Roman" w:hAnsi="Times New Roman" w:eastAsia="方正小标宋简体" w:cs="Times New Roman"/>
          <w:color w:val="000000"/>
          <w:sz w:val="36"/>
          <w:szCs w:val="36"/>
        </w:rPr>
        <w:t>温岭市</w:t>
      </w:r>
      <w:r>
        <w:rPr>
          <w:rFonts w:hint="eastAsia" w:ascii="Times New Roman" w:hAnsi="Times New Roman" w:eastAsia="方正小标宋简体" w:cs="Times New Roman"/>
          <w:color w:val="000000"/>
          <w:sz w:val="36"/>
          <w:szCs w:val="36"/>
          <w:lang w:val="en-US" w:eastAsia="zh-CN"/>
        </w:rPr>
        <w:t>科创</w:t>
      </w:r>
      <w:r>
        <w:rPr>
          <w:rFonts w:ascii="Times New Roman" w:hAnsi="Times New Roman" w:eastAsia="方正小标宋简体" w:cs="Times New Roman"/>
          <w:color w:val="000000"/>
          <w:sz w:val="36"/>
          <w:szCs w:val="36"/>
        </w:rPr>
        <w:t>基金</w:t>
      </w:r>
      <w:r>
        <w:rPr>
          <w:rFonts w:hint="eastAsia" w:ascii="Times New Roman" w:hAnsi="Times New Roman" w:eastAsia="方正小标宋简体" w:cs="Times New Roman"/>
          <w:color w:val="000000"/>
          <w:sz w:val="36"/>
          <w:szCs w:val="36"/>
          <w:lang w:eastAsia="zh-CN"/>
        </w:rPr>
        <w:t>投资评审</w:t>
      </w:r>
      <w:r>
        <w:rPr>
          <w:rFonts w:hint="eastAsia" w:ascii="Times New Roman" w:hAnsi="Times New Roman" w:eastAsia="方正小标宋简体" w:cs="Times New Roman"/>
          <w:color w:val="000000"/>
          <w:sz w:val="36"/>
          <w:szCs w:val="36"/>
        </w:rPr>
        <w:t>表</w:t>
      </w:r>
    </w:p>
    <w:tbl>
      <w:tblPr>
        <w:tblStyle w:val="6"/>
        <w:tblW w:w="1359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2"/>
        <w:gridCol w:w="2935"/>
        <w:gridCol w:w="1001"/>
        <w:gridCol w:w="6379"/>
        <w:gridCol w:w="106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2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sz w:val="28"/>
                <w:szCs w:val="28"/>
                <w:u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sz w:val="28"/>
                <w:szCs w:val="28"/>
                <w:u w:val="none"/>
                <w:shd w:val="clear" w:color="auto" w:fill="auto"/>
                <w:lang w:val="en-US" w:eastAsia="zh-CN"/>
              </w:rPr>
              <w:t>一级指标</w:t>
            </w:r>
          </w:p>
        </w:tc>
        <w:tc>
          <w:tcPr>
            <w:tcW w:w="2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sz w:val="28"/>
                <w:szCs w:val="28"/>
                <w:u w:val="none"/>
                <w:shd w:val="clear" w:color="auto" w:fill="auto"/>
              </w:rPr>
            </w:pPr>
            <w:r>
              <w:rPr>
                <w:rStyle w:val="13"/>
                <w:rFonts w:hint="eastAsia" w:ascii="仿宋" w:hAnsi="仿宋" w:eastAsia="仿宋" w:cs="仿宋"/>
                <w:sz w:val="28"/>
                <w:szCs w:val="28"/>
                <w:shd w:val="clear" w:color="auto" w:fill="auto"/>
                <w:lang w:val="en-US" w:eastAsia="zh-CN" w:bidi="ar"/>
              </w:rPr>
              <w:t>二级指标</w:t>
            </w:r>
          </w:p>
        </w:tc>
        <w:tc>
          <w:tcPr>
            <w:tcW w:w="10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sz w:val="28"/>
                <w:szCs w:val="28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  <w:t>权重</w:t>
            </w:r>
          </w:p>
        </w:tc>
        <w:tc>
          <w:tcPr>
            <w:tcW w:w="6379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sz w:val="28"/>
                <w:szCs w:val="28"/>
                <w:u w:val="none"/>
                <w:shd w:val="clear" w:color="auto" w:fill="auto"/>
              </w:rPr>
            </w:pPr>
            <w:r>
              <w:rPr>
                <w:rStyle w:val="13"/>
                <w:rFonts w:hint="eastAsia" w:ascii="仿宋" w:hAnsi="仿宋" w:eastAsia="仿宋" w:cs="仿宋"/>
                <w:sz w:val="28"/>
                <w:szCs w:val="28"/>
                <w:shd w:val="clear" w:color="auto" w:fill="auto"/>
                <w:lang w:val="en-US" w:eastAsia="zh-CN" w:bidi="ar"/>
              </w:rPr>
              <w:t>评分标准</w:t>
            </w:r>
          </w:p>
        </w:tc>
        <w:tc>
          <w:tcPr>
            <w:tcW w:w="10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sz w:val="28"/>
                <w:szCs w:val="28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shd w:val="clear" w:color="auto" w:fill="auto"/>
                <w:lang w:val="en-US" w:eastAsia="zh-CN" w:bidi="ar"/>
              </w:rPr>
              <w:t>得分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Style w:val="14"/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 w:bidi="ar"/>
              </w:rPr>
              <w:t>团队能力（16分）</w:t>
            </w: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color w:val="333333"/>
                <w:kern w:val="2"/>
                <w:sz w:val="24"/>
                <w:szCs w:val="24"/>
                <w:lang w:val="en-US" w:eastAsia="zh-CN" w:bidi="ar"/>
              </w:rPr>
              <w:t>管理团队的专业知识水平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i w:val="0"/>
                <w:color w:val="333333"/>
                <w:kern w:val="0"/>
                <w:sz w:val="24"/>
                <w:szCs w:val="24"/>
                <w:lang w:val="en-US" w:eastAsia="zh-CN" w:bidi="ar"/>
              </w:rPr>
              <w:t>6-8</w:t>
            </w:r>
            <w:r>
              <w:rPr>
                <w:rFonts w:hint="default" w:ascii="仿宋" w:hAnsi="仿宋" w:eastAsia="仿宋" w:cs="仿宋"/>
                <w:color w:val="333333"/>
                <w:kern w:val="2"/>
                <w:sz w:val="24"/>
                <w:szCs w:val="24"/>
                <w:lang w:val="en-US" w:eastAsia="zh-CN" w:bidi="ar"/>
              </w:rPr>
              <w:t>分：团队搭配合理，具备很好的专业知识和技能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2935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1001" w:type="dxa"/>
            <w:vMerge w:val="continue"/>
            <w:tcBorders>
              <w:left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i w:val="0"/>
                <w:color w:val="333333"/>
                <w:kern w:val="0"/>
                <w:sz w:val="24"/>
                <w:szCs w:val="24"/>
                <w:lang w:val="en-US" w:eastAsia="zh-CN" w:bidi="ar"/>
              </w:rPr>
              <w:t>3-5</w:t>
            </w:r>
            <w:r>
              <w:rPr>
                <w:rFonts w:hint="default" w:ascii="仿宋" w:hAnsi="仿宋" w:eastAsia="仿宋" w:cs="仿宋"/>
                <w:color w:val="333333"/>
                <w:kern w:val="2"/>
                <w:sz w:val="24"/>
                <w:szCs w:val="24"/>
                <w:lang w:val="en-US" w:eastAsia="zh-CN" w:bidi="ar"/>
              </w:rPr>
              <w:t>分：团队搭配基本合理，具备较好的专业知识和技能</w:t>
            </w:r>
          </w:p>
        </w:tc>
        <w:tc>
          <w:tcPr>
            <w:tcW w:w="1061" w:type="dxa"/>
            <w:vMerge w:val="continue"/>
            <w:tcBorders>
              <w:left w:val="single" w:color="auto" w:sz="4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2935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1001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i w:val="0"/>
                <w:color w:val="333333"/>
                <w:kern w:val="0"/>
                <w:sz w:val="24"/>
                <w:szCs w:val="24"/>
                <w:lang w:val="en-US" w:eastAsia="zh-CN" w:bidi="ar"/>
              </w:rPr>
              <w:t>0-2分：团队搭配有缺陷，专业知识和技能一般</w:t>
            </w:r>
          </w:p>
        </w:tc>
        <w:tc>
          <w:tcPr>
            <w:tcW w:w="1061" w:type="dxa"/>
            <w:vMerge w:val="continue"/>
            <w:tcBorders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Style w:val="17"/>
                <w:rFonts w:hint="default" w:ascii="仿宋" w:hAnsi="仿宋" w:eastAsia="仿宋" w:cs="仿宋"/>
                <w:color w:val="333333"/>
                <w:kern w:val="2"/>
                <w:sz w:val="24"/>
                <w:szCs w:val="24"/>
                <w:lang w:val="en-US" w:eastAsia="zh-CN" w:bidi="ar"/>
              </w:rPr>
              <w:t>研发团队能力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i w:val="0"/>
                <w:color w:val="333333"/>
                <w:kern w:val="0"/>
                <w:sz w:val="24"/>
                <w:szCs w:val="24"/>
                <w:lang w:val="en-US" w:eastAsia="zh-CN" w:bidi="ar"/>
              </w:rPr>
              <w:t>6-8分：研发团队与产品开发能力相匹配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2935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1001" w:type="dxa"/>
            <w:vMerge w:val="continue"/>
            <w:tcBorders>
              <w:left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i w:val="0"/>
                <w:color w:val="333333"/>
                <w:kern w:val="0"/>
                <w:sz w:val="24"/>
                <w:szCs w:val="24"/>
                <w:lang w:val="en-US" w:eastAsia="zh-CN" w:bidi="ar"/>
              </w:rPr>
              <w:t>3-5分：研发团队基本满足产品开发能力</w:t>
            </w:r>
          </w:p>
        </w:tc>
        <w:tc>
          <w:tcPr>
            <w:tcW w:w="1061" w:type="dxa"/>
            <w:vMerge w:val="continue"/>
            <w:tcBorders>
              <w:left w:val="single" w:color="auto" w:sz="4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2935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1001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i w:val="0"/>
                <w:color w:val="333333"/>
                <w:kern w:val="0"/>
                <w:sz w:val="24"/>
                <w:szCs w:val="24"/>
                <w:lang w:val="en-US" w:eastAsia="zh-CN" w:bidi="ar"/>
              </w:rPr>
              <w:t>0-2分：研发团队不足，不能满足产品开发需求</w:t>
            </w:r>
          </w:p>
        </w:tc>
        <w:tc>
          <w:tcPr>
            <w:tcW w:w="1061" w:type="dxa"/>
            <w:vMerge w:val="continue"/>
            <w:tcBorders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技术水平（24分）</w:t>
            </w: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技术创新性和先进性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6-8分：创新性强，技术处于行业领先水平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3-5分：创新性较强，技术处于行业先进水平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0-2分：技术水平和创新性一般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Style w:val="14"/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 w:bidi="ar"/>
              </w:rPr>
              <w:t>产品开发进度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6-8分：产品已开始批量生产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3-5分：产品已开始小批量生产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0-2分：产品尚处于研发阶段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eastAsia="zh-CN"/>
              </w:rPr>
              <w:t>知识产权保护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val="en-US" w:eastAsia="zh-CN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6-8分：知识产权保护好，取得5项以上知识产权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eastAsia="zh-CN"/>
              </w:rPr>
            </w:pPr>
          </w:p>
        </w:tc>
        <w:tc>
          <w:tcPr>
            <w:tcW w:w="1001" w:type="dxa"/>
            <w:vMerge w:val="continue"/>
            <w:tcBorders>
              <w:left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3-5分：知识产权保护较好，取得1-4项知识产权</w:t>
            </w:r>
          </w:p>
        </w:tc>
        <w:tc>
          <w:tcPr>
            <w:tcW w:w="1061" w:type="dxa"/>
            <w:vMerge w:val="continue"/>
            <w:tcBorders>
              <w:left w:val="single" w:color="auto" w:sz="4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eastAsia="zh-CN"/>
              </w:rPr>
            </w:pPr>
          </w:p>
        </w:tc>
        <w:tc>
          <w:tcPr>
            <w:tcW w:w="1001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2"/>
                <w:sz w:val="24"/>
                <w:szCs w:val="24"/>
                <w:u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0-2分：尚未取得知识产权</w:t>
            </w:r>
          </w:p>
        </w:tc>
        <w:tc>
          <w:tcPr>
            <w:tcW w:w="1061" w:type="dxa"/>
            <w:vMerge w:val="continue"/>
            <w:tcBorders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Style w:val="14"/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 w:bidi="ar"/>
              </w:rPr>
              <w:t>市场前景（18分）</w:t>
            </w: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Style w:val="14"/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 w:bidi="ar"/>
              </w:rPr>
              <w:t>市场规模和增长潜力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6-8分：目标市场大且增长潜力高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3-5分：目标市场较大且具有一定增长潜力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0-2分：市场规模小或增长潜力低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市场竞争情况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10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7-10分：竞争对手较少或没有竞争对手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4-6分：有一定竞争对手，但存在差异化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0-2分：市场竞争激烈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Style w:val="14"/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 w:bidi="ar"/>
              </w:rPr>
              <w:t>商业模式（16分）</w:t>
            </w: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Style w:val="14"/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 w:bidi="ar"/>
              </w:rPr>
              <w:t>商业模式的可行性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6-8分：解决市场痛点，有很好的需求，商业模式可行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3-5分：较好满足市场需求并解决痛点，商业模式基本可行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0-2分：商业模式和目标市场契合度差，可行性低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Style w:val="14"/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 w:bidi="ar"/>
              </w:rPr>
              <w:t>盈利能力和可持续发展性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6-8分：具备良好的盈利能力和可持续发展性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3-5分：有一定盈利能力和可持续发展性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0-2分：盈利能力和可持续发展性较差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风险管理（8分）</w:t>
            </w: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Style w:val="14"/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 w:bidi="ar"/>
              </w:rPr>
              <w:t>风险分析和管理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6-8分：风险分析全面且风险管理措施有效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3-5分：风险分析一般且风险管理措施一般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0-2分：风险分析不全面或风险管理措施不完善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22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资金保障（18分）</w:t>
            </w: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实到资金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10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7-10分：实到资金超过本轮科创基金最高投资额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4-6分：实到资金是本轮科创基金最高投资额的50%-100%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0-3分：实到资金是本轮科创基金最高投资额的0%-50%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筹资计划</w:t>
            </w:r>
          </w:p>
        </w:tc>
        <w:tc>
          <w:tcPr>
            <w:tcW w:w="10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8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6-8分：资金筹集计划可行，能保障项目顺利实施</w:t>
            </w:r>
          </w:p>
        </w:tc>
        <w:tc>
          <w:tcPr>
            <w:tcW w:w="1061" w:type="dxa"/>
            <w:vMerge w:val="restart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3-5分：资金筹集计划基本可行，可保障项目顺利实施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2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293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10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tcW w:w="6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0-2分：资金筹集计划可行性低，难以保障项目顺利实施</w:t>
            </w:r>
          </w:p>
        </w:tc>
        <w:tc>
          <w:tcPr>
            <w:tcW w:w="1061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515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eastAsia="zh-CN"/>
              </w:rPr>
              <w:t>总分</w:t>
            </w:r>
          </w:p>
        </w:tc>
        <w:tc>
          <w:tcPr>
            <w:tcW w:w="1001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val="en-US" w:eastAsia="zh-CN"/>
              </w:rPr>
              <w:t>100</w:t>
            </w:r>
          </w:p>
        </w:tc>
        <w:tc>
          <w:tcPr>
            <w:tcW w:w="6379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4"/>
                <w:szCs w:val="24"/>
                <w:u w:val="none"/>
                <w:shd w:val="clear" w:color="auto" w:fill="auto"/>
                <w:lang w:val="en-US" w:eastAsia="zh-CN" w:bidi="ar"/>
              </w:rPr>
              <w:t>/</w:t>
            </w:r>
          </w:p>
        </w:tc>
        <w:tc>
          <w:tcPr>
            <w:tcW w:w="10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13598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sz w:val="24"/>
                <w:szCs w:val="24"/>
                <w:u w:val="none"/>
                <w:shd w:val="clear" w:color="auto" w:fill="auto"/>
                <w:lang w:val="en-US" w:eastAsia="zh-CN"/>
              </w:rPr>
              <w:t>专家签名：</w:t>
            </w:r>
          </w:p>
        </w:tc>
      </w:tr>
    </w:tbl>
    <w:p>
      <w:pPr>
        <w:pStyle w:val="5"/>
        <w:adjustRightInd w:val="0"/>
        <w:snapToGrid w:val="0"/>
        <w:spacing w:before="0" w:beforeAutospacing="0" w:after="0" w:afterAutospacing="0" w:line="360" w:lineRule="exact"/>
        <w:jc w:val="both"/>
      </w:pPr>
    </w:p>
    <w:p>
      <w:pPr>
        <w:pStyle w:val="5"/>
        <w:adjustRightInd w:val="0"/>
        <w:snapToGrid w:val="0"/>
        <w:spacing w:before="0" w:beforeAutospacing="0" w:after="0" w:afterAutospacing="0" w:line="360" w:lineRule="exact"/>
        <w:jc w:val="both"/>
      </w:pPr>
    </w:p>
    <w:p>
      <w:pPr>
        <w:pStyle w:val="5"/>
        <w:adjustRightInd w:val="0"/>
        <w:snapToGrid w:val="0"/>
        <w:spacing w:before="0" w:beforeAutospacing="0" w:after="0" w:afterAutospacing="0" w:line="360" w:lineRule="exact"/>
        <w:jc w:val="both"/>
      </w:pPr>
    </w:p>
    <w:p>
      <w:pPr>
        <w:pStyle w:val="5"/>
        <w:adjustRightInd w:val="0"/>
        <w:snapToGrid w:val="0"/>
        <w:spacing w:before="0" w:beforeAutospacing="0" w:after="0" w:afterAutospacing="0" w:line="360" w:lineRule="exact"/>
        <w:jc w:val="both"/>
      </w:pPr>
    </w:p>
    <w:p>
      <w:pPr>
        <w:pStyle w:val="5"/>
        <w:adjustRightInd w:val="0"/>
        <w:snapToGrid w:val="0"/>
        <w:spacing w:before="0" w:beforeAutospacing="0" w:after="0" w:afterAutospacing="0" w:line="360" w:lineRule="exact"/>
        <w:jc w:val="both"/>
      </w:pPr>
    </w:p>
    <w:p>
      <w:pPr>
        <w:pStyle w:val="5"/>
        <w:adjustRightInd w:val="0"/>
        <w:snapToGrid w:val="0"/>
        <w:spacing w:before="0" w:beforeAutospacing="0" w:after="0" w:afterAutospacing="0" w:line="360" w:lineRule="exact"/>
        <w:jc w:val="both"/>
      </w:pPr>
    </w:p>
    <w:p>
      <w:pPr>
        <w:sectPr>
          <w:pgSz w:w="16838" w:h="11906" w:orient="landscape"/>
          <w:pgMar w:top="1293" w:right="1440" w:bottom="1066" w:left="144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type="lines" w:linePitch="326" w:charSpace="0"/>
        </w:sectPr>
      </w:pPr>
    </w:p>
    <w:p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333333"/>
          <w:sz w:val="32"/>
          <w:szCs w:val="32"/>
          <w:u w:val="none"/>
          <w:shd w:val="clear" w:color="auto" w:fill="auto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333333"/>
          <w:sz w:val="32"/>
          <w:szCs w:val="32"/>
          <w:u w:val="none"/>
          <w:shd w:val="clear" w:color="auto" w:fill="auto"/>
          <w:lang w:val="en-US" w:eastAsia="zh-CN"/>
        </w:rPr>
        <w:t>附件2：</w:t>
      </w:r>
    </w:p>
    <w:p>
      <w:pPr>
        <w:widowControl/>
        <w:jc w:val="center"/>
        <w:rPr>
          <w:rFonts w:hint="eastAsia" w:ascii="黑体" w:hAnsi="黑体" w:eastAsia="黑体" w:cs="黑体"/>
          <w:b/>
          <w:color w:val="000000"/>
          <w:kern w:val="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  <w:u w:val="none"/>
          <w:lang w:eastAsia="zh-CN"/>
        </w:rPr>
        <w:t>温岭市科创基金投资</w:t>
      </w:r>
      <w:r>
        <w:rPr>
          <w:rFonts w:hint="eastAsia" w:ascii="黑体" w:hAnsi="黑体" w:eastAsia="黑体" w:cs="黑体"/>
          <w:color w:val="000000"/>
          <w:sz w:val="36"/>
          <w:szCs w:val="36"/>
          <w:u w:val="none"/>
        </w:rPr>
        <w:t>申报表</w:t>
      </w:r>
    </w:p>
    <w:tbl>
      <w:tblPr>
        <w:tblStyle w:val="6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2393"/>
        <w:gridCol w:w="1710"/>
        <w:gridCol w:w="245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60" w:type="dxa"/>
            <w:tcBorders>
              <w:top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公司名称</w:t>
            </w:r>
          </w:p>
        </w:tc>
        <w:tc>
          <w:tcPr>
            <w:tcW w:w="2393" w:type="dxa"/>
            <w:tcBorders>
              <w:top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信用代码</w:t>
            </w:r>
          </w:p>
        </w:tc>
        <w:tc>
          <w:tcPr>
            <w:tcW w:w="2459" w:type="dxa"/>
            <w:tcBorders>
              <w:top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6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注册时间</w:t>
            </w:r>
          </w:p>
        </w:tc>
        <w:tc>
          <w:tcPr>
            <w:tcW w:w="239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注册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地址</w:t>
            </w:r>
          </w:p>
        </w:tc>
        <w:tc>
          <w:tcPr>
            <w:tcW w:w="245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6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注册资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金</w:t>
            </w:r>
          </w:p>
        </w:tc>
        <w:tc>
          <w:tcPr>
            <w:tcW w:w="239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行业类别</w:t>
            </w:r>
          </w:p>
        </w:tc>
        <w:tc>
          <w:tcPr>
            <w:tcW w:w="245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6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法定代表人</w:t>
            </w:r>
          </w:p>
        </w:tc>
        <w:tc>
          <w:tcPr>
            <w:tcW w:w="239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联系电话</w:t>
            </w:r>
          </w:p>
        </w:tc>
        <w:tc>
          <w:tcPr>
            <w:tcW w:w="245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6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业务联络人</w:t>
            </w:r>
          </w:p>
        </w:tc>
        <w:tc>
          <w:tcPr>
            <w:tcW w:w="239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71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联系电话</w:t>
            </w:r>
          </w:p>
        </w:tc>
        <w:tc>
          <w:tcPr>
            <w:tcW w:w="245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6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投资模式</w:t>
            </w:r>
          </w:p>
        </w:tc>
        <w:tc>
          <w:tcPr>
            <w:tcW w:w="6562" w:type="dxa"/>
            <w:gridSpan w:val="3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首期投资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     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          追加投资    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□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首期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+追加投资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          一事一议投资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  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跟投         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</w:trPr>
        <w:tc>
          <w:tcPr>
            <w:tcW w:w="196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  <w:t>项目类别</w:t>
            </w:r>
          </w:p>
        </w:tc>
        <w:tc>
          <w:tcPr>
            <w:tcW w:w="6562" w:type="dxa"/>
            <w:gridSpan w:val="3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台州市高层次人才创业项目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□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成果转化项目              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□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  <w:t>产业链补链、强链、延链项目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eastAsia="zh-CN"/>
              </w:rPr>
              <w:t>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</w:trPr>
        <w:tc>
          <w:tcPr>
            <w:tcW w:w="196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  <w:t>申请投资金额</w:t>
            </w:r>
          </w:p>
        </w:tc>
        <w:tc>
          <w:tcPr>
            <w:tcW w:w="6562" w:type="dxa"/>
            <w:gridSpan w:val="3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  <w:t>（万元）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2" w:hRule="atLeast"/>
        </w:trPr>
        <w:tc>
          <w:tcPr>
            <w:tcW w:w="8522" w:type="dxa"/>
            <w:gridSpan w:val="4"/>
            <w:tcBorders>
              <w:top w:val="single" w:color="auto" w:sz="8" w:space="0"/>
            </w:tcBorders>
            <w:shd w:val="clear" w:color="auto" w:fill="auto"/>
            <w:noWrap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</w:rPr>
            </w:pPr>
          </w:p>
          <w:p>
            <w:pPr>
              <w:keepNext w:val="0"/>
              <w:keepLines w:val="0"/>
              <w:suppressLineNumbers w:val="0"/>
              <w:shd w:val="clear" w:color="auto" w:fill="auto"/>
              <w:adjustRightInd w:val="0"/>
              <w:snapToGrid w:val="0"/>
              <w:spacing w:before="0" w:beforeAutospacing="0" w:after="0" w:afterAutospacing="0" w:line="360" w:lineRule="auto"/>
              <w:ind w:left="0" w:right="840" w:firstLine="560" w:firstLineChars="200"/>
              <w:jc w:val="both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  <w:p>
            <w:pPr>
              <w:keepNext w:val="0"/>
              <w:keepLines w:val="0"/>
              <w:suppressLineNumbers w:val="0"/>
              <w:shd w:val="clear" w:color="auto" w:fill="auto"/>
              <w:adjustRightInd w:val="0"/>
              <w:snapToGrid w:val="0"/>
              <w:spacing w:before="0" w:beforeAutospacing="0" w:after="0" w:afterAutospacing="0" w:line="360" w:lineRule="auto"/>
              <w:ind w:left="0" w:right="840" w:firstLine="560" w:firstLineChars="200"/>
              <w:jc w:val="both"/>
              <w:rPr>
                <w:rFonts w:hint="eastAsia" w:ascii="仿宋_GB2312" w:hAnsi="仿宋_GB2312" w:eastAsia="仿宋_GB2312" w:cs="仿宋_GB2312"/>
                <w:b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  <w:t>本公司已知晓并自觉遵守《温岭市科技子基金管理办法（修订）》相关内容，自愿申报温岭市科技创新子基金支持。</w:t>
            </w:r>
          </w:p>
          <w:p>
            <w:pPr>
              <w:keepNext w:val="0"/>
              <w:keepLines w:val="0"/>
              <w:suppressLineNumbers w:val="0"/>
              <w:shd w:val="clear" w:color="auto" w:fill="auto"/>
              <w:adjustRightInd w:val="0"/>
              <w:snapToGrid w:val="0"/>
              <w:spacing w:before="0" w:beforeAutospacing="0" w:after="0" w:afterAutospacing="0" w:line="600" w:lineRule="exact"/>
              <w:ind w:left="0" w:right="0" w:firstLine="3360" w:firstLineChars="1200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u w:val="none"/>
              </w:rPr>
              <w:t>法定代表人签字：</w:t>
            </w:r>
          </w:p>
          <w:p>
            <w:pPr>
              <w:keepNext w:val="0"/>
              <w:keepLines w:val="0"/>
              <w:suppressLineNumbers w:val="0"/>
              <w:shd w:val="clear" w:color="auto" w:fill="auto"/>
              <w:adjustRightInd w:val="0"/>
              <w:snapToGrid w:val="0"/>
              <w:spacing w:before="0" w:beforeAutospacing="0" w:after="0" w:afterAutospacing="0" w:line="600" w:lineRule="exact"/>
              <w:ind w:left="0" w:right="0" w:firstLine="3360" w:firstLineChars="1200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u w:val="none"/>
                <w:lang w:val="en-US" w:eastAsia="zh-CN"/>
              </w:rPr>
              <w:t>申请单位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u w:val="none"/>
              </w:rPr>
              <w:t>（盖章）：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360" w:firstLineChars="1200"/>
              <w:rPr>
                <w:rFonts w:hint="eastAsia" w:ascii="仿宋_GB2312" w:hAnsi="仿宋_GB2312" w:eastAsia="仿宋_GB2312" w:cs="仿宋_GB2312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u w:val="none"/>
              </w:rPr>
              <w:t xml:space="preserve">签署日期：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u w:val="none"/>
              </w:rPr>
              <w:t xml:space="preserve">  年   月  日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u w:val="none"/>
              </w:rPr>
              <w:t xml:space="preserve"> </w:t>
            </w:r>
          </w:p>
        </w:tc>
      </w:tr>
    </w:tbl>
    <w:p>
      <w:pPr>
        <w:pStyle w:val="5"/>
        <w:adjustRightInd w:val="0"/>
        <w:snapToGrid w:val="0"/>
        <w:spacing w:before="0" w:beforeAutospacing="0" w:after="0" w:afterAutospacing="0" w:line="360" w:lineRule="auto"/>
        <w:rPr>
          <w:rFonts w:ascii="楷体" w:hAnsi="楷体" w:eastAsia="楷体"/>
          <w:sz w:val="28"/>
          <w:szCs w:val="28"/>
        </w:rPr>
      </w:pPr>
    </w:p>
    <w:p>
      <w:pPr>
        <w:pStyle w:val="5"/>
        <w:adjustRightInd w:val="0"/>
        <w:snapToGrid w:val="0"/>
        <w:spacing w:before="0" w:beforeAutospacing="0" w:after="0" w:afterAutospacing="0" w:line="360" w:lineRule="auto"/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333333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333333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附件3：</w:t>
      </w:r>
    </w:p>
    <w:p>
      <w:pPr>
        <w:pStyle w:val="5"/>
        <w:adjustRightInd w:val="0"/>
        <w:snapToGrid w:val="0"/>
        <w:spacing w:before="0" w:beforeAutospacing="0" w:after="0" w:afterAutospacing="0" w:line="360" w:lineRule="auto"/>
        <w:jc w:val="center"/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36"/>
          <w:szCs w:val="36"/>
          <w:lang w:eastAsia="zh-CN"/>
        </w:rPr>
        <w:t>项目计划书（模板）</w:t>
      </w:r>
    </w:p>
    <w:p>
      <w:pPr>
        <w:widowControl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  <w:lang w:eastAsia="zh-CN"/>
        </w:rPr>
        <w:t>一、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</w:rPr>
        <w:t>公司基本情况</w:t>
      </w:r>
    </w:p>
    <w:p>
      <w:pPr>
        <w:widowControl/>
        <w:numPr>
          <w:ilvl w:val="0"/>
          <w:numId w:val="2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公司简介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</w:p>
    <w:p>
      <w:pPr>
        <w:widowControl/>
        <w:numPr>
          <w:ilvl w:val="0"/>
          <w:numId w:val="2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股权结构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</w:p>
    <w:p>
      <w:pPr>
        <w:widowControl/>
        <w:numPr>
          <w:ilvl w:val="0"/>
          <w:numId w:val="2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员工情况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</w:p>
    <w:p>
      <w:pPr>
        <w:widowControl/>
        <w:numPr>
          <w:ilvl w:val="0"/>
          <w:numId w:val="2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对外投资情况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</w:p>
    <w:p>
      <w:pPr>
        <w:widowControl/>
        <w:numPr>
          <w:ilvl w:val="0"/>
          <w:numId w:val="2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历史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融资情况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</w:p>
    <w:p>
      <w:pPr>
        <w:widowControl/>
        <w:numPr>
          <w:ilvl w:val="0"/>
          <w:numId w:val="2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获得荣誉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</w:p>
    <w:p>
      <w:pPr>
        <w:widowControl/>
        <w:numPr>
          <w:ilvl w:val="0"/>
          <w:numId w:val="2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经营情况</w:t>
      </w:r>
    </w:p>
    <w:tbl>
      <w:tblPr>
        <w:tblStyle w:val="7"/>
        <w:tblW w:w="8736" w:type="dxa"/>
        <w:tblInd w:w="-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80"/>
        <w:gridCol w:w="1849"/>
        <w:gridCol w:w="1834"/>
        <w:gridCol w:w="16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财务指标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highlight w:val="yellow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2023年1-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月</w:t>
            </w: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2022年度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2021年度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2020年度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主营业务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收入</w:t>
            </w:r>
          </w:p>
        </w:tc>
        <w:tc>
          <w:tcPr>
            <w:tcW w:w="168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4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34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69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主营业务利润</w:t>
            </w:r>
          </w:p>
        </w:tc>
        <w:tc>
          <w:tcPr>
            <w:tcW w:w="16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研发费用</w:t>
            </w:r>
          </w:p>
        </w:tc>
        <w:tc>
          <w:tcPr>
            <w:tcW w:w="16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净利润</w:t>
            </w:r>
          </w:p>
        </w:tc>
        <w:tc>
          <w:tcPr>
            <w:tcW w:w="1680" w:type="dxa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49" w:type="dxa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34" w:type="dxa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财务指标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  <w:t>2023年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highlight w:val="yellow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  <w:t>月3</w:t>
            </w: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  <w:t>日</w:t>
            </w: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  <w:t>2022年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  <w:t>12月31日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  <w:t>2021年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  <w:t>12月31日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  <w:t>2020年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  <w:t>12月31日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流动资产</w:t>
            </w:r>
          </w:p>
        </w:tc>
        <w:tc>
          <w:tcPr>
            <w:tcW w:w="16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固定资产</w:t>
            </w:r>
          </w:p>
        </w:tc>
        <w:tc>
          <w:tcPr>
            <w:tcW w:w="16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实收资本</w:t>
            </w:r>
          </w:p>
        </w:tc>
        <w:tc>
          <w:tcPr>
            <w:tcW w:w="16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总资产</w:t>
            </w:r>
          </w:p>
        </w:tc>
        <w:tc>
          <w:tcPr>
            <w:tcW w:w="16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净资产</w:t>
            </w:r>
          </w:p>
        </w:tc>
        <w:tc>
          <w:tcPr>
            <w:tcW w:w="16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</w:tbl>
    <w:p>
      <w:pPr>
        <w:widowControl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  <w:lang w:eastAsia="zh-CN"/>
        </w:rPr>
      </w:pPr>
    </w:p>
    <w:p>
      <w:pPr>
        <w:widowControl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  <w:lang w:eastAsia="zh-CN"/>
        </w:rPr>
        <w:t>二、项目概况</w:t>
      </w:r>
    </w:p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（一）团队情况</w:t>
      </w:r>
    </w:p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1.团队主要成员教育、工作履历及分工：</w:t>
      </w:r>
    </w:p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pStyle w:val="16"/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（二）项目产品及技术</w:t>
      </w:r>
    </w:p>
    <w:p>
      <w:pPr>
        <w:widowControl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</w:rPr>
        <w:t>主要产品或提供的服务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：</w:t>
      </w:r>
    </w:p>
    <w:p>
      <w:pPr>
        <w:widowControl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widowControl/>
        <w:numPr>
          <w:ilvl w:val="0"/>
          <w:numId w:val="3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技术水平（对比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分析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公司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与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</w:rPr>
        <w:t>行业主流技术路线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、各自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</w:rPr>
        <w:t>优劣</w:t>
      </w: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  <w:t>）：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eastAsia="zh-CN"/>
        </w:rPr>
      </w:pPr>
    </w:p>
    <w:p>
      <w:pPr>
        <w:widowControl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3.产品开发及销售进度：</w:t>
      </w:r>
    </w:p>
    <w:p>
      <w:pPr>
        <w:widowControl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</w:rPr>
      </w:pP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4.知识产权情况：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（三）市场情况</w:t>
      </w:r>
    </w:p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1.目标市场规模及发展前景：</w:t>
      </w:r>
    </w:p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2.目标市场竞争情况：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（四）商业模式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1.公司商业模式及可持续性：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2.发展计划：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1554"/>
        <w:gridCol w:w="1861"/>
        <w:gridCol w:w="1858"/>
        <w:gridCol w:w="18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财务指标</w:t>
            </w:r>
          </w:p>
        </w:tc>
        <w:tc>
          <w:tcPr>
            <w:tcW w:w="1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highlight w:val="yellow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202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年度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202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年度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202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年度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202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投资计划</w:t>
            </w:r>
          </w:p>
        </w:tc>
        <w:tc>
          <w:tcPr>
            <w:tcW w:w="1554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61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58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34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营业收入</w:t>
            </w:r>
          </w:p>
        </w:tc>
        <w:tc>
          <w:tcPr>
            <w:tcW w:w="15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利润</w:t>
            </w:r>
          </w:p>
        </w:tc>
        <w:tc>
          <w:tcPr>
            <w:tcW w:w="15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 w:firstLine="0" w:firstLineChars="0"/>
              <w:jc w:val="righ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</w:tbl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（五）风险管理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1.公司经营潜在风险：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widowControl/>
        <w:numPr>
          <w:ilvl w:val="0"/>
          <w:numId w:val="4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应对措施：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（六）资金保障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1.公司股东实到资本情况：</w:t>
      </w:r>
    </w:p>
    <w:p>
      <w:pPr>
        <w:widowControl/>
        <w:numPr>
          <w:ilvl w:val="0"/>
          <w:numId w:val="0"/>
        </w:numPr>
        <w:jc w:val="both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widowControl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2.公司筹资计划：</w:t>
      </w:r>
    </w:p>
    <w:p>
      <w:pPr>
        <w:widowControl/>
        <w:numPr>
          <w:ilvl w:val="0"/>
          <w:numId w:val="0"/>
        </w:numP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</w:p>
    <w:p>
      <w:pPr>
        <w:widowControl/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8"/>
          <w:szCs w:val="28"/>
          <w:lang w:val="en-US" w:eastAsia="zh-CN"/>
        </w:rPr>
        <w:t>三、附件：</w:t>
      </w:r>
    </w:p>
    <w:p>
      <w:pPr>
        <w:widowControl/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/>
        </w:rPr>
        <w:t>（一）近三年公司财务报表及当年最新月份财务报表</w:t>
      </w:r>
    </w:p>
    <w:p>
      <w:pPr>
        <w:pStyle w:val="5"/>
        <w:widowControl/>
        <w:numPr>
          <w:ilvl w:val="0"/>
          <w:numId w:val="0"/>
        </w:numPr>
        <w:adjustRightInd w:val="0"/>
        <w:snapToGrid w:val="0"/>
        <w:spacing w:before="0" w:beforeAutospacing="0" w:after="0" w:afterAutospacing="0" w:line="360" w:lineRule="auto"/>
        <w:jc w:val="left"/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8"/>
          <w:szCs w:val="28"/>
          <w:lang w:val="en-US" w:eastAsia="zh-CN" w:bidi="ar-SA"/>
        </w:rPr>
        <w:t>（二）其他需提交的资料</w:t>
      </w:r>
    </w:p>
    <w:p>
      <w:pPr>
        <w:pStyle w:val="5"/>
        <w:adjustRightInd w:val="0"/>
        <w:snapToGrid w:val="0"/>
        <w:spacing w:before="0" w:beforeAutospacing="0" w:after="0" w:afterAutospacing="0" w:line="360" w:lineRule="exact"/>
        <w:jc w:val="both"/>
        <w:rPr>
          <w:rFonts w:hint="eastAsia" w:ascii="仿宋_GB2312" w:hAnsi="仿宋_GB2312" w:eastAsia="仿宋_GB2312" w:cs="仿宋_GB2312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216BDF5-AF05-4AFC-9E59-370FA6978BA6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EBF92348-8D8E-484A-969B-C545953B490F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DCEA8B1F-315F-457D-88E2-C37B74CF899C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16648770-7C96-481C-BC6C-EC04DED3EC19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AB4AED0B-5A2A-442C-B772-35541CC25BF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63789881"/>
                          </w:sdtPr>
                          <w:sdtContent>
                            <w:p>
                              <w:pPr>
                                <w:pStyle w:val="3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2</w:t>
                              </w:r>
                              <w:r>
                                <w:rPr>
                                  <w:lang w:val="zh-CN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63789881"/>
                    </w:sdtPr>
                    <w:sdtContent>
                      <w:p>
                        <w:pPr>
                          <w:pStyle w:val="3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2</w:t>
                        </w:r>
                        <w:r>
                          <w:rPr>
                            <w:lang w:val="zh-CN"/>
                          </w:rPr>
                          <w:fldChar w:fldCharType="end"/>
                        </w:r>
                      </w:p>
                    </w:sdtContent>
                  </w:sdt>
                  <w:p/>
                </w:txbxContent>
              </v:textbox>
            </v:shape>
          </w:pict>
        </mc:Fallback>
      </mc:AlternateContent>
    </w:r>
  </w:p>
  <w:p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D4F23E"/>
    <w:multiLevelType w:val="singleLevel"/>
    <w:tmpl w:val="B6D4F23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38CAE31"/>
    <w:multiLevelType w:val="singleLevel"/>
    <w:tmpl w:val="F38CAE3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A293518"/>
    <w:multiLevelType w:val="singleLevel"/>
    <w:tmpl w:val="2A29351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9C2C9ED"/>
    <w:multiLevelType w:val="singleLevel"/>
    <w:tmpl w:val="69C2C9ED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TrueTypeFonts/>
  <w:saveSubsetFonts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JhYmNlYjhjYWQ2NTMzY2U2MzFhMjE5NmVlNTIyYzMifQ=="/>
  </w:docVars>
  <w:rsids>
    <w:rsidRoot w:val="00172A27"/>
    <w:rsid w:val="000760F9"/>
    <w:rsid w:val="00177574"/>
    <w:rsid w:val="00266224"/>
    <w:rsid w:val="002F3CEE"/>
    <w:rsid w:val="005A1057"/>
    <w:rsid w:val="005C10E1"/>
    <w:rsid w:val="0075461D"/>
    <w:rsid w:val="008F5329"/>
    <w:rsid w:val="00BF2FD0"/>
    <w:rsid w:val="00D45DA8"/>
    <w:rsid w:val="014A4B87"/>
    <w:rsid w:val="01C06EC1"/>
    <w:rsid w:val="04C609C8"/>
    <w:rsid w:val="07832BA1"/>
    <w:rsid w:val="08D0220D"/>
    <w:rsid w:val="0A48149D"/>
    <w:rsid w:val="164F64D7"/>
    <w:rsid w:val="18D12AB3"/>
    <w:rsid w:val="1E8629A5"/>
    <w:rsid w:val="1FF266BE"/>
    <w:rsid w:val="206965F5"/>
    <w:rsid w:val="26E44BCF"/>
    <w:rsid w:val="2916434A"/>
    <w:rsid w:val="293B2E83"/>
    <w:rsid w:val="2DA502FD"/>
    <w:rsid w:val="2DFE56F9"/>
    <w:rsid w:val="2F2911C7"/>
    <w:rsid w:val="2F9939E1"/>
    <w:rsid w:val="310D5099"/>
    <w:rsid w:val="36C546D4"/>
    <w:rsid w:val="3D1160B6"/>
    <w:rsid w:val="44F17528"/>
    <w:rsid w:val="45FD6761"/>
    <w:rsid w:val="471A0124"/>
    <w:rsid w:val="47616C8E"/>
    <w:rsid w:val="485D29BF"/>
    <w:rsid w:val="49302F0F"/>
    <w:rsid w:val="49B67B88"/>
    <w:rsid w:val="52A410F9"/>
    <w:rsid w:val="5498521D"/>
    <w:rsid w:val="578F4217"/>
    <w:rsid w:val="59A0672C"/>
    <w:rsid w:val="5ADE4043"/>
    <w:rsid w:val="5E6141BD"/>
    <w:rsid w:val="61C251E9"/>
    <w:rsid w:val="64942E6C"/>
    <w:rsid w:val="64B76DD2"/>
    <w:rsid w:val="65F21280"/>
    <w:rsid w:val="68503DB3"/>
    <w:rsid w:val="6A3F29D8"/>
    <w:rsid w:val="6B43383E"/>
    <w:rsid w:val="723637B5"/>
    <w:rsid w:val="730A3DCA"/>
    <w:rsid w:val="73BA34EB"/>
    <w:rsid w:val="747247FB"/>
    <w:rsid w:val="75874327"/>
    <w:rsid w:val="780848C1"/>
    <w:rsid w:val="7A8A13C4"/>
    <w:rsid w:val="7BB336C8"/>
    <w:rsid w:val="7D0F201B"/>
    <w:rsid w:val="7ED00AED"/>
    <w:rsid w:val="7F5646F6"/>
    <w:rsid w:val="7FB44710"/>
    <w:rsid w:val="FDF6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120" w:after="120" w:line="578" w:lineRule="auto"/>
      <w:outlineLvl w:val="0"/>
    </w:pPr>
    <w:rPr>
      <w:rFonts w:eastAsia="华文楷体" w:cstheme="minorBidi"/>
      <w:b/>
      <w:bCs/>
      <w:kern w:val="44"/>
      <w:sz w:val="28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eastAsia="华文楷体" w:cstheme="minorBidi"/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eastAsia="华文楷体" w:cstheme="minorBidi"/>
      <w:sz w:val="18"/>
      <w:szCs w:val="18"/>
    </w:rPr>
  </w:style>
  <w:style w:type="paragraph" w:styleId="5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qFormat/>
    <w:uiPriority w:val="9"/>
    <w:rPr>
      <w:rFonts w:ascii="Times New Roman" w:hAnsi="Times New Roman" w:eastAsia="华文楷体"/>
      <w:b/>
      <w:bCs/>
      <w:kern w:val="44"/>
      <w:sz w:val="28"/>
      <w:szCs w:val="44"/>
    </w:rPr>
  </w:style>
  <w:style w:type="character" w:customStyle="1" w:styleId="10">
    <w:name w:val="页眉 字符"/>
    <w:basedOn w:val="8"/>
    <w:link w:val="4"/>
    <w:qFormat/>
    <w:uiPriority w:val="99"/>
    <w:rPr>
      <w:rFonts w:ascii="Times New Roman" w:hAnsi="Times New Roman" w:eastAsia="华文楷体"/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rFonts w:ascii="Times New Roman" w:hAnsi="Times New Roman" w:eastAsia="华文楷体"/>
      <w:sz w:val="18"/>
      <w:szCs w:val="18"/>
    </w:rPr>
  </w:style>
  <w:style w:type="paragraph" w:customStyle="1" w:styleId="12">
    <w:name w:val="Char"/>
    <w:basedOn w:val="1"/>
    <w:qFormat/>
    <w:uiPriority w:val="0"/>
    <w:pPr>
      <w:spacing w:line="240" w:lineRule="atLeast"/>
      <w:ind w:left="420" w:firstLine="420"/>
    </w:pPr>
  </w:style>
  <w:style w:type="character" w:customStyle="1" w:styleId="13">
    <w:name w:val="font11"/>
    <w:basedOn w:val="8"/>
    <w:qFormat/>
    <w:uiPriority w:val="0"/>
    <w:rPr>
      <w:rFonts w:hint="default" w:ascii="Arial" w:hAnsi="Arial" w:cs="Arial"/>
      <w:b/>
      <w:bCs/>
      <w:color w:val="333333"/>
      <w:sz w:val="21"/>
      <w:szCs w:val="21"/>
      <w:u w:val="none"/>
    </w:rPr>
  </w:style>
  <w:style w:type="character" w:customStyle="1" w:styleId="14">
    <w:name w:val="font41"/>
    <w:basedOn w:val="8"/>
    <w:qFormat/>
    <w:uiPriority w:val="0"/>
    <w:rPr>
      <w:rFonts w:hint="default" w:ascii="Arial" w:hAnsi="Arial" w:cs="Arial"/>
      <w:color w:val="333333"/>
      <w:sz w:val="21"/>
      <w:szCs w:val="21"/>
      <w:u w:val="none"/>
    </w:rPr>
  </w:style>
  <w:style w:type="character" w:customStyle="1" w:styleId="15">
    <w:name w:val="font31"/>
    <w:basedOn w:val="8"/>
    <w:qFormat/>
    <w:uiPriority w:val="0"/>
    <w:rPr>
      <w:rFonts w:hint="eastAsia" w:ascii="宋体" w:hAnsi="宋体" w:eastAsia="宋体" w:cs="宋体"/>
      <w:color w:val="333333"/>
      <w:sz w:val="21"/>
      <w:szCs w:val="21"/>
      <w:u w:val="none"/>
    </w:rPr>
  </w:style>
  <w:style w:type="paragraph" w:styleId="16">
    <w:name w:val="List Paragraph"/>
    <w:basedOn w:val="1"/>
    <w:unhideWhenUsed/>
    <w:qFormat/>
    <w:uiPriority w:val="34"/>
    <w:pPr>
      <w:ind w:firstLine="420" w:firstLineChars="200"/>
    </w:pPr>
  </w:style>
  <w:style w:type="character" w:customStyle="1" w:styleId="17">
    <w:name w:val="15"/>
    <w:basedOn w:val="8"/>
    <w:qFormat/>
    <w:uiPriority w:val="0"/>
    <w:rPr>
      <w:rFonts w:hint="default" w:ascii="Arial" w:hAnsi="Arial" w:cs="Arial"/>
      <w:color w:val="333333"/>
      <w:sz w:val="21"/>
      <w:szCs w:val="21"/>
    </w:rPr>
  </w:style>
  <w:style w:type="character" w:customStyle="1" w:styleId="18">
    <w:name w:val="10"/>
    <w:basedOn w:val="8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225</Words>
  <Characters>1285</Characters>
  <Lines>1</Lines>
  <Paragraphs>1</Paragraphs>
  <TotalTime>0</TotalTime>
  <ScaleCrop>false</ScaleCrop>
  <LinksUpToDate>false</LinksUpToDate>
  <CharactersWithSpaces>1507</CharactersWithSpaces>
  <Application>WPS Office_12.1.0.15398_F1E327BC-269C-435d-A152-05C5408002CA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2023-08-19T23:45:00Z</dcterms:created>
  <dc:creator>通 唐</dc:creator>
  <cp:lastModifiedBy>為妳打傘</cp:lastModifiedBy>
  <cp:lastPrinted>2023-09-19T17:44:00Z</cp:lastPrinted>
  <dcterms:modified xsi:type="dcterms:W3CDTF">2023-10-08T04:45:59Z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AD4642F8482E48C3B40AD99BA25057EF</vt:lpwstr>
  </property>
</Properties>
</file>