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仿宋_GB2312" w:hAnsi="Times New Roman" w:eastAsia="仿宋_GB2312"/>
          <w:b/>
          <w:sz w:val="44"/>
          <w:szCs w:val="44"/>
        </w:rPr>
      </w:pPr>
      <w:bookmarkStart w:id="0" w:name="_GoBack"/>
      <w:bookmarkEnd w:id="0"/>
      <w:r>
        <w:rPr>
          <w:rFonts w:hint="eastAsia" w:ascii="仿宋_GB2312" w:hAnsi="Times New Roman" w:eastAsia="仿宋_GB2312"/>
          <w:b/>
          <w:sz w:val="44"/>
          <w:szCs w:val="44"/>
        </w:rPr>
        <w:t>瓯海区老旧工业区改造提升三年行动方案</w:t>
      </w:r>
    </w:p>
    <w:p>
      <w:pPr>
        <w:spacing w:line="560" w:lineRule="exact"/>
        <w:jc w:val="center"/>
        <w:rPr>
          <w:rFonts w:ascii="仿宋_GB2312" w:hAnsi="Times New Roman" w:eastAsia="仿宋_GB2312"/>
          <w:b/>
          <w:spacing w:val="-20"/>
          <w:kern w:val="0"/>
          <w:sz w:val="44"/>
          <w:szCs w:val="44"/>
        </w:rPr>
      </w:pPr>
      <w:r>
        <w:rPr>
          <w:rFonts w:hint="eastAsia" w:ascii="仿宋_GB2312" w:hAnsi="Times New Roman" w:eastAsia="仿宋_GB2312"/>
          <w:b/>
          <w:spacing w:val="-20"/>
          <w:kern w:val="0"/>
          <w:sz w:val="44"/>
          <w:szCs w:val="44"/>
        </w:rPr>
        <w:t>（2022-2024年）</w:t>
      </w:r>
    </w:p>
    <w:p>
      <w:pPr>
        <w:pStyle w:val="10"/>
        <w:spacing w:before="0" w:beforeAutospacing="0" w:after="0" w:afterAutospacing="0" w:line="560" w:lineRule="exact"/>
        <w:jc w:val="center"/>
        <w:rPr>
          <w:rFonts w:ascii="Times New Roman" w:hAnsi="Times New Roman" w:eastAsia="楷体_GB2312"/>
          <w:kern w:val="2"/>
          <w:sz w:val="32"/>
          <w:szCs w:val="32"/>
        </w:rPr>
      </w:pPr>
      <w:r>
        <w:rPr>
          <w:rFonts w:hint="eastAsia" w:ascii="楷体" w:hAnsi="楷体" w:eastAsia="楷体"/>
          <w:kern w:val="2"/>
          <w:sz w:val="32"/>
          <w:szCs w:val="32"/>
        </w:rPr>
        <w:t>（征求意见稿</w:t>
      </w:r>
      <w:r>
        <w:rPr>
          <w:rFonts w:hint="eastAsia" w:ascii="Times New Roman" w:hAnsi="Times New Roman" w:eastAsia="楷体_GB2312"/>
          <w:kern w:val="2"/>
          <w:sz w:val="32"/>
          <w:szCs w:val="32"/>
        </w:rPr>
        <w:t>）</w:t>
      </w:r>
    </w:p>
    <w:p>
      <w:pPr>
        <w:spacing w:line="560" w:lineRule="exact"/>
        <w:ind w:firstLine="640" w:firstLineChars="200"/>
        <w:rPr>
          <w:rFonts w:ascii="Times New Roman" w:hAnsi="Times New Roman" w:eastAsia="仿宋_GB2312"/>
          <w:sz w:val="32"/>
          <w:szCs w:val="32"/>
        </w:rPr>
      </w:pPr>
    </w:p>
    <w:p>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为快老旧工业区改造提升</w:t>
      </w:r>
      <w:r>
        <w:rPr>
          <w:rFonts w:hint="eastAsia" w:ascii="Times New Roman" w:hAnsi="Times New Roman" w:eastAsia="仿宋_GB2312"/>
          <w:sz w:val="32"/>
          <w:szCs w:val="32"/>
        </w:rPr>
        <w:t>，</w:t>
      </w:r>
      <w:r>
        <w:rPr>
          <w:rFonts w:ascii="Times New Roman" w:hAnsi="Times New Roman" w:eastAsia="仿宋_GB2312"/>
          <w:sz w:val="32"/>
          <w:szCs w:val="32"/>
        </w:rPr>
        <w:t>提高土地资源节约集约利用水平，结合</w:t>
      </w:r>
      <w:r>
        <w:rPr>
          <w:rFonts w:hint="eastAsia" w:ascii="Times New Roman" w:hAnsi="Times New Roman" w:eastAsia="仿宋_GB2312"/>
          <w:sz w:val="32"/>
          <w:szCs w:val="32"/>
        </w:rPr>
        <w:t>低效用地再开发的公共利益属性，使再开发惠及最广大的利益群体。让有限的土地资源得到充分利用，</w:t>
      </w:r>
      <w:r>
        <w:rPr>
          <w:rFonts w:ascii="Times New Roman" w:hAnsi="Times New Roman" w:eastAsia="仿宋_GB2312"/>
          <w:sz w:val="32"/>
          <w:szCs w:val="32"/>
        </w:rPr>
        <w:t>推动制造业高质量发展，根据</w:t>
      </w:r>
      <w:r>
        <w:rPr>
          <w:rFonts w:hint="eastAsia" w:ascii="Times New Roman" w:hAnsi="Times New Roman" w:eastAsia="仿宋_GB2312"/>
          <w:sz w:val="32"/>
          <w:szCs w:val="32"/>
        </w:rPr>
        <w:t>《浙江省自然资源厅关于降低企业用地成本支持民营经济高质量发展的若干意见》（浙自然资规〔</w:t>
      </w:r>
      <w:r>
        <w:rPr>
          <w:rFonts w:ascii="Times New Roman" w:hAnsi="Times New Roman" w:eastAsia="仿宋_GB2312"/>
          <w:sz w:val="32"/>
          <w:szCs w:val="32"/>
        </w:rPr>
        <w:t>2019</w:t>
      </w:r>
      <w:r>
        <w:rPr>
          <w:rFonts w:hint="eastAsia" w:ascii="Times New Roman" w:hAnsi="Times New Roman" w:eastAsia="仿宋_GB2312"/>
          <w:sz w:val="32"/>
          <w:szCs w:val="32"/>
        </w:rPr>
        <w:t>〕</w:t>
      </w:r>
      <w:r>
        <w:rPr>
          <w:rFonts w:ascii="Times New Roman" w:hAnsi="Times New Roman" w:eastAsia="仿宋_GB2312"/>
          <w:sz w:val="32"/>
          <w:szCs w:val="32"/>
        </w:rPr>
        <w:t>3</w:t>
      </w:r>
      <w:r>
        <w:rPr>
          <w:rFonts w:hint="eastAsia" w:ascii="Times New Roman" w:hAnsi="Times New Roman" w:eastAsia="仿宋_GB2312"/>
          <w:sz w:val="32"/>
          <w:szCs w:val="32"/>
        </w:rPr>
        <w:t>号）、《浙江省人民政府关于全面推进城镇低效用地再开发工作的意见》（浙政发〔</w:t>
      </w:r>
      <w:r>
        <w:rPr>
          <w:rFonts w:ascii="Times New Roman" w:hAnsi="Times New Roman" w:eastAsia="仿宋_GB2312"/>
          <w:sz w:val="32"/>
          <w:szCs w:val="32"/>
        </w:rPr>
        <w:t>2014</w:t>
      </w:r>
      <w:r>
        <w:rPr>
          <w:rFonts w:hint="eastAsia" w:ascii="Times New Roman" w:hAnsi="Times New Roman" w:eastAsia="仿宋_GB2312"/>
          <w:sz w:val="32"/>
          <w:szCs w:val="32"/>
        </w:rPr>
        <w:t>〕</w:t>
      </w:r>
      <w:r>
        <w:rPr>
          <w:rFonts w:ascii="Times New Roman" w:hAnsi="Times New Roman" w:eastAsia="仿宋_GB2312"/>
          <w:sz w:val="32"/>
          <w:szCs w:val="32"/>
        </w:rPr>
        <w:t>20</w:t>
      </w:r>
      <w:r>
        <w:rPr>
          <w:rFonts w:hint="eastAsia" w:ascii="Times New Roman" w:hAnsi="Times New Roman" w:eastAsia="仿宋_GB2312"/>
          <w:sz w:val="32"/>
          <w:szCs w:val="32"/>
        </w:rPr>
        <w:t>号）、《温州市新一轮制造业“腾笼换鸟、凤凰涅槃”攻坚行动方案（</w:t>
      </w:r>
      <w:r>
        <w:rPr>
          <w:rFonts w:ascii="Times New Roman" w:hAnsi="Times New Roman" w:eastAsia="仿宋_GB2312"/>
          <w:sz w:val="32"/>
          <w:szCs w:val="32"/>
        </w:rPr>
        <w:t>2021-2023</w:t>
      </w:r>
      <w:r>
        <w:rPr>
          <w:rFonts w:hint="eastAsia" w:ascii="Times New Roman" w:hAnsi="Times New Roman" w:eastAsia="仿宋_GB2312"/>
          <w:sz w:val="32"/>
          <w:szCs w:val="32"/>
        </w:rPr>
        <w:t>年）》（温政办〔</w:t>
      </w:r>
      <w:r>
        <w:rPr>
          <w:rFonts w:ascii="Times New Roman" w:hAnsi="Times New Roman" w:eastAsia="仿宋_GB2312"/>
          <w:sz w:val="32"/>
          <w:szCs w:val="32"/>
        </w:rPr>
        <w:t>2021</w:t>
      </w:r>
      <w:r>
        <w:rPr>
          <w:rFonts w:hint="eastAsia" w:ascii="Times New Roman" w:hAnsi="Times New Roman" w:eastAsia="仿宋_GB2312"/>
          <w:sz w:val="32"/>
          <w:szCs w:val="32"/>
        </w:rPr>
        <w:t>〕</w:t>
      </w:r>
      <w:r>
        <w:rPr>
          <w:rFonts w:ascii="Times New Roman" w:hAnsi="Times New Roman" w:eastAsia="仿宋_GB2312"/>
          <w:sz w:val="32"/>
          <w:szCs w:val="32"/>
        </w:rPr>
        <w:t>66</w:t>
      </w:r>
      <w:r>
        <w:rPr>
          <w:rFonts w:hint="eastAsia" w:ascii="Times New Roman" w:hAnsi="Times New Roman" w:eastAsia="仿宋_GB2312"/>
          <w:sz w:val="32"/>
          <w:szCs w:val="32"/>
        </w:rPr>
        <w:t>号）、《温州市老旧工业区改造提升三年行动方案（</w:t>
      </w:r>
      <w:r>
        <w:rPr>
          <w:rFonts w:ascii="Times New Roman" w:hAnsi="Times New Roman" w:eastAsia="仿宋_GB2312"/>
          <w:sz w:val="32"/>
          <w:szCs w:val="32"/>
        </w:rPr>
        <w:t>2022-2024</w:t>
      </w:r>
      <w:r>
        <w:rPr>
          <w:rFonts w:hint="eastAsia" w:ascii="Times New Roman" w:hAnsi="Times New Roman" w:eastAsia="仿宋_GB2312"/>
          <w:sz w:val="32"/>
          <w:szCs w:val="32"/>
        </w:rPr>
        <w:t>年）》</w:t>
      </w:r>
      <w:r>
        <w:rPr>
          <w:rFonts w:ascii="Times New Roman" w:hAnsi="Times New Roman" w:eastAsia="仿宋_GB2312"/>
          <w:sz w:val="32"/>
          <w:szCs w:val="32"/>
        </w:rPr>
        <w:t>等文件精神，特制定本行动方案。</w:t>
      </w:r>
    </w:p>
    <w:p>
      <w:pPr>
        <w:pStyle w:val="10"/>
        <w:spacing w:before="0" w:beforeAutospacing="0" w:after="0" w:afterAutospacing="0" w:line="560" w:lineRule="exact"/>
        <w:ind w:firstLine="640" w:firstLineChars="200"/>
        <w:jc w:val="both"/>
        <w:rPr>
          <w:rFonts w:ascii="Times New Roman" w:hAnsi="Times New Roman" w:eastAsia="黑体"/>
          <w:sz w:val="32"/>
          <w:szCs w:val="32"/>
        </w:rPr>
      </w:pPr>
      <w:r>
        <w:rPr>
          <w:rFonts w:ascii="Times New Roman" w:hAnsi="Times New Roman" w:eastAsia="黑体"/>
          <w:sz w:val="32"/>
          <w:szCs w:val="32"/>
        </w:rPr>
        <w:t>一、工作目标</w:t>
      </w:r>
    </w:p>
    <w:p>
      <w:pPr>
        <w:spacing w:line="560" w:lineRule="exact"/>
        <w:ind w:firstLine="640" w:firstLineChars="200"/>
      </w:pPr>
      <w:r>
        <w:rPr>
          <w:rFonts w:hint="eastAsia" w:ascii="Times New Roman" w:hAnsi="Times New Roman" w:eastAsia="仿宋_GB2312"/>
          <w:sz w:val="32"/>
          <w:szCs w:val="32"/>
        </w:rPr>
        <w:t>围绕“产业集聚、配套完善、管理先进、环境优美”的建设目标，结合国土空间规划和区域产业特点，以“工改工”为主线，坚持连片改造和局部提升结合，集中力量、资源、政策，破解工业用地低效闲置、工业发展空间制约等问题，全面推进我区老旧工业区改造提升。通过努力，力争全区每年盘活低效工业用地800亩以上，其中拆除面积400亩以上、实现再供地300亩以上，新增产业空间40万平方米以上</w:t>
      </w:r>
      <w:r>
        <w:rPr>
          <w:rFonts w:ascii="Times New Roman" w:hAnsi="Times New Roman" w:eastAsia="仿宋_GB2312"/>
          <w:sz w:val="32"/>
          <w:szCs w:val="32"/>
        </w:rPr>
        <w:t>，打造一批老旧工业区改造示范亮</w:t>
      </w:r>
      <w:r>
        <w:rPr>
          <w:rFonts w:hint="eastAsia" w:ascii="Times New Roman" w:hAnsi="Times New Roman" w:eastAsia="仿宋_GB2312"/>
          <w:sz w:val="32"/>
          <w:szCs w:val="32"/>
        </w:rPr>
        <w:t>点</w:t>
      </w:r>
      <w:r>
        <w:rPr>
          <w:rFonts w:ascii="Times New Roman" w:hAnsi="Times New Roman" w:eastAsia="仿宋_GB2312"/>
          <w:sz w:val="32"/>
          <w:szCs w:val="32"/>
        </w:rPr>
        <w:t>。</w:t>
      </w:r>
    </w:p>
    <w:p>
      <w:pPr>
        <w:pStyle w:val="10"/>
        <w:spacing w:before="0" w:beforeAutospacing="0" w:after="0" w:afterAutospacing="0" w:line="560" w:lineRule="exact"/>
        <w:ind w:firstLine="640" w:firstLineChars="200"/>
        <w:jc w:val="both"/>
        <w:rPr>
          <w:rFonts w:ascii="Times New Roman" w:hAnsi="Times New Roman" w:eastAsia="黑体"/>
          <w:kern w:val="2"/>
          <w:sz w:val="32"/>
          <w:szCs w:val="32"/>
        </w:rPr>
      </w:pPr>
      <w:r>
        <w:rPr>
          <w:rFonts w:ascii="Times New Roman" w:hAnsi="Times New Roman" w:eastAsia="黑体"/>
          <w:kern w:val="2"/>
          <w:sz w:val="32"/>
          <w:szCs w:val="32"/>
        </w:rPr>
        <w:t>二、基本原则</w:t>
      </w:r>
    </w:p>
    <w:p>
      <w:pPr>
        <w:spacing w:line="560" w:lineRule="exact"/>
        <w:ind w:firstLine="640" w:firstLineChars="200"/>
        <w:rPr>
          <w:rFonts w:ascii="楷体" w:hAnsi="楷体" w:eastAsia="楷体"/>
          <w:sz w:val="32"/>
          <w:szCs w:val="32"/>
        </w:rPr>
      </w:pPr>
      <w:r>
        <w:rPr>
          <w:rFonts w:ascii="楷体" w:hAnsi="楷体" w:eastAsia="楷体"/>
          <w:sz w:val="32"/>
          <w:szCs w:val="32"/>
        </w:rPr>
        <w:t>（一）政府主导、规划先行</w:t>
      </w:r>
    </w:p>
    <w:p>
      <w:pPr>
        <w:spacing w:line="560" w:lineRule="exact"/>
        <w:ind w:firstLine="640" w:firstLineChars="200"/>
        <w:rPr>
          <w:rFonts w:hint="eastAsia" w:ascii="Times New Roman" w:hAnsi="Times New Roman" w:eastAsia="仿宋_GB2312"/>
          <w:sz w:val="32"/>
          <w:szCs w:val="32"/>
        </w:rPr>
      </w:pPr>
      <w:r>
        <w:rPr>
          <w:rFonts w:ascii="Times New Roman" w:hAnsi="Times New Roman" w:eastAsia="仿宋_GB2312"/>
          <w:sz w:val="32"/>
          <w:szCs w:val="32"/>
        </w:rPr>
        <w:t>建立健全政府主导、部门协同、市场参与的工作机制，强化政府统筹和主导作用。结合</w:t>
      </w:r>
      <w:r>
        <w:rPr>
          <w:rFonts w:hint="eastAsia" w:ascii="Times New Roman" w:hAnsi="Times New Roman" w:eastAsia="仿宋_GB2312"/>
          <w:sz w:val="32"/>
          <w:szCs w:val="32"/>
        </w:rPr>
        <w:t>国土空间规划修编，</w:t>
      </w:r>
      <w:r>
        <w:rPr>
          <w:rFonts w:ascii="Times New Roman" w:hAnsi="Times New Roman" w:eastAsia="仿宋_GB2312"/>
          <w:sz w:val="32"/>
          <w:szCs w:val="32"/>
        </w:rPr>
        <w:t>科学编制全</w:t>
      </w:r>
      <w:r>
        <w:rPr>
          <w:rFonts w:hint="eastAsia" w:ascii="Times New Roman" w:hAnsi="Times New Roman" w:eastAsia="仿宋_GB2312"/>
          <w:sz w:val="32"/>
          <w:szCs w:val="32"/>
        </w:rPr>
        <w:t>区</w:t>
      </w:r>
      <w:r>
        <w:rPr>
          <w:rFonts w:ascii="Times New Roman" w:hAnsi="Times New Roman" w:eastAsia="仿宋_GB2312"/>
          <w:sz w:val="32"/>
          <w:szCs w:val="32"/>
        </w:rPr>
        <w:t>产业发展和空间布局规划，有序推进老旧工业区改造。</w:t>
      </w:r>
    </w:p>
    <w:p>
      <w:pPr>
        <w:spacing w:line="560" w:lineRule="exact"/>
        <w:ind w:firstLine="640" w:firstLineChars="200"/>
      </w:pPr>
      <w:r>
        <w:rPr>
          <w:rFonts w:ascii="楷体" w:hAnsi="楷体" w:eastAsia="楷体"/>
          <w:sz w:val="32"/>
          <w:szCs w:val="32"/>
        </w:rPr>
        <w:t>（二）灵活多样、拆改利企</w:t>
      </w:r>
    </w:p>
    <w:p>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坚持因地制宜、分类施策，充分调动社会各方积极性，探索多元化改造路径，实施供地和供空间相结合的保障方案。政府、国有企业要适度让利给村级集体和涉拆（改）企业，共同推进旧村改造和旧工业区改造“双联动”。</w:t>
      </w:r>
    </w:p>
    <w:p>
      <w:pPr>
        <w:spacing w:line="560" w:lineRule="exact"/>
        <w:ind w:firstLine="640" w:firstLineChars="200"/>
        <w:rPr>
          <w:rFonts w:ascii="楷体" w:hAnsi="楷体" w:eastAsia="楷体"/>
          <w:sz w:val="32"/>
          <w:szCs w:val="32"/>
        </w:rPr>
      </w:pPr>
      <w:r>
        <w:rPr>
          <w:rFonts w:ascii="楷体" w:hAnsi="楷体" w:eastAsia="楷体"/>
          <w:sz w:val="32"/>
          <w:szCs w:val="32"/>
        </w:rPr>
        <w:t>（三）有序推进、应改尽改</w:t>
      </w:r>
    </w:p>
    <w:p>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全面梳理工业用地底数，制定老旧工业区改造提升总体方案</w:t>
      </w:r>
      <w:r>
        <w:rPr>
          <w:rFonts w:hint="eastAsia" w:ascii="Times New Roman" w:hAnsi="Times New Roman" w:eastAsia="仿宋_GB2312"/>
          <w:sz w:val="32"/>
          <w:szCs w:val="32"/>
        </w:rPr>
        <w:t>，</w:t>
      </w:r>
      <w:r>
        <w:rPr>
          <w:rFonts w:ascii="Times New Roman" w:hAnsi="Times New Roman" w:eastAsia="仿宋_GB2312"/>
          <w:sz w:val="32"/>
          <w:szCs w:val="32"/>
        </w:rPr>
        <w:t>按照“成熟一个实施一个”的要求，三年内实现老旧工业区改造提升全覆盖。</w:t>
      </w:r>
    </w:p>
    <w:p>
      <w:pPr>
        <w:spacing w:line="560" w:lineRule="exact"/>
        <w:ind w:firstLine="640" w:firstLineChars="200"/>
        <w:rPr>
          <w:rFonts w:ascii="Times New Roman" w:hAnsi="Times New Roman" w:eastAsia="黑体"/>
          <w:sz w:val="32"/>
          <w:szCs w:val="32"/>
        </w:rPr>
      </w:pPr>
      <w:r>
        <w:rPr>
          <w:rFonts w:ascii="Times New Roman" w:hAnsi="Times New Roman" w:eastAsia="黑体"/>
          <w:sz w:val="32"/>
          <w:szCs w:val="32"/>
        </w:rPr>
        <w:t>三、实施范围</w:t>
      </w:r>
    </w:p>
    <w:p>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全</w:t>
      </w:r>
      <w:r>
        <w:rPr>
          <w:rFonts w:hint="eastAsia" w:ascii="Times New Roman" w:hAnsi="Times New Roman" w:eastAsia="仿宋_GB2312"/>
          <w:sz w:val="32"/>
          <w:szCs w:val="32"/>
        </w:rPr>
        <w:t>区</w:t>
      </w:r>
      <w:r>
        <w:rPr>
          <w:rFonts w:ascii="Times New Roman" w:hAnsi="Times New Roman" w:eastAsia="仿宋_GB2312"/>
          <w:sz w:val="32"/>
          <w:szCs w:val="32"/>
        </w:rPr>
        <w:t>范围内符合规划要求，利用效率低、产出效益差和现状有提升空间的工业用地</w:t>
      </w:r>
      <w:r>
        <w:rPr>
          <w:rFonts w:hint="eastAsia" w:ascii="Times New Roman" w:hAnsi="Times New Roman" w:eastAsia="仿宋_GB2312"/>
          <w:sz w:val="32"/>
          <w:szCs w:val="32"/>
        </w:rPr>
        <w:t>，以及通过控规调整为工业的其他用地</w:t>
      </w:r>
      <w:r>
        <w:rPr>
          <w:rFonts w:ascii="Times New Roman" w:hAnsi="Times New Roman" w:eastAsia="仿宋_GB2312"/>
          <w:sz w:val="32"/>
          <w:szCs w:val="32"/>
        </w:rPr>
        <w:t>。</w:t>
      </w:r>
      <w:r>
        <w:rPr>
          <w:rFonts w:hint="eastAsia" w:ascii="Times New Roman" w:hAnsi="Times New Roman" w:eastAsia="仿宋_GB2312"/>
          <w:sz w:val="32"/>
          <w:szCs w:val="32"/>
        </w:rPr>
        <w:t xml:space="preserve">重点是规划功能为工业且连片拆除重建的旧工业区。（详见附件）  </w:t>
      </w:r>
    </w:p>
    <w:p>
      <w:pPr>
        <w:spacing w:line="560" w:lineRule="exact"/>
        <w:ind w:firstLine="640" w:firstLineChars="200"/>
        <w:rPr>
          <w:rFonts w:ascii="Times New Roman" w:hAnsi="Times New Roman" w:eastAsia="黑体"/>
          <w:sz w:val="32"/>
          <w:szCs w:val="32"/>
        </w:rPr>
      </w:pPr>
      <w:r>
        <w:rPr>
          <w:rFonts w:ascii="Times New Roman" w:hAnsi="Times New Roman" w:eastAsia="黑体"/>
          <w:sz w:val="32"/>
          <w:szCs w:val="32"/>
        </w:rPr>
        <w:t>四、</w:t>
      </w:r>
      <w:r>
        <w:rPr>
          <w:rFonts w:hint="eastAsia" w:ascii="Times New Roman" w:hAnsi="Times New Roman" w:eastAsia="黑体"/>
          <w:sz w:val="32"/>
          <w:szCs w:val="32"/>
        </w:rPr>
        <w:t>改造模式</w:t>
      </w:r>
    </w:p>
    <w:p>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采取政府征收改造、第三方参与改造、村级集体改造、企业联合改造、企业自主改造等5种模式，鼓励各街镇（开发区）积极探索其他改造路径，推进一批</w:t>
      </w:r>
      <w:r>
        <w:rPr>
          <w:rFonts w:ascii="Times New Roman" w:hAnsi="Times New Roman" w:eastAsia="仿宋_GB2312"/>
          <w:sz w:val="32"/>
          <w:szCs w:val="32"/>
        </w:rPr>
        <w:t>老旧工业区试点</w:t>
      </w:r>
      <w:r>
        <w:rPr>
          <w:rFonts w:hint="eastAsia" w:ascii="Times New Roman" w:hAnsi="Times New Roman" w:eastAsia="仿宋_GB2312"/>
          <w:sz w:val="32"/>
          <w:szCs w:val="32"/>
        </w:rPr>
        <w:t>拆除重建或</w:t>
      </w:r>
      <w:r>
        <w:rPr>
          <w:rFonts w:ascii="Times New Roman" w:hAnsi="Times New Roman" w:eastAsia="仿宋_GB2312"/>
          <w:sz w:val="32"/>
          <w:szCs w:val="32"/>
        </w:rPr>
        <w:t>整体提升</w:t>
      </w:r>
      <w:r>
        <w:rPr>
          <w:rFonts w:hint="eastAsia" w:ascii="Times New Roman" w:hAnsi="Times New Roman" w:eastAsia="仿宋_GB2312"/>
          <w:sz w:val="32"/>
          <w:szCs w:val="32"/>
        </w:rPr>
        <w:t>。</w:t>
      </w:r>
    </w:p>
    <w:p>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一是政府征收改造。由区政府通过货币补偿、功能置换等方式，取得连片区块土地使用权，进行统一规划设计、拆除重建，用于招引重大制造业项目或开发建设产业园。</w:t>
      </w:r>
    </w:p>
    <w:p>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二是第三方参与改造。引导国有企业、龙头企业、园区运营商参与老旧工业区改造，通过统收统租、产权收购、兼并重组、合作开发等方式，取得连片区块开发主导权，实行统一规划、连片改造、整体运营。</w:t>
      </w:r>
    </w:p>
    <w:p>
      <w:pPr>
        <w:spacing w:line="560" w:lineRule="exact"/>
        <w:ind w:firstLine="640" w:firstLineChars="200"/>
      </w:pPr>
      <w:r>
        <w:rPr>
          <w:rFonts w:hint="eastAsia" w:ascii="Times New Roman" w:hAnsi="Times New Roman" w:eastAsia="仿宋_GB2312"/>
          <w:sz w:val="32"/>
          <w:szCs w:val="32"/>
        </w:rPr>
        <w:t>三是村级集体改造。在各街镇主导下，对老旧村二产留地项目，通过新建连片拆除重建或拆改结合等方式，建成主导产业定位明晰的产业园。鼓励引入第三方园区运营商，通过工程总承包等方式，提高产业策划、规划设计、招商运营水平。</w:t>
      </w:r>
    </w:p>
    <w:p>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四是企业联合改造。鼓励相邻的土地使用权主体实施联合改造，统一规划设计，充分利用边角地、夹心地、插花地等零星用地，通过局部收储再供地或产权集中后再定量不定位分割（按原土地使用权比例分割到原土地使用权人名下）等方式，实现土地高效利用和空间布局优化。</w:t>
      </w:r>
    </w:p>
    <w:p>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五是企业自主改造。鼓励企业通过拆除重建、改扩建、加层改造等措施，充分利用地下空间以及边角地、夹心地、插花地等零星用地，放宽容积率、建筑密度、绿地率、建筑高度等控制性指标，扩大企业生产及配套空间。</w:t>
      </w:r>
    </w:p>
    <w:p>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六</w:t>
      </w:r>
      <w:r>
        <w:rPr>
          <w:rFonts w:ascii="Times New Roman" w:hAnsi="Times New Roman" w:eastAsia="仿宋_GB2312"/>
          <w:sz w:val="32"/>
          <w:szCs w:val="32"/>
        </w:rPr>
        <w:t>是</w:t>
      </w:r>
      <w:r>
        <w:rPr>
          <w:rFonts w:hint="eastAsia" w:ascii="Times New Roman" w:hAnsi="Times New Roman" w:eastAsia="仿宋_GB2312"/>
          <w:sz w:val="32"/>
          <w:szCs w:val="32"/>
        </w:rPr>
        <w:t>其他改造模式。积极探索其他改造模式，采用其他改造模式要经区政府批准并报送老旧工业区领导小组备案。</w:t>
      </w:r>
    </w:p>
    <w:p>
      <w:pPr>
        <w:spacing w:line="56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五</w:t>
      </w:r>
      <w:r>
        <w:rPr>
          <w:rFonts w:ascii="Times New Roman" w:hAnsi="Times New Roman" w:eastAsia="黑体"/>
          <w:sz w:val="32"/>
          <w:szCs w:val="32"/>
        </w:rPr>
        <w:t>、</w:t>
      </w:r>
      <w:r>
        <w:rPr>
          <w:rFonts w:hint="eastAsia" w:ascii="Times New Roman" w:hAnsi="Times New Roman" w:eastAsia="黑体"/>
          <w:sz w:val="32"/>
          <w:szCs w:val="32"/>
        </w:rPr>
        <w:t>政策支持</w:t>
      </w:r>
    </w:p>
    <w:p>
      <w:pPr>
        <w:adjustRightInd w:val="0"/>
        <w:snapToGrid w:val="0"/>
        <w:spacing w:line="560" w:lineRule="exact"/>
        <w:ind w:firstLine="640" w:firstLineChars="200"/>
        <w:textAlignment w:val="baseline"/>
        <w:rPr>
          <w:rFonts w:ascii="Times New Roman" w:hAnsi="Times New Roman" w:eastAsia="仿宋_GB2312"/>
          <w:sz w:val="32"/>
          <w:szCs w:val="32"/>
        </w:rPr>
      </w:pPr>
      <w:r>
        <w:rPr>
          <w:rFonts w:hint="eastAsia" w:ascii="Times New Roman" w:hAnsi="Times New Roman" w:eastAsia="仿宋_GB2312"/>
          <w:sz w:val="32"/>
          <w:szCs w:val="32"/>
        </w:rPr>
        <w:t>（一）</w:t>
      </w:r>
      <w:r>
        <w:rPr>
          <w:rFonts w:ascii="Times New Roman" w:hAnsi="Times New Roman" w:eastAsia="仿宋_GB2312"/>
          <w:sz w:val="32"/>
          <w:szCs w:val="32"/>
        </w:rPr>
        <w:t>支持连片改造</w:t>
      </w:r>
      <w:r>
        <w:rPr>
          <w:rFonts w:hint="eastAsia" w:ascii="Times New Roman" w:hAnsi="Times New Roman" w:eastAsia="仿宋_GB2312"/>
          <w:sz w:val="32"/>
          <w:szCs w:val="32"/>
        </w:rPr>
        <w:t>。在</w:t>
      </w:r>
      <w:r>
        <w:rPr>
          <w:rFonts w:ascii="Times New Roman" w:hAnsi="Times New Roman" w:eastAsia="仿宋_GB2312"/>
          <w:sz w:val="32"/>
          <w:szCs w:val="32"/>
        </w:rPr>
        <w:t>符合规划、权属清晰、双方自愿、价值相当，且有连片改造需要的前提下，允许用地之间进行空间位置互换或整合实施连片改造</w:t>
      </w:r>
      <w:r>
        <w:rPr>
          <w:rFonts w:hint="eastAsia" w:ascii="Times New Roman" w:hAnsi="Times New Roman" w:eastAsia="仿宋_GB2312"/>
          <w:sz w:val="32"/>
          <w:szCs w:val="32"/>
        </w:rPr>
        <w:t>，改造</w:t>
      </w:r>
      <w:r>
        <w:rPr>
          <w:rFonts w:ascii="Times New Roman" w:hAnsi="Times New Roman" w:eastAsia="仿宋_GB2312"/>
          <w:sz w:val="32"/>
          <w:szCs w:val="32"/>
        </w:rPr>
        <w:t>后重新按原用地面积比例确权，允许按层或幢为单位</w:t>
      </w:r>
      <w:r>
        <w:rPr>
          <w:rFonts w:hint="eastAsia" w:ascii="Times New Roman" w:hAnsi="Times New Roman" w:eastAsia="仿宋_GB2312"/>
          <w:sz w:val="32"/>
          <w:szCs w:val="32"/>
        </w:rPr>
        <w:t>,</w:t>
      </w:r>
      <w:r>
        <w:rPr>
          <w:rFonts w:ascii="Times New Roman" w:hAnsi="Times New Roman" w:eastAsia="仿宋_GB2312"/>
          <w:sz w:val="32"/>
          <w:szCs w:val="32"/>
        </w:rPr>
        <w:t xml:space="preserve"> 办理不动产分割登记</w:t>
      </w:r>
      <w:r>
        <w:rPr>
          <w:rFonts w:hint="eastAsia" w:ascii="Times New Roman" w:hAnsi="Times New Roman" w:eastAsia="仿宋_GB2312"/>
          <w:sz w:val="32"/>
          <w:szCs w:val="32"/>
        </w:rPr>
        <w:t>，实行“一企一证”统一登记（非生产性用房不得独立进行分割、分割转让或抵押, 但可以随生产性用房按规定比例且以幢、层等固定界限为基本单元进行分割、分割转让或抵押）</w:t>
      </w:r>
      <w:r>
        <w:rPr>
          <w:rFonts w:ascii="Times New Roman" w:hAnsi="Times New Roman" w:eastAsia="仿宋_GB2312"/>
          <w:sz w:val="32"/>
          <w:szCs w:val="32"/>
        </w:rPr>
        <w:t>。同一企业把相邻的多个工业用地并宗开发，非生产性用房可集中设置、整体核算占比。对改造涉及的无法独立分宗且不具备单独招拍挂出让条件的3000平方米以下且不超过再开发项目用地总面积20%的零星建设用地（包括边角地、夹心地、插花地等），面积超过3000平方米且不能单独出具改造条件的边角地，在符合相关规划的前提下，经</w:t>
      </w:r>
      <w:r>
        <w:rPr>
          <w:rFonts w:hint="eastAsia" w:ascii="Times New Roman" w:hAnsi="Times New Roman" w:eastAsia="仿宋_GB2312"/>
          <w:sz w:val="32"/>
          <w:szCs w:val="32"/>
        </w:rPr>
        <w:t>区</w:t>
      </w:r>
      <w:r>
        <w:rPr>
          <w:rFonts w:ascii="Times New Roman" w:hAnsi="Times New Roman" w:eastAsia="仿宋_GB2312"/>
          <w:sz w:val="32"/>
          <w:szCs w:val="32"/>
        </w:rPr>
        <w:t>政府批准，可按照协议出让的方式办理供地手续，与邻宗土地合宗一并开发。</w:t>
      </w:r>
      <w:r>
        <w:rPr>
          <w:rFonts w:hint="eastAsia" w:ascii="Times New Roman" w:hAnsi="Times New Roman" w:eastAsia="仿宋_GB2312"/>
          <w:sz w:val="32"/>
          <w:szCs w:val="32"/>
        </w:rPr>
        <w:t>(责任单位：*区资规分局、*区住建局，区征收服务中心、市</w:t>
      </w:r>
      <w:r>
        <w:rPr>
          <w:rFonts w:hint="eastAsia" w:ascii="Times New Roman" w:hAnsi="Times New Roman" w:eastAsia="仿宋_GB2312"/>
          <w:sz w:val="32"/>
          <w:szCs w:val="32"/>
          <w:lang w:eastAsia="zh-CN"/>
        </w:rPr>
        <w:t>不动产登记中心</w:t>
      </w:r>
      <w:r>
        <w:rPr>
          <w:rFonts w:hint="eastAsia" w:ascii="Times New Roman" w:hAnsi="Times New Roman" w:eastAsia="仿宋_GB2312"/>
          <w:sz w:val="32"/>
          <w:szCs w:val="32"/>
        </w:rPr>
        <w:t>，各街镇（开发区）、带*为牵头单位，下同)</w:t>
      </w:r>
    </w:p>
    <w:p>
      <w:pPr>
        <w:autoSpaceDE w:val="0"/>
        <w:autoSpaceDN w:val="0"/>
        <w:snapToGrid w:val="0"/>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二）允许工业用地有条件分割转让。对符合规划功能要求且改造面积在20亩以上的老旧工业用地，在改造完成验收通过后，允许企业在满足自用基础上，将多余部分在符合分宗条件的情况下进行宗地分割转让，引入产业链上下游优质企业；分割后自用地块及转让地块不得改变项目功能用途，均应具备独立分宗条件、独立使用功能且能满足消防、安全、环保以及形成交通道路闭环等要求的，土地面积</w:t>
      </w:r>
      <w:r>
        <w:rPr>
          <w:rFonts w:hint="eastAsia" w:ascii="Times New Roman" w:hAnsi="Times New Roman" w:eastAsia="仿宋_GB2312"/>
          <w:i/>
          <w:sz w:val="32"/>
          <w:szCs w:val="32"/>
        </w:rPr>
        <w:t>原则上</w:t>
      </w:r>
      <w:r>
        <w:rPr>
          <w:rFonts w:hint="eastAsia" w:ascii="Times New Roman" w:hAnsi="Times New Roman" w:eastAsia="仿宋_GB2312"/>
          <w:sz w:val="32"/>
          <w:szCs w:val="32"/>
        </w:rPr>
        <w:t>不得小于10亩。地块改建方案和分割转让方案</w:t>
      </w:r>
      <w:r>
        <w:rPr>
          <w:rFonts w:hint="eastAsia" w:ascii="宋体" w:hAnsi="宋体" w:cs="宋体"/>
          <w:sz w:val="32"/>
          <w:szCs w:val="32"/>
        </w:rPr>
        <w:t>需</w:t>
      </w:r>
      <w:r>
        <w:rPr>
          <w:rFonts w:hint="eastAsia" w:ascii="Times New Roman" w:hAnsi="Times New Roman" w:eastAsia="仿宋_GB2312"/>
          <w:sz w:val="32"/>
          <w:szCs w:val="32"/>
        </w:rPr>
        <w:t>经区政府批准同意，受让企业产业类型必须符合我区产业导向要求且为规上企业，并参照“标准地”制度相关要求与镇街（开发区）签订项目投资管理合同；审批分割转让方案时</w:t>
      </w:r>
      <w:r>
        <w:rPr>
          <w:rFonts w:hint="eastAsia" w:ascii="仿宋_GB2312" w:eastAsia="仿宋_GB2312"/>
          <w:sz w:val="32"/>
          <w:szCs w:val="32"/>
        </w:rPr>
        <w:t>，应对原已签订的《项目管理合同》的履约情况进行评估和相应处置。（责任单位：*区资规分局、*区经信局、区住建局、区生态环境分局、市</w:t>
      </w:r>
      <w:r>
        <w:rPr>
          <w:rFonts w:hint="eastAsia" w:ascii="仿宋_GB2312" w:eastAsia="仿宋_GB2312"/>
          <w:sz w:val="32"/>
          <w:szCs w:val="32"/>
          <w:lang w:eastAsia="zh-CN"/>
        </w:rPr>
        <w:t>不动产登记中心</w:t>
      </w:r>
      <w:r>
        <w:rPr>
          <w:rFonts w:hint="eastAsia" w:ascii="仿宋_GB2312" w:eastAsia="仿宋_GB2312"/>
          <w:sz w:val="32"/>
          <w:szCs w:val="32"/>
        </w:rPr>
        <w:t>，各街镇</w:t>
      </w:r>
      <w:r>
        <w:rPr>
          <w:rFonts w:hint="eastAsia" w:ascii="Times New Roman" w:hAnsi="Times New Roman" w:eastAsia="仿宋_GB2312"/>
          <w:sz w:val="32"/>
          <w:szCs w:val="32"/>
        </w:rPr>
        <w:t>（开发区））</w:t>
      </w:r>
    </w:p>
    <w:p>
      <w:pPr>
        <w:autoSpaceDE w:val="0"/>
        <w:autoSpaceDN w:val="0"/>
        <w:snapToGrid w:val="0"/>
        <w:spacing w:line="560" w:lineRule="exact"/>
        <w:ind w:firstLine="640" w:firstLineChars="200"/>
        <w:rPr>
          <w:rFonts w:ascii="仿宋_GB2312" w:eastAsia="仿宋_GB2312"/>
          <w:sz w:val="32"/>
          <w:szCs w:val="32"/>
        </w:rPr>
      </w:pPr>
      <w:r>
        <w:rPr>
          <w:rFonts w:hint="eastAsia" w:ascii="Times New Roman" w:hAnsi="Times New Roman" w:eastAsia="仿宋_GB2312"/>
          <w:sz w:val="32"/>
          <w:szCs w:val="32"/>
        </w:rPr>
        <w:t>（三）支持产业用房分割转让。允许土地面积20亩以上、改造后容积率2.0以上的工业用地，在不改变项目功能用途且厂房用于产业链上下游优质企业的前提下，对容积率超出2.0部分的产业用房允许以层或幢为单位进行分割转让，最小分割单元</w:t>
      </w:r>
      <w:r>
        <w:rPr>
          <w:rFonts w:hint="eastAsia" w:ascii="Times New Roman" w:hAnsi="Times New Roman" w:eastAsia="仿宋_GB2312"/>
          <w:i/>
          <w:sz w:val="32"/>
          <w:szCs w:val="32"/>
        </w:rPr>
        <w:t>原则上</w:t>
      </w:r>
      <w:r>
        <w:rPr>
          <w:rFonts w:hint="eastAsia" w:ascii="Times New Roman" w:hAnsi="Times New Roman" w:eastAsia="仿宋_GB2312"/>
          <w:sz w:val="32"/>
          <w:szCs w:val="32"/>
        </w:rPr>
        <w:t>不得小于3000平方米，受让企业原则上为规上企业。分割项目须对原项目合同履约情况进行评估和相应处置，转让方案须经区政府批准同意，并按照不低于市场评估</w:t>
      </w:r>
      <w:r>
        <w:rPr>
          <w:rFonts w:hint="eastAsia" w:ascii="仿宋_GB2312" w:eastAsia="仿宋_GB2312"/>
          <w:sz w:val="32"/>
          <w:szCs w:val="32"/>
        </w:rPr>
        <w:t>价补缴土地出让金。受让企业项目必须符合我区产业导向要求，并参照“标准地”制度相关要求与属地政策签订土地使用出让权合同和项目投资管理合同。（责任单位：*区资规分局、*区经信局、区住建局、区财政局、市</w:t>
      </w:r>
      <w:r>
        <w:rPr>
          <w:rFonts w:hint="eastAsia" w:ascii="仿宋_GB2312" w:eastAsia="仿宋_GB2312"/>
          <w:sz w:val="32"/>
          <w:szCs w:val="32"/>
          <w:lang w:eastAsia="zh-CN"/>
        </w:rPr>
        <w:t>不动产登记中心</w:t>
      </w:r>
      <w:r>
        <w:rPr>
          <w:rFonts w:hint="eastAsia" w:ascii="仿宋_GB2312" w:eastAsia="仿宋_GB2312"/>
          <w:sz w:val="32"/>
          <w:szCs w:val="32"/>
        </w:rPr>
        <w:t>）</w:t>
      </w:r>
    </w:p>
    <w:p>
      <w:pPr>
        <w:ind w:firstLine="640" w:firstLineChars="200"/>
        <w:rPr>
          <w:rFonts w:ascii="仿宋_GB2312" w:eastAsia="仿宋_GB2312"/>
          <w:sz w:val="32"/>
          <w:szCs w:val="32"/>
        </w:rPr>
      </w:pPr>
      <w:r>
        <w:rPr>
          <w:rFonts w:hint="eastAsia" w:ascii="Times New Roman" w:hAnsi="Times New Roman" w:eastAsia="仿宋_GB2312"/>
          <w:sz w:val="32"/>
          <w:szCs w:val="32"/>
        </w:rPr>
        <w:t>（四）支持国有企业收购。对因项目、资金、预期效益等不愿意改造的低效用地，通过国企收购、定制租赁等方式，加大国企收购力度，用于后续引进增资扩产项目或成长性好、产出水平高的先进制造业项目。1.国企收购，支持国有企业收购方式参与联合改造，</w:t>
      </w:r>
      <w:r>
        <w:rPr>
          <w:rFonts w:hint="eastAsia" w:ascii="宋体" w:hAnsi="宋体" w:cs="宋体"/>
          <w:sz w:val="32"/>
          <w:szCs w:val="32"/>
        </w:rPr>
        <w:t>或</w:t>
      </w:r>
      <w:r>
        <w:rPr>
          <w:rFonts w:hint="eastAsia" w:ascii="Times New Roman" w:hAnsi="Times New Roman" w:eastAsia="仿宋_GB2312"/>
          <w:sz w:val="32"/>
          <w:szCs w:val="32"/>
        </w:rPr>
        <w:t>经批准实施改造提高容积率的，在《收购协议》中约定提高容积率后新增产业空间一定比例由国企收购。2.定制租赁，特殊地块经批准实施改造提高容积率的，企业需按政府拟定的建筑方案进行改造，在《返租协议》中约定产业空间以签约时整租评估价租赁给政府，一般返租期限不</w:t>
      </w:r>
      <w:r>
        <w:rPr>
          <w:rFonts w:hint="eastAsia" w:ascii="仿宋_GB2312" w:eastAsia="仿宋_GB2312"/>
          <w:sz w:val="32"/>
          <w:szCs w:val="32"/>
        </w:rPr>
        <w:t>低于10年。(责任单位：*各街镇（开发区）、区征收服务中心、区财政局)</w:t>
      </w:r>
    </w:p>
    <w:p>
      <w:pPr>
        <w:ind w:firstLine="640" w:firstLineChars="200"/>
        <w:rPr>
          <w:rFonts w:ascii="仿宋_GB2312" w:eastAsia="仿宋_GB2312"/>
          <w:sz w:val="32"/>
          <w:szCs w:val="32"/>
        </w:rPr>
      </w:pPr>
      <w:r>
        <w:rPr>
          <w:rFonts w:hint="eastAsia" w:ascii="仿宋_GB2312" w:eastAsia="仿宋_GB2312"/>
          <w:sz w:val="32"/>
          <w:szCs w:val="32"/>
        </w:rPr>
        <w:t>(五)延长工业用地使用年限。对连片再开发提升改造过程中涉及土地使用年限</w:t>
      </w:r>
      <w:r>
        <w:rPr>
          <w:rFonts w:ascii="仿宋_GB2312" w:eastAsia="仿宋_GB2312"/>
          <w:sz w:val="32"/>
          <w:szCs w:val="32"/>
        </w:rPr>
        <w:t>需</w:t>
      </w:r>
      <w:r>
        <w:rPr>
          <w:rFonts w:hint="eastAsia" w:ascii="仿宋_GB2312" w:eastAsia="仿宋_GB2312"/>
          <w:sz w:val="32"/>
          <w:szCs w:val="32"/>
        </w:rPr>
        <w:t>延长续期的</w:t>
      </w:r>
      <w:r>
        <w:rPr>
          <w:rFonts w:ascii="仿宋_GB2312" w:eastAsia="仿宋_GB2312"/>
          <w:sz w:val="32"/>
          <w:szCs w:val="32"/>
        </w:rPr>
        <w:t>项目</w:t>
      </w:r>
      <w:r>
        <w:rPr>
          <w:rFonts w:hint="eastAsia" w:ascii="仿宋_GB2312" w:eastAsia="仿宋_GB2312"/>
          <w:sz w:val="32"/>
          <w:szCs w:val="32"/>
        </w:rPr>
        <w:t>，可按连片开发中最长</w:t>
      </w:r>
      <w:r>
        <w:rPr>
          <w:rFonts w:ascii="仿宋_GB2312" w:eastAsia="仿宋_GB2312"/>
          <w:sz w:val="32"/>
          <w:szCs w:val="32"/>
        </w:rPr>
        <w:t>剩余</w:t>
      </w:r>
      <w:r>
        <w:rPr>
          <w:rFonts w:hint="eastAsia" w:ascii="仿宋_GB2312" w:eastAsia="仿宋_GB2312"/>
          <w:sz w:val="32"/>
          <w:szCs w:val="32"/>
        </w:rPr>
        <w:t>年限进行续期，并按基准地</w:t>
      </w:r>
      <w:r>
        <w:rPr>
          <w:rFonts w:ascii="仿宋_GB2312" w:eastAsia="仿宋_GB2312"/>
          <w:sz w:val="32"/>
          <w:szCs w:val="32"/>
        </w:rPr>
        <w:t>价系数修正法</w:t>
      </w:r>
      <w:r>
        <w:rPr>
          <w:rFonts w:hint="eastAsia" w:ascii="仿宋_GB2312" w:eastAsia="仿宋_GB2312"/>
          <w:sz w:val="32"/>
          <w:szCs w:val="32"/>
        </w:rPr>
        <w:t>评估补交土地价款。（责任单位：*区资规分局、区征收服务中心）</w:t>
      </w:r>
    </w:p>
    <w:p>
      <w:pPr>
        <w:ind w:firstLine="640" w:firstLineChars="200"/>
      </w:pPr>
      <w:r>
        <w:rPr>
          <w:rFonts w:ascii="Times New Roman" w:hAnsi="Times New Roman" w:eastAsia="楷体_GB2312"/>
          <w:bCs/>
          <w:sz w:val="32"/>
          <w:szCs w:val="32"/>
        </w:rPr>
        <w:t>（六）完善功能配套</w:t>
      </w:r>
      <w:r>
        <w:rPr>
          <w:rFonts w:hint="eastAsia" w:ascii="Times New Roman" w:hAnsi="Times New Roman" w:eastAsia="楷体_GB2312"/>
          <w:bCs/>
          <w:sz w:val="32"/>
          <w:szCs w:val="32"/>
        </w:rPr>
        <w:t>。</w:t>
      </w:r>
      <w:r>
        <w:rPr>
          <w:rFonts w:hint="eastAsia" w:ascii="仿宋_GB2312" w:hAnsi="宋体" w:eastAsia="仿宋_GB2312" w:cs="宋体"/>
          <w:bCs/>
          <w:sz w:val="32"/>
          <w:szCs w:val="32"/>
        </w:rPr>
        <w:t>允许企业利用已有土地，结合自身及周边企业需求，在符合相关规定的前提下，</w:t>
      </w:r>
      <w:r>
        <w:rPr>
          <w:rFonts w:hint="eastAsia" w:ascii="仿宋_GB2312" w:hAnsi="Times New Roman" w:eastAsia="仿宋_GB2312"/>
          <w:sz w:val="32"/>
          <w:szCs w:val="32"/>
        </w:rPr>
        <w:t>可以通过新建、拆除重建、扩建等方式建设保障性租赁住房、物业用房，并将配套建设行政办公及生活服务设施的用地面积占项目总用地面积的比例上限由7%提高到15%，建筑面积占比上限相应提高到30%，提高部分主要用于建设宿舍型保障性租赁住房</w:t>
      </w:r>
      <w:r>
        <w:rPr>
          <w:rFonts w:hint="eastAsia" w:ascii="Times New Roman" w:hAnsi="Times New Roman" w:eastAsia="仿宋_GB2312"/>
          <w:sz w:val="32"/>
          <w:szCs w:val="32"/>
        </w:rPr>
        <w:t>。园区红线外道路、水电等配套工程由区</w:t>
      </w:r>
      <w:r>
        <w:rPr>
          <w:rFonts w:hint="eastAsia" w:ascii="仿宋_GB2312" w:hAnsi="Times New Roman" w:eastAsia="仿宋_GB2312"/>
          <w:sz w:val="32"/>
          <w:szCs w:val="32"/>
        </w:rPr>
        <w:t>政府投入实施建设</w:t>
      </w:r>
      <w:r>
        <w:rPr>
          <w:rFonts w:hint="eastAsia" w:ascii="仿宋_GB2312" w:hAnsi="宋体" w:eastAsia="仿宋_GB2312" w:cs="宋体"/>
          <w:sz w:val="32"/>
          <w:szCs w:val="32"/>
        </w:rPr>
        <w:t>，完善园区配套功能</w:t>
      </w:r>
      <w:r>
        <w:rPr>
          <w:rFonts w:hint="eastAsia" w:ascii="宋体" w:hAnsi="宋体" w:cs="宋体"/>
          <w:sz w:val="32"/>
          <w:szCs w:val="32"/>
        </w:rPr>
        <w:t>，</w:t>
      </w:r>
      <w:r>
        <w:rPr>
          <w:rFonts w:ascii="Times New Roman" w:hAnsi="Times New Roman" w:eastAsia="仿宋_GB2312"/>
          <w:sz w:val="32"/>
          <w:szCs w:val="32"/>
        </w:rPr>
        <w:t>支持园区改造后，引入第三方运营机构，</w:t>
      </w:r>
      <w:r>
        <w:rPr>
          <w:rFonts w:hint="eastAsia" w:ascii="Times New Roman" w:hAnsi="Times New Roman" w:eastAsia="仿宋_GB2312"/>
          <w:sz w:val="32"/>
          <w:szCs w:val="32"/>
        </w:rPr>
        <w:t>支持</w:t>
      </w:r>
      <w:r>
        <w:rPr>
          <w:rFonts w:ascii="Times New Roman" w:hAnsi="Times New Roman" w:eastAsia="仿宋_GB2312"/>
          <w:sz w:val="32"/>
          <w:szCs w:val="32"/>
        </w:rPr>
        <w:t>引入</w:t>
      </w:r>
      <w:r>
        <w:rPr>
          <w:rFonts w:hint="eastAsia" w:ascii="Times New Roman" w:hAnsi="Times New Roman" w:eastAsia="仿宋_GB2312"/>
          <w:sz w:val="32"/>
          <w:szCs w:val="32"/>
        </w:rPr>
        <w:t>瓯海本地</w:t>
      </w:r>
      <w:r>
        <w:rPr>
          <w:rFonts w:ascii="Times New Roman" w:hAnsi="Times New Roman" w:eastAsia="仿宋_GB2312"/>
          <w:sz w:val="32"/>
          <w:szCs w:val="32"/>
        </w:rPr>
        <w:t>国企进行运营，提高园区运营管理能力。</w:t>
      </w:r>
      <w:r>
        <w:rPr>
          <w:rFonts w:hint="eastAsia" w:ascii="仿宋_GB2312" w:eastAsia="仿宋_GB2312"/>
          <w:sz w:val="32"/>
          <w:szCs w:val="32"/>
        </w:rPr>
        <w:t>（责任单位：*区住建局</w:t>
      </w:r>
      <w:r>
        <w:rPr>
          <w:rFonts w:ascii="仿宋_GB2312" w:eastAsia="仿宋_GB2312"/>
          <w:sz w:val="32"/>
          <w:szCs w:val="32"/>
        </w:rPr>
        <w:t>、</w:t>
      </w:r>
      <w:r>
        <w:rPr>
          <w:rFonts w:hint="eastAsia" w:ascii="仿宋_GB2312" w:eastAsia="仿宋_GB2312"/>
          <w:sz w:val="32"/>
          <w:szCs w:val="32"/>
        </w:rPr>
        <w:t>区资规</w:t>
      </w:r>
      <w:r>
        <w:rPr>
          <w:rFonts w:hint="eastAsia" w:ascii="Times New Roman" w:hAnsi="Times New Roman" w:eastAsia="仿宋_GB2312"/>
          <w:sz w:val="32"/>
          <w:szCs w:val="32"/>
        </w:rPr>
        <w:t>分局</w:t>
      </w:r>
      <w:r>
        <w:rPr>
          <w:rFonts w:hint="eastAsia" w:ascii="仿宋_GB2312" w:eastAsia="仿宋_GB2312"/>
          <w:sz w:val="32"/>
          <w:szCs w:val="32"/>
        </w:rPr>
        <w:t>）</w:t>
      </w:r>
    </w:p>
    <w:p>
      <w:pPr>
        <w:adjustRightInd w:val="0"/>
        <w:snapToGrid w:val="0"/>
        <w:spacing w:line="560" w:lineRule="exact"/>
        <w:ind w:firstLine="640" w:firstLineChars="200"/>
        <w:textAlignment w:val="baseline"/>
        <w:rPr>
          <w:rFonts w:ascii="Times New Roman" w:hAnsi="Times New Roman" w:eastAsia="仿宋_GB2312"/>
          <w:sz w:val="32"/>
          <w:szCs w:val="32"/>
        </w:rPr>
      </w:pPr>
      <w:r>
        <w:rPr>
          <w:rFonts w:hint="eastAsia" w:ascii="Times New Roman" w:hAnsi="Times New Roman" w:eastAsia="仿宋_GB2312"/>
          <w:sz w:val="32"/>
          <w:szCs w:val="32"/>
        </w:rPr>
        <w:t>（七）</w:t>
      </w:r>
      <w:r>
        <w:rPr>
          <w:rFonts w:ascii="Times New Roman" w:hAnsi="Times New Roman" w:eastAsia="仿宋_GB2312"/>
          <w:sz w:val="32"/>
          <w:szCs w:val="32"/>
        </w:rPr>
        <w:t>提高</w:t>
      </w:r>
      <w:r>
        <w:rPr>
          <w:rFonts w:hint="eastAsia" w:ascii="Times New Roman" w:hAnsi="Times New Roman" w:eastAsia="仿宋_GB2312"/>
          <w:sz w:val="32"/>
          <w:szCs w:val="32"/>
        </w:rPr>
        <w:t>财政奖</w:t>
      </w:r>
      <w:r>
        <w:rPr>
          <w:rFonts w:ascii="Times New Roman" w:hAnsi="Times New Roman" w:eastAsia="仿宋_GB2312"/>
          <w:sz w:val="32"/>
          <w:szCs w:val="32"/>
        </w:rPr>
        <w:t>补</w:t>
      </w:r>
      <w:r>
        <w:rPr>
          <w:rFonts w:hint="eastAsia" w:ascii="Times New Roman" w:hAnsi="Times New Roman" w:eastAsia="仿宋_GB2312"/>
          <w:sz w:val="32"/>
          <w:szCs w:val="32"/>
        </w:rPr>
        <w:t>。</w:t>
      </w:r>
      <w:r>
        <w:rPr>
          <w:rFonts w:ascii="Times New Roman" w:hAnsi="Times New Roman" w:eastAsia="仿宋_GB2312"/>
          <w:sz w:val="32"/>
          <w:szCs w:val="32"/>
        </w:rPr>
        <w:t>对列入旧工业区改造计划的，</w:t>
      </w:r>
      <w:r>
        <w:rPr>
          <w:rFonts w:hint="eastAsia" w:ascii="Times New Roman" w:hAnsi="Times New Roman" w:eastAsia="仿宋_GB2312"/>
          <w:i/>
          <w:sz w:val="32"/>
          <w:szCs w:val="32"/>
        </w:rPr>
        <w:t>联合</w:t>
      </w:r>
      <w:r>
        <w:rPr>
          <w:rFonts w:hint="eastAsia" w:ascii="Times New Roman" w:hAnsi="Times New Roman" w:eastAsia="仿宋_GB2312"/>
          <w:sz w:val="32"/>
          <w:szCs w:val="32"/>
        </w:rPr>
        <w:t>改造面积20亩以上，</w:t>
      </w:r>
      <w:r>
        <w:rPr>
          <w:rFonts w:ascii="Times New Roman" w:hAnsi="Times New Roman" w:eastAsia="仿宋_GB2312"/>
          <w:sz w:val="32"/>
          <w:szCs w:val="32"/>
        </w:rPr>
        <w:t>容积率达到2.5以上的，给予</w:t>
      </w:r>
      <w:r>
        <w:rPr>
          <w:rFonts w:hint="eastAsia" w:ascii="Times New Roman" w:hAnsi="Times New Roman" w:eastAsia="仿宋_GB2312"/>
          <w:sz w:val="32"/>
          <w:szCs w:val="32"/>
        </w:rPr>
        <w:t>拆除重建</w:t>
      </w:r>
      <w:r>
        <w:rPr>
          <w:rFonts w:ascii="Times New Roman" w:hAnsi="Times New Roman" w:eastAsia="仿宋_GB2312"/>
          <w:sz w:val="32"/>
          <w:szCs w:val="32"/>
        </w:rPr>
        <w:t>建筑面积100元/平方米财政补助，地下室建筑面积按400元/平方米给予财政补助，</w:t>
      </w:r>
      <w:r>
        <w:rPr>
          <w:rFonts w:hint="eastAsia" w:ascii="Times New Roman" w:hAnsi="Times New Roman" w:eastAsia="仿宋_GB2312"/>
          <w:sz w:val="32"/>
          <w:szCs w:val="32"/>
        </w:rPr>
        <w:t>每</w:t>
      </w:r>
      <w:r>
        <w:rPr>
          <w:rFonts w:ascii="Times New Roman" w:hAnsi="Times New Roman" w:eastAsia="仿宋_GB2312"/>
          <w:sz w:val="32"/>
          <w:szCs w:val="32"/>
        </w:rPr>
        <w:t>个企业最高补助总额不超过100万元。</w:t>
      </w:r>
      <w:r>
        <w:rPr>
          <w:rFonts w:hint="eastAsia" w:ascii="Times New Roman" w:hAnsi="Times New Roman" w:eastAsia="仿宋_GB2312"/>
          <w:sz w:val="32"/>
          <w:szCs w:val="32"/>
        </w:rPr>
        <w:t>（*区财政局、区经信局）</w:t>
      </w:r>
    </w:p>
    <w:p>
      <w:pPr>
        <w:spacing w:line="56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六</w:t>
      </w:r>
      <w:r>
        <w:rPr>
          <w:rFonts w:ascii="Times New Roman" w:hAnsi="Times New Roman" w:eastAsia="黑体"/>
          <w:sz w:val="32"/>
          <w:szCs w:val="32"/>
        </w:rPr>
        <w:t>、保障机制</w:t>
      </w:r>
    </w:p>
    <w:p>
      <w:pPr>
        <w:pStyle w:val="2"/>
        <w:ind w:firstLine="640"/>
        <w:rPr>
          <w:rFonts w:ascii="Times New Roman" w:hAnsi="Times New Roman" w:eastAsia="仿宋_GB2312"/>
          <w:sz w:val="32"/>
          <w:szCs w:val="32"/>
        </w:rPr>
      </w:pPr>
      <w:r>
        <w:rPr>
          <w:rFonts w:ascii="楷体" w:hAnsi="楷体" w:eastAsia="楷体"/>
          <w:sz w:val="32"/>
          <w:szCs w:val="32"/>
        </w:rPr>
        <w:t>（一）健全工作机制。成立区级工作专班，</w:t>
      </w:r>
      <w:r>
        <w:rPr>
          <w:rFonts w:ascii="Times New Roman" w:hAnsi="Times New Roman" w:eastAsia="仿宋_GB2312"/>
          <w:sz w:val="32"/>
          <w:szCs w:val="32"/>
        </w:rPr>
        <w:t>建立定期会商、问题协调、信息报送机制，对重点突出问题进行协调化解，及时总结推进中的工作亮点、成效。</w:t>
      </w:r>
    </w:p>
    <w:p>
      <w:pPr>
        <w:spacing w:line="600" w:lineRule="exact"/>
        <w:ind w:firstLine="640" w:firstLineChars="200"/>
        <w:rPr>
          <w:rFonts w:ascii="Times New Roman" w:hAnsi="Times New Roman" w:eastAsia="楷体_GB2312"/>
          <w:sz w:val="32"/>
          <w:szCs w:val="32"/>
        </w:rPr>
      </w:pPr>
      <w:r>
        <w:rPr>
          <w:rFonts w:hint="eastAsia" w:ascii="楷体" w:hAnsi="楷体" w:eastAsia="楷体"/>
          <w:sz w:val="32"/>
          <w:szCs w:val="32"/>
        </w:rPr>
        <w:t>（二）强化督查考核</w:t>
      </w:r>
      <w:r>
        <w:rPr>
          <w:rFonts w:hint="eastAsia" w:ascii="Times New Roman" w:hAnsi="Times New Roman" w:eastAsia="楷体_GB2312"/>
          <w:sz w:val="32"/>
          <w:szCs w:val="32"/>
        </w:rPr>
        <w:t>。</w:t>
      </w:r>
      <w:r>
        <w:rPr>
          <w:rFonts w:hint="eastAsia" w:ascii="Times New Roman" w:hAnsi="Times New Roman" w:eastAsia="仿宋_GB2312"/>
          <w:sz w:val="32"/>
          <w:szCs w:val="32"/>
        </w:rPr>
        <w:t>将老旧工业区改造提升工作</w:t>
      </w:r>
      <w:r>
        <w:rPr>
          <w:rFonts w:ascii="宋体" w:hAnsi="宋体" w:eastAsia="仿宋_GB2312" w:cs="宋体"/>
          <w:bCs/>
          <w:sz w:val="32"/>
          <w:szCs w:val="32"/>
          <w:shd w:val="clear" w:color="auto" w:fill="FFFFFF"/>
        </w:rPr>
        <w:t>纳入区委区政府重点工作年度考绩考核，</w:t>
      </w:r>
      <w:r>
        <w:rPr>
          <w:rFonts w:hint="eastAsia" w:ascii="Times New Roman" w:hAnsi="Times New Roman" w:eastAsia="仿宋_GB2312"/>
          <w:sz w:val="32"/>
          <w:szCs w:val="32"/>
        </w:rPr>
        <w:t>纳入镇街（开发区）年度考</w:t>
      </w:r>
      <w:r>
        <w:rPr>
          <w:rFonts w:hint="eastAsia" w:ascii="仿宋_GB2312" w:hAnsi="Times New Roman" w:eastAsia="仿宋_GB2312"/>
          <w:sz w:val="32"/>
          <w:szCs w:val="32"/>
        </w:rPr>
        <w:t>核一票否优清单，</w:t>
      </w:r>
      <w:r>
        <w:rPr>
          <w:rFonts w:hint="eastAsia" w:ascii="仿宋_GB2312" w:hAnsi="宋体" w:eastAsia="仿宋_GB2312" w:cs="宋体"/>
          <w:bCs/>
          <w:sz w:val="32"/>
          <w:szCs w:val="32"/>
          <w:shd w:val="clear" w:color="auto" w:fill="FFFFFF"/>
        </w:rPr>
        <w:t>实</w:t>
      </w:r>
      <w:r>
        <w:rPr>
          <w:rFonts w:hint="eastAsia" w:ascii="宋体" w:hAnsi="宋体" w:eastAsia="仿宋_GB2312" w:cs="宋体"/>
          <w:bCs/>
          <w:sz w:val="32"/>
          <w:szCs w:val="32"/>
          <w:shd w:val="clear" w:color="auto" w:fill="FFFFFF"/>
        </w:rPr>
        <w:t>施月度监测</w:t>
      </w:r>
      <w:r>
        <w:rPr>
          <w:rFonts w:ascii="宋体" w:hAnsi="宋体" w:eastAsia="仿宋_GB2312" w:cs="宋体"/>
          <w:bCs/>
          <w:sz w:val="32"/>
          <w:szCs w:val="32"/>
          <w:shd w:val="clear" w:color="auto" w:fill="FFFFFF"/>
        </w:rPr>
        <w:t>、季度通报</w:t>
      </w:r>
      <w:r>
        <w:rPr>
          <w:rFonts w:hint="eastAsia" w:ascii="宋体" w:hAnsi="宋体" w:eastAsia="仿宋_GB2312" w:cs="宋体"/>
          <w:bCs/>
          <w:sz w:val="32"/>
          <w:szCs w:val="32"/>
          <w:shd w:val="clear" w:color="auto" w:fill="FFFFFF"/>
        </w:rPr>
        <w:t>、</w:t>
      </w:r>
      <w:r>
        <w:rPr>
          <w:rFonts w:ascii="宋体" w:hAnsi="宋体" w:eastAsia="仿宋_GB2312" w:cs="宋体"/>
          <w:bCs/>
          <w:sz w:val="32"/>
          <w:szCs w:val="32"/>
          <w:shd w:val="clear" w:color="auto" w:fill="FFFFFF"/>
        </w:rPr>
        <w:t>年度</w:t>
      </w:r>
      <w:r>
        <w:rPr>
          <w:rFonts w:hint="eastAsia" w:ascii="宋体" w:hAnsi="宋体" w:eastAsia="仿宋_GB2312" w:cs="宋体"/>
          <w:bCs/>
          <w:sz w:val="32"/>
          <w:szCs w:val="32"/>
          <w:shd w:val="clear" w:color="auto" w:fill="FFFFFF"/>
        </w:rPr>
        <w:t>考核</w:t>
      </w:r>
      <w:r>
        <w:rPr>
          <w:rFonts w:ascii="宋体" w:hAnsi="宋体" w:eastAsia="仿宋_GB2312" w:cs="宋体"/>
          <w:bCs/>
          <w:sz w:val="32"/>
          <w:szCs w:val="32"/>
          <w:shd w:val="clear" w:color="auto" w:fill="FFFFFF"/>
        </w:rPr>
        <w:t>，不定期开展监督检查，确保工作扎实有序推进。</w:t>
      </w:r>
    </w:p>
    <w:p>
      <w:pPr>
        <w:spacing w:line="560" w:lineRule="exact"/>
        <w:ind w:firstLine="640" w:firstLineChars="200"/>
        <w:rPr>
          <w:rFonts w:ascii="Times New Roman" w:hAnsi="Times New Roman" w:eastAsia="仿宋_GB2312"/>
          <w:sz w:val="32"/>
          <w:szCs w:val="32"/>
        </w:rPr>
      </w:pPr>
      <w:r>
        <w:rPr>
          <w:rFonts w:ascii="楷体" w:hAnsi="楷体" w:eastAsia="楷体"/>
          <w:sz w:val="32"/>
          <w:szCs w:val="32"/>
        </w:rPr>
        <w:t>（</w:t>
      </w:r>
      <w:r>
        <w:rPr>
          <w:rFonts w:hint="eastAsia" w:ascii="楷体" w:hAnsi="楷体" w:eastAsia="楷体"/>
          <w:sz w:val="32"/>
          <w:szCs w:val="32"/>
        </w:rPr>
        <w:t>三</w:t>
      </w:r>
      <w:r>
        <w:rPr>
          <w:rFonts w:ascii="楷体" w:hAnsi="楷体" w:eastAsia="楷体"/>
          <w:sz w:val="32"/>
          <w:szCs w:val="32"/>
        </w:rPr>
        <w:t>）优化项目审批。</w:t>
      </w:r>
      <w:r>
        <w:rPr>
          <w:rFonts w:ascii="Times New Roman" w:hAnsi="Times New Roman" w:eastAsia="仿宋_GB2312"/>
          <w:sz w:val="32"/>
          <w:szCs w:val="32"/>
        </w:rPr>
        <w:t>围绕“最多跑一次”改革和，进一步精简项目审批环节，对符合条件的改造项目实施项目审批承诺备案制，积极推进区域能评、区域环评落地，开展部门并联审，原则上改造新建项目需在经改造计划批准后开工前审批控制在50天以内。</w:t>
      </w:r>
    </w:p>
    <w:p>
      <w:pPr>
        <w:spacing w:line="560" w:lineRule="exact"/>
        <w:ind w:firstLine="640" w:firstLineChars="200"/>
        <w:rPr>
          <w:rFonts w:ascii="Times New Roman" w:hAnsi="Times New Roman" w:eastAsia="仿宋_GB2312"/>
          <w:sz w:val="32"/>
          <w:szCs w:val="32"/>
        </w:rPr>
      </w:pPr>
      <w:r>
        <w:rPr>
          <w:rFonts w:ascii="楷体" w:hAnsi="楷体" w:eastAsia="楷体"/>
          <w:sz w:val="32"/>
          <w:szCs w:val="32"/>
        </w:rPr>
        <w:t>（</w:t>
      </w:r>
      <w:r>
        <w:rPr>
          <w:rFonts w:hint="eastAsia" w:ascii="楷体" w:hAnsi="楷体" w:eastAsia="楷体"/>
          <w:sz w:val="32"/>
          <w:szCs w:val="32"/>
        </w:rPr>
        <w:t>四</w:t>
      </w:r>
      <w:r>
        <w:rPr>
          <w:rFonts w:ascii="楷体" w:hAnsi="楷体" w:eastAsia="楷体"/>
          <w:sz w:val="32"/>
          <w:szCs w:val="32"/>
        </w:rPr>
        <w:t>）</w:t>
      </w:r>
      <w:r>
        <w:rPr>
          <w:rFonts w:ascii="Times New Roman" w:hAnsi="Times New Roman" w:eastAsia="仿宋_GB2312"/>
          <w:sz w:val="32"/>
          <w:szCs w:val="32"/>
        </w:rPr>
        <w:t>适用容错机制</w:t>
      </w:r>
      <w:r>
        <w:rPr>
          <w:rFonts w:hint="eastAsia" w:ascii="Times New Roman" w:hAnsi="Times New Roman" w:eastAsia="仿宋_GB2312"/>
          <w:sz w:val="32"/>
          <w:szCs w:val="32"/>
        </w:rPr>
        <w:t>。</w:t>
      </w:r>
      <w:r>
        <w:rPr>
          <w:rFonts w:ascii="Times New Roman" w:hAnsi="Times New Roman" w:eastAsia="仿宋_GB2312"/>
          <w:sz w:val="32"/>
          <w:szCs w:val="32"/>
        </w:rPr>
        <w:t>老旧工业区改造提升工作具备推进改革和体制机制创新方面的情形，适用《</w:t>
      </w:r>
      <w:r>
        <w:rPr>
          <w:rFonts w:hint="eastAsia" w:ascii="Times New Roman" w:hAnsi="Times New Roman" w:eastAsia="仿宋_GB2312"/>
          <w:sz w:val="32"/>
          <w:szCs w:val="32"/>
        </w:rPr>
        <w:t>关于落实</w:t>
      </w:r>
      <w:r>
        <w:rPr>
          <w:rFonts w:ascii="Times New Roman" w:hAnsi="Times New Roman" w:eastAsia="仿宋_GB2312"/>
          <w:sz w:val="32"/>
          <w:szCs w:val="32"/>
        </w:rPr>
        <w:t>容错</w:t>
      </w:r>
      <w:r>
        <w:rPr>
          <w:rFonts w:hint="eastAsia" w:ascii="Times New Roman" w:hAnsi="Times New Roman" w:eastAsia="仿宋_GB2312"/>
          <w:sz w:val="32"/>
          <w:szCs w:val="32"/>
        </w:rPr>
        <w:t>免责机制激励干部履职担当的工作规程</w:t>
      </w:r>
      <w:r>
        <w:rPr>
          <w:rFonts w:ascii="Times New Roman" w:hAnsi="Times New Roman" w:eastAsia="仿宋_GB2312"/>
          <w:sz w:val="32"/>
          <w:szCs w:val="32"/>
        </w:rPr>
        <w:t>（试行）</w:t>
      </w:r>
      <w:r>
        <w:rPr>
          <w:rFonts w:hint="eastAsia" w:ascii="Times New Roman" w:hAnsi="Times New Roman" w:eastAsia="仿宋_GB2312"/>
          <w:sz w:val="32"/>
          <w:szCs w:val="32"/>
        </w:rPr>
        <w:t>的通知</w:t>
      </w:r>
      <w:r>
        <w:rPr>
          <w:rFonts w:ascii="Times New Roman" w:hAnsi="Times New Roman" w:eastAsia="仿宋_GB2312"/>
          <w:sz w:val="32"/>
          <w:szCs w:val="32"/>
        </w:rPr>
        <w:t>》（</w:t>
      </w:r>
      <w:r>
        <w:rPr>
          <w:rFonts w:hint="eastAsia" w:ascii="Times New Roman" w:hAnsi="Times New Roman" w:eastAsia="仿宋_GB2312"/>
          <w:sz w:val="32"/>
          <w:szCs w:val="32"/>
        </w:rPr>
        <w:t>温瓯纪</w:t>
      </w:r>
      <w:r>
        <w:rPr>
          <w:rFonts w:ascii="Times New Roman" w:hAnsi="Times New Roman" w:eastAsia="仿宋_GB2312"/>
          <w:sz w:val="32"/>
          <w:szCs w:val="32"/>
        </w:rPr>
        <w:t>〔20</w:t>
      </w:r>
      <w:r>
        <w:rPr>
          <w:rFonts w:hint="eastAsia" w:ascii="Times New Roman" w:hAnsi="Times New Roman" w:eastAsia="仿宋_GB2312"/>
          <w:sz w:val="32"/>
          <w:szCs w:val="32"/>
        </w:rPr>
        <w:t>22</w:t>
      </w:r>
      <w:r>
        <w:rPr>
          <w:rFonts w:ascii="Times New Roman" w:hAnsi="Times New Roman" w:eastAsia="仿宋_GB2312"/>
          <w:sz w:val="32"/>
          <w:szCs w:val="32"/>
        </w:rPr>
        <w:t>〕</w:t>
      </w:r>
      <w:r>
        <w:rPr>
          <w:rFonts w:hint="eastAsia" w:ascii="Times New Roman" w:hAnsi="Times New Roman" w:eastAsia="仿宋_GB2312"/>
          <w:sz w:val="32"/>
          <w:szCs w:val="32"/>
        </w:rPr>
        <w:t>65</w:t>
      </w:r>
      <w:r>
        <w:rPr>
          <w:rFonts w:ascii="Times New Roman" w:hAnsi="Times New Roman" w:eastAsia="仿宋_GB2312"/>
          <w:sz w:val="32"/>
          <w:szCs w:val="32"/>
        </w:rPr>
        <w:t>号）文件</w:t>
      </w:r>
      <w:r>
        <w:rPr>
          <w:rFonts w:hint="eastAsia" w:ascii="Times New Roman" w:hAnsi="Times New Roman" w:eastAsia="仿宋_GB2312"/>
          <w:sz w:val="32"/>
          <w:szCs w:val="32"/>
        </w:rPr>
        <w:t>予以容错免责。</w:t>
      </w:r>
    </w:p>
    <w:p>
      <w:pPr>
        <w:autoSpaceDE w:val="0"/>
        <w:autoSpaceDN w:val="0"/>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温州市级以上政策内容，本政策未涉及的，依照温州市级以上政策文件执行。在实施过程中如遇法律法规和重大政策变化，本政策也作相应调整。</w:t>
      </w:r>
    </w:p>
    <w:p>
      <w:pPr>
        <w:pStyle w:val="2"/>
        <w:spacing w:line="560" w:lineRule="exact"/>
        <w:ind w:firstLine="640"/>
        <w:rPr>
          <w:rFonts w:ascii="Times New Roman" w:hAnsi="Times New Roman" w:eastAsia="仿宋_GB2312"/>
          <w:sz w:val="32"/>
          <w:szCs w:val="32"/>
        </w:rPr>
      </w:pPr>
      <w:r>
        <w:rPr>
          <w:rFonts w:ascii="Times New Roman" w:hAnsi="Times New Roman" w:eastAsia="仿宋_GB2312"/>
          <w:sz w:val="32"/>
          <w:szCs w:val="32"/>
        </w:rPr>
        <w:t>本政策由</w:t>
      </w:r>
      <w:r>
        <w:rPr>
          <w:rFonts w:hint="eastAsia" w:ascii="Times New Roman" w:hAnsi="Times New Roman" w:eastAsia="仿宋_GB2312"/>
          <w:sz w:val="32"/>
          <w:szCs w:val="32"/>
        </w:rPr>
        <w:t>区</w:t>
      </w:r>
      <w:r>
        <w:rPr>
          <w:rFonts w:ascii="Times New Roman" w:hAnsi="Times New Roman" w:eastAsia="仿宋_GB2312"/>
          <w:sz w:val="32"/>
          <w:szCs w:val="32"/>
        </w:rPr>
        <w:t>资规</w:t>
      </w:r>
      <w:r>
        <w:rPr>
          <w:rFonts w:hint="eastAsia" w:ascii="Times New Roman" w:hAnsi="Times New Roman" w:eastAsia="仿宋_GB2312"/>
          <w:sz w:val="32"/>
          <w:szCs w:val="32"/>
        </w:rPr>
        <w:t>分</w:t>
      </w:r>
      <w:r>
        <w:rPr>
          <w:rFonts w:ascii="Times New Roman" w:hAnsi="Times New Roman" w:eastAsia="仿宋_GB2312"/>
          <w:sz w:val="32"/>
          <w:szCs w:val="32"/>
        </w:rPr>
        <w:t>局、</w:t>
      </w:r>
      <w:r>
        <w:rPr>
          <w:rFonts w:hint="eastAsia" w:ascii="Times New Roman" w:hAnsi="Times New Roman" w:eastAsia="仿宋_GB2312"/>
          <w:sz w:val="32"/>
          <w:szCs w:val="32"/>
        </w:rPr>
        <w:t>区</w:t>
      </w:r>
      <w:r>
        <w:rPr>
          <w:rFonts w:ascii="Times New Roman" w:hAnsi="Times New Roman" w:eastAsia="仿宋_GB2312"/>
          <w:sz w:val="32"/>
          <w:szCs w:val="32"/>
        </w:rPr>
        <w:t>经信局</w:t>
      </w:r>
      <w:r>
        <w:rPr>
          <w:rFonts w:hint="eastAsia" w:ascii="Times New Roman" w:hAnsi="Times New Roman" w:eastAsia="仿宋_GB2312"/>
          <w:sz w:val="32"/>
          <w:szCs w:val="32"/>
        </w:rPr>
        <w:t>等牵头</w:t>
      </w:r>
      <w:r>
        <w:rPr>
          <w:rFonts w:ascii="Times New Roman" w:hAnsi="Times New Roman" w:eastAsia="仿宋_GB2312"/>
          <w:sz w:val="32"/>
          <w:szCs w:val="32"/>
        </w:rPr>
        <w:t>部门负责解释。</w:t>
      </w:r>
    </w:p>
    <w:p>
      <w:pPr>
        <w:autoSpaceDE w:val="0"/>
        <w:autoSpaceDN w:val="0"/>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本政策自2022年</w:t>
      </w:r>
      <w:r>
        <w:rPr>
          <w:rFonts w:hint="eastAsia" w:ascii="Times New Roman" w:hAnsi="Times New Roman" w:eastAsia="仿宋_GB2312"/>
          <w:sz w:val="32"/>
          <w:szCs w:val="32"/>
        </w:rPr>
        <w:t>11</w:t>
      </w:r>
      <w:r>
        <w:rPr>
          <w:rFonts w:ascii="Times New Roman" w:hAnsi="Times New Roman" w:eastAsia="仿宋_GB2312"/>
          <w:sz w:val="32"/>
          <w:szCs w:val="32"/>
        </w:rPr>
        <w:t>月xx日开始施行，有效期3年。</w:t>
      </w:r>
    </w:p>
    <w:p>
      <w:pPr>
        <w:pStyle w:val="2"/>
        <w:ind w:firstLine="480"/>
      </w:pPr>
    </w:p>
    <w:p>
      <w:pPr>
        <w:spacing w:line="560" w:lineRule="exact"/>
        <w:ind w:firstLine="640" w:firstLineChars="200"/>
        <w:rPr>
          <w:rFonts w:ascii="Times New Roman" w:hAnsi="Times New Roman" w:eastAsia="仿宋_GB2312"/>
          <w:sz w:val="32"/>
          <w:szCs w:val="32"/>
        </w:rPr>
      </w:pPr>
    </w:p>
    <w:p>
      <w:pPr>
        <w:pStyle w:val="2"/>
        <w:ind w:firstLine="480"/>
      </w:pPr>
    </w:p>
    <w:p>
      <w:pPr>
        <w:widowControl/>
        <w:jc w:val="left"/>
        <w:rPr>
          <w:rFonts w:ascii="Times New Roman" w:hAnsi="Times New Roman" w:eastAsia="仿宋_GB2312"/>
          <w:sz w:val="32"/>
          <w:szCs w:val="32"/>
        </w:rPr>
      </w:pPr>
      <w:r>
        <w:rPr>
          <w:rFonts w:ascii="Times New Roman" w:hAnsi="Times New Roman" w:eastAsia="仿宋_GB2312"/>
          <w:sz w:val="32"/>
          <w:szCs w:val="32"/>
        </w:rPr>
        <w:t>附件</w:t>
      </w:r>
      <w:r>
        <w:rPr>
          <w:rFonts w:hint="eastAsia" w:ascii="Times New Roman" w:hAnsi="Times New Roman" w:eastAsia="仿宋_GB2312"/>
          <w:sz w:val="32"/>
          <w:szCs w:val="32"/>
        </w:rPr>
        <w:t>:1. 瓯海旧工业区拆除重建类三年计划</w:t>
      </w:r>
    </w:p>
    <w:p>
      <w:pPr>
        <w:widowControl/>
        <w:jc w:val="left"/>
        <w:rPr>
          <w:rFonts w:ascii="Times New Roman" w:hAnsi="Times New Roman" w:eastAsia="仿宋_GB2312"/>
          <w:sz w:val="32"/>
          <w:szCs w:val="32"/>
        </w:rPr>
      </w:pPr>
      <w:r>
        <w:rPr>
          <w:rFonts w:hint="eastAsia" w:ascii="Times New Roman" w:hAnsi="Times New Roman" w:eastAsia="仿宋_GB2312"/>
          <w:sz w:val="32"/>
          <w:szCs w:val="32"/>
        </w:rPr>
        <w:t xml:space="preserve">     2. 瓯海旧工业区改造提升类三年计划</w:t>
      </w:r>
    </w:p>
    <w:p>
      <w:pPr>
        <w:widowControl/>
        <w:jc w:val="left"/>
        <w:rPr>
          <w:rFonts w:ascii="Times New Roman" w:hAnsi="Times New Roman" w:eastAsia="仿宋_GB2312"/>
          <w:sz w:val="32"/>
          <w:szCs w:val="32"/>
        </w:rPr>
      </w:pPr>
      <w:r>
        <w:rPr>
          <w:rFonts w:ascii="Times New Roman" w:hAnsi="Times New Roman" w:eastAsia="仿宋_GB2312"/>
          <w:sz w:val="32"/>
          <w:szCs w:val="32"/>
        </w:rPr>
        <w:br w:type="page"/>
      </w:r>
    </w:p>
    <w:tbl>
      <w:tblPr>
        <w:tblStyle w:val="13"/>
        <w:tblW w:w="9143" w:type="dxa"/>
        <w:tblInd w:w="93" w:type="dxa"/>
        <w:tblLayout w:type="autofit"/>
        <w:tblCellMar>
          <w:top w:w="0" w:type="dxa"/>
          <w:left w:w="108" w:type="dxa"/>
          <w:bottom w:w="0" w:type="dxa"/>
          <w:right w:w="108" w:type="dxa"/>
        </w:tblCellMar>
      </w:tblPr>
      <w:tblGrid>
        <w:gridCol w:w="820"/>
        <w:gridCol w:w="2172"/>
        <w:gridCol w:w="1080"/>
        <w:gridCol w:w="1330"/>
        <w:gridCol w:w="1701"/>
        <w:gridCol w:w="2040"/>
      </w:tblGrid>
      <w:tr>
        <w:tblPrEx>
          <w:tblCellMar>
            <w:top w:w="0" w:type="dxa"/>
            <w:left w:w="108" w:type="dxa"/>
            <w:bottom w:w="0" w:type="dxa"/>
            <w:right w:w="108" w:type="dxa"/>
          </w:tblCellMar>
        </w:tblPrEx>
        <w:trPr>
          <w:trHeight w:val="540" w:hRule="atLeast"/>
        </w:trPr>
        <w:tc>
          <w:tcPr>
            <w:tcW w:w="9143" w:type="dxa"/>
            <w:gridSpan w:val="6"/>
            <w:tcBorders>
              <w:top w:val="nil"/>
              <w:left w:val="nil"/>
              <w:bottom w:val="single" w:color="auto" w:sz="4" w:space="0"/>
              <w:right w:val="nil"/>
            </w:tcBorders>
            <w:shd w:val="clear" w:color="auto" w:fill="auto"/>
            <w:vAlign w:val="center"/>
          </w:tcPr>
          <w:p>
            <w:pPr>
              <w:widowControl/>
              <w:jc w:val="left"/>
              <w:rPr>
                <w:rFonts w:ascii="Times New Roman" w:hAnsi="Times New Roman" w:eastAsia="仿宋_GB2312"/>
                <w:sz w:val="32"/>
                <w:szCs w:val="32"/>
              </w:rPr>
            </w:pPr>
            <w:r>
              <w:rPr>
                <w:rFonts w:hint="eastAsia" w:ascii="Times New Roman" w:hAnsi="Times New Roman" w:eastAsia="仿宋_GB2312"/>
                <w:sz w:val="32"/>
                <w:szCs w:val="32"/>
              </w:rPr>
              <w:t>附件1.</w:t>
            </w:r>
          </w:p>
          <w:p>
            <w:pPr>
              <w:widowControl/>
              <w:jc w:val="center"/>
              <w:rPr>
                <w:rFonts w:ascii="方正小标宋简体" w:hAnsi="宋体" w:eastAsia="方正小标宋简体" w:cs="宋体"/>
                <w:color w:val="000000"/>
                <w:kern w:val="0"/>
                <w:sz w:val="40"/>
                <w:szCs w:val="40"/>
              </w:rPr>
            </w:pPr>
          </w:p>
          <w:p>
            <w:pPr>
              <w:widowControl/>
              <w:jc w:val="center"/>
              <w:rPr>
                <w:rFonts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rPr>
              <w:t>瓯海旧工业区拆除重建类三年计划</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序号</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项目名称</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面积（亩）</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产业定位</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责任单位</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备注</w:t>
            </w:r>
          </w:p>
        </w:tc>
      </w:tr>
      <w:tr>
        <w:tblPrEx>
          <w:tblCellMar>
            <w:top w:w="0" w:type="dxa"/>
            <w:left w:w="108" w:type="dxa"/>
            <w:bottom w:w="0" w:type="dxa"/>
            <w:right w:w="108" w:type="dxa"/>
          </w:tblCellMar>
        </w:tblPrEx>
        <w:trPr>
          <w:trHeight w:val="825" w:hRule="atLeast"/>
        </w:trPr>
        <w:tc>
          <w:tcPr>
            <w:tcW w:w="9143"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jc w:val="left"/>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一、2022年旧工业区改造计划</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郭溪上屿旧工业区</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150</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安防</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郭溪街道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凯迪仕和国企</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2</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鹅湖07-F-03</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45</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包装</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南白象街道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已拆除</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3</w:t>
            </w:r>
          </w:p>
        </w:tc>
        <w:tc>
          <w:tcPr>
            <w:tcW w:w="217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霞坊04-D-07</w:t>
            </w:r>
          </w:p>
        </w:tc>
        <w:tc>
          <w:tcPr>
            <w:tcW w:w="108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50</w:t>
            </w:r>
          </w:p>
        </w:tc>
        <w:tc>
          <w:tcPr>
            <w:tcW w:w="133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服装</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南白象街道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已拆除</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4</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东风工业区HX-ns02-037地块</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30</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烟具、阀门</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娄桥街道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已拆除</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5</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金丽温高速娄桥段南侧地块项目（眼镜产业基地）</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100</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眼镜</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娄桥街道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已拆除</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6</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梧慈单元B-02\B-05地块</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170</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数字经济</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梧田街道、开发区</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拆迁中</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kern w:val="0"/>
                <w:sz w:val="22"/>
                <w:szCs w:val="22"/>
              </w:rPr>
            </w:pPr>
            <w:r>
              <w:rPr>
                <w:rFonts w:hint="eastAsia" w:ascii="仿宋_GB2312" w:hAnsi="宋体" w:eastAsia="仿宋_GB2312" w:cs="宋体"/>
                <w:kern w:val="0"/>
                <w:sz w:val="22"/>
                <w:szCs w:val="22"/>
              </w:rPr>
              <w:t>　</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合计</w:t>
            </w:r>
          </w:p>
        </w:tc>
        <w:tc>
          <w:tcPr>
            <w:tcW w:w="6151" w:type="dxa"/>
            <w:gridSpan w:val="4"/>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545亩</w:t>
            </w:r>
          </w:p>
        </w:tc>
      </w:tr>
      <w:tr>
        <w:tblPrEx>
          <w:tblCellMar>
            <w:top w:w="0" w:type="dxa"/>
            <w:left w:w="108" w:type="dxa"/>
            <w:bottom w:w="0" w:type="dxa"/>
            <w:right w:w="108" w:type="dxa"/>
          </w:tblCellMar>
        </w:tblPrEx>
        <w:trPr>
          <w:trHeight w:val="980" w:hRule="atLeast"/>
        </w:trPr>
        <w:tc>
          <w:tcPr>
            <w:tcW w:w="9143"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jc w:val="left"/>
              <w:rPr>
                <w:rFonts w:ascii="仿宋_GB2312" w:hAnsi="宋体" w:eastAsia="仿宋_GB2312" w:cs="宋体"/>
                <w:b/>
                <w:bCs/>
                <w:kern w:val="0"/>
                <w:sz w:val="22"/>
                <w:szCs w:val="22"/>
              </w:rPr>
            </w:pPr>
            <w:r>
              <w:rPr>
                <w:rFonts w:hint="eastAsia" w:ascii="仿宋_GB2312" w:hAnsi="宋体" w:eastAsia="仿宋_GB2312" w:cs="宋体"/>
                <w:b/>
                <w:bCs/>
                <w:kern w:val="0"/>
                <w:sz w:val="22"/>
                <w:szCs w:val="22"/>
              </w:rPr>
              <w:t>二、2023年旧工业区改造计划</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郭溪浦东旧工业区</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116</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安防、鞋革</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西部生态新城建设中心、郭溪街道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1164"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kern w:val="0"/>
                <w:sz w:val="22"/>
                <w:szCs w:val="22"/>
              </w:rPr>
            </w:pPr>
            <w:r>
              <w:rPr>
                <w:rFonts w:hint="eastAsia" w:ascii="仿宋_GB2312" w:hAnsi="宋体" w:eastAsia="仿宋_GB2312" w:cs="宋体"/>
                <w:kern w:val="0"/>
                <w:sz w:val="22"/>
                <w:szCs w:val="22"/>
              </w:rPr>
              <w:t>2</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新桥山前旧工业区</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136</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安防、鞋革</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西部生态新城建设中心、新桥街道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825" w:hRule="atLeast"/>
        </w:trPr>
        <w:tc>
          <w:tcPr>
            <w:tcW w:w="8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序号</w:t>
            </w:r>
          </w:p>
        </w:tc>
        <w:tc>
          <w:tcPr>
            <w:tcW w:w="21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项目名称</w:t>
            </w:r>
          </w:p>
        </w:tc>
        <w:tc>
          <w:tcPr>
            <w:tcW w:w="108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面积（亩）</w:t>
            </w:r>
          </w:p>
        </w:tc>
        <w:tc>
          <w:tcPr>
            <w:tcW w:w="133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产业定位</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责任单位</w:t>
            </w:r>
          </w:p>
        </w:tc>
        <w:tc>
          <w:tcPr>
            <w:tcW w:w="204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备注</w:t>
            </w:r>
          </w:p>
        </w:tc>
      </w:tr>
      <w:tr>
        <w:tblPrEx>
          <w:tblCellMar>
            <w:top w:w="0" w:type="dxa"/>
            <w:left w:w="108" w:type="dxa"/>
            <w:bottom w:w="0" w:type="dxa"/>
            <w:right w:w="108" w:type="dxa"/>
          </w:tblCellMar>
        </w:tblPrEx>
        <w:trPr>
          <w:trHeight w:val="1138"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3</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国智九号地块项目</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255</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数字经济</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kern w:val="0"/>
                <w:sz w:val="22"/>
                <w:szCs w:val="22"/>
              </w:rPr>
            </w:pPr>
            <w:r>
              <w:rPr>
                <w:rFonts w:hint="eastAsia" w:ascii="仿宋_GB2312" w:hAnsi="宋体" w:eastAsia="仿宋_GB2312" w:cs="宋体"/>
                <w:kern w:val="0"/>
                <w:sz w:val="22"/>
                <w:szCs w:val="22"/>
              </w:rPr>
              <w:t>中心区建设中心</w:t>
            </w:r>
            <w:r>
              <w:rPr>
                <w:rFonts w:hint="eastAsia" w:ascii="仿宋_GB2312" w:hAnsi="宋体" w:eastAsia="仿宋_GB2312" w:cs="宋体"/>
                <w:color w:val="FF0000"/>
                <w:kern w:val="0"/>
                <w:sz w:val="22"/>
                <w:szCs w:val="22"/>
              </w:rPr>
              <w:t>、</w:t>
            </w:r>
            <w:r>
              <w:rPr>
                <w:rFonts w:hint="eastAsia" w:ascii="仿宋_GB2312" w:hAnsi="宋体" w:eastAsia="仿宋_GB2312" w:cs="宋体"/>
                <w:i/>
                <w:color w:val="FF0000"/>
                <w:kern w:val="0"/>
                <w:sz w:val="22"/>
                <w:szCs w:val="22"/>
              </w:rPr>
              <w:t>高教发展中心、</w:t>
            </w:r>
            <w:r>
              <w:rPr>
                <w:rFonts w:hint="eastAsia" w:ascii="仿宋_GB2312" w:hAnsi="宋体" w:eastAsia="仿宋_GB2312" w:cs="宋体"/>
                <w:kern w:val="0"/>
                <w:sz w:val="22"/>
                <w:szCs w:val="22"/>
              </w:rPr>
              <w:t>开发区、梧田街道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启动国智9号周边地块旧工业区改造的测算与方案</w:t>
            </w:r>
          </w:p>
        </w:tc>
      </w:tr>
      <w:tr>
        <w:tblPrEx>
          <w:tblCellMar>
            <w:top w:w="0" w:type="dxa"/>
            <w:left w:w="108" w:type="dxa"/>
            <w:bottom w:w="0" w:type="dxa"/>
            <w:right w:w="108" w:type="dxa"/>
          </w:tblCellMar>
        </w:tblPrEx>
        <w:trPr>
          <w:trHeight w:val="825" w:hRule="atLeast"/>
        </w:trPr>
        <w:tc>
          <w:tcPr>
            <w:tcW w:w="8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kern w:val="0"/>
                <w:sz w:val="22"/>
                <w:szCs w:val="22"/>
              </w:rPr>
            </w:pPr>
            <w:r>
              <w:rPr>
                <w:rFonts w:hint="eastAsia" w:ascii="仿宋_GB2312" w:hAnsi="宋体" w:eastAsia="仿宋_GB2312" w:cs="宋体"/>
                <w:kern w:val="0"/>
                <w:sz w:val="22"/>
                <w:szCs w:val="22"/>
              </w:rPr>
              <w:t>4</w:t>
            </w:r>
          </w:p>
        </w:tc>
        <w:tc>
          <w:tcPr>
            <w:tcW w:w="21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南白象国道西侧</w:t>
            </w:r>
          </w:p>
        </w:tc>
        <w:tc>
          <w:tcPr>
            <w:tcW w:w="108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76</w:t>
            </w:r>
          </w:p>
        </w:tc>
        <w:tc>
          <w:tcPr>
            <w:tcW w:w="133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时尚产业</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中心区建设中心</w:t>
            </w:r>
            <w:r>
              <w:rPr>
                <w:rFonts w:hint="eastAsia" w:ascii="仿宋_GB2312" w:hAnsi="宋体" w:eastAsia="仿宋_GB2312" w:cs="宋体"/>
                <w:color w:val="FF0000"/>
                <w:kern w:val="0"/>
                <w:sz w:val="22"/>
                <w:szCs w:val="22"/>
              </w:rPr>
              <w:t>、</w:t>
            </w:r>
            <w:r>
              <w:rPr>
                <w:rFonts w:hint="eastAsia" w:ascii="仿宋_GB2312" w:hAnsi="宋体" w:eastAsia="仿宋_GB2312" w:cs="宋体"/>
                <w:i/>
                <w:color w:val="FF0000"/>
                <w:kern w:val="0"/>
                <w:sz w:val="22"/>
                <w:szCs w:val="22"/>
              </w:rPr>
              <w:t>高教发展中心、</w:t>
            </w:r>
            <w:r>
              <w:rPr>
                <w:rFonts w:hint="eastAsia" w:ascii="仿宋_GB2312" w:hAnsi="宋体" w:eastAsia="仿宋_GB2312" w:cs="宋体"/>
                <w:color w:val="000000"/>
                <w:kern w:val="0"/>
                <w:sz w:val="22"/>
                <w:szCs w:val="22"/>
              </w:rPr>
              <w:t>南白象街道</w:t>
            </w:r>
          </w:p>
        </w:tc>
        <w:tc>
          <w:tcPr>
            <w:tcW w:w="204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kern w:val="0"/>
                <w:sz w:val="22"/>
                <w:szCs w:val="22"/>
              </w:rPr>
            </w:pPr>
            <w:r>
              <w:rPr>
                <w:rFonts w:hint="eastAsia" w:ascii="仿宋_GB2312" w:hAnsi="宋体" w:eastAsia="仿宋_GB2312" w:cs="宋体"/>
                <w:kern w:val="0"/>
                <w:sz w:val="22"/>
                <w:szCs w:val="22"/>
              </w:rPr>
              <w:t>　</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合计</w:t>
            </w:r>
          </w:p>
        </w:tc>
        <w:tc>
          <w:tcPr>
            <w:tcW w:w="6151" w:type="dxa"/>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583亩</w:t>
            </w:r>
          </w:p>
        </w:tc>
      </w:tr>
      <w:tr>
        <w:tblPrEx>
          <w:tblCellMar>
            <w:top w:w="0" w:type="dxa"/>
            <w:left w:w="108" w:type="dxa"/>
            <w:bottom w:w="0" w:type="dxa"/>
            <w:right w:w="108" w:type="dxa"/>
          </w:tblCellMar>
        </w:tblPrEx>
        <w:trPr>
          <w:trHeight w:val="825" w:hRule="atLeast"/>
        </w:trPr>
        <w:tc>
          <w:tcPr>
            <w:tcW w:w="9143"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jc w:val="left"/>
              <w:rPr>
                <w:rFonts w:ascii="仿宋_GB2312" w:hAnsi="宋体" w:eastAsia="仿宋_GB2312" w:cs="宋体"/>
                <w:b/>
                <w:bCs/>
                <w:kern w:val="0"/>
                <w:sz w:val="22"/>
                <w:szCs w:val="22"/>
              </w:rPr>
            </w:pPr>
            <w:r>
              <w:rPr>
                <w:rFonts w:hint="eastAsia" w:ascii="仿宋_GB2312" w:hAnsi="宋体" w:eastAsia="仿宋_GB2312" w:cs="宋体"/>
                <w:b/>
                <w:bCs/>
                <w:kern w:val="0"/>
                <w:sz w:val="22"/>
                <w:szCs w:val="22"/>
              </w:rPr>
              <w:t>三、2024年旧工业区改造计划</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郭溪下屿工业区</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100</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安防、鞋革</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西部生态新城建设中心、郭溪街道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2</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瞿溪东片工业区</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100</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安防、鞋革</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西部生态新城建设中心、瞿溪街道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3</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南白象鹅湖工业区</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230</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高端装备</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高教新区建设中心、南白象街道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kern w:val="0"/>
                <w:sz w:val="22"/>
                <w:szCs w:val="22"/>
              </w:rPr>
            </w:pPr>
            <w:r>
              <w:rPr>
                <w:rFonts w:hint="eastAsia" w:ascii="仿宋_GB2312" w:hAnsi="宋体" w:eastAsia="仿宋_GB2312" w:cs="宋体"/>
                <w:kern w:val="0"/>
                <w:sz w:val="22"/>
                <w:szCs w:val="22"/>
              </w:rPr>
              <w:t>4</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瞿溪南片工业区</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55</w:t>
            </w:r>
          </w:p>
        </w:tc>
        <w:tc>
          <w:tcPr>
            <w:tcW w:w="133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安防、鞋革</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西部生态新城建设中心、瞿溪街道</w:t>
            </w:r>
          </w:p>
        </w:tc>
        <w:tc>
          <w:tcPr>
            <w:tcW w:w="2040"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825" w:hRule="atLeast"/>
        </w:trPr>
        <w:tc>
          <w:tcPr>
            <w:tcW w:w="82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217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合计</w:t>
            </w:r>
          </w:p>
        </w:tc>
        <w:tc>
          <w:tcPr>
            <w:tcW w:w="6151" w:type="dxa"/>
            <w:gridSpan w:val="4"/>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451亩</w:t>
            </w:r>
          </w:p>
        </w:tc>
      </w:tr>
    </w:tbl>
    <w:p>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w:t>
      </w:r>
    </w:p>
    <w:p>
      <w:pPr>
        <w:pStyle w:val="2"/>
        <w:ind w:firstLine="480"/>
      </w:pPr>
    </w:p>
    <w:p>
      <w:pPr>
        <w:pStyle w:val="2"/>
        <w:ind w:firstLine="480"/>
      </w:pPr>
    </w:p>
    <w:p>
      <w:pPr>
        <w:pStyle w:val="2"/>
        <w:ind w:firstLine="480"/>
      </w:pPr>
    </w:p>
    <w:p>
      <w:pPr>
        <w:pStyle w:val="2"/>
        <w:ind w:firstLine="480"/>
      </w:pPr>
    </w:p>
    <w:p>
      <w:pPr>
        <w:pStyle w:val="2"/>
        <w:ind w:firstLine="480"/>
      </w:pPr>
    </w:p>
    <w:p>
      <w:pPr>
        <w:widowControl/>
        <w:jc w:val="left"/>
        <w:rPr>
          <w:sz w:val="24"/>
          <w:szCs w:val="22"/>
        </w:rPr>
      </w:pPr>
      <w:r>
        <w:br w:type="page"/>
      </w:r>
    </w:p>
    <w:tbl>
      <w:tblPr>
        <w:tblStyle w:val="13"/>
        <w:tblW w:w="8804" w:type="dxa"/>
        <w:tblInd w:w="93" w:type="dxa"/>
        <w:tblLayout w:type="autofit"/>
        <w:tblCellMar>
          <w:top w:w="0" w:type="dxa"/>
          <w:left w:w="108" w:type="dxa"/>
          <w:bottom w:w="0" w:type="dxa"/>
          <w:right w:w="108" w:type="dxa"/>
        </w:tblCellMar>
      </w:tblPr>
      <w:tblGrid>
        <w:gridCol w:w="700"/>
        <w:gridCol w:w="1725"/>
        <w:gridCol w:w="992"/>
        <w:gridCol w:w="1985"/>
        <w:gridCol w:w="1688"/>
        <w:gridCol w:w="1714"/>
      </w:tblGrid>
      <w:tr>
        <w:tblPrEx>
          <w:tblCellMar>
            <w:top w:w="0" w:type="dxa"/>
            <w:left w:w="108" w:type="dxa"/>
            <w:bottom w:w="0" w:type="dxa"/>
            <w:right w:w="108" w:type="dxa"/>
          </w:tblCellMar>
        </w:tblPrEx>
        <w:trPr>
          <w:trHeight w:val="840" w:hRule="atLeast"/>
        </w:trPr>
        <w:tc>
          <w:tcPr>
            <w:tcW w:w="8804" w:type="dxa"/>
            <w:gridSpan w:val="6"/>
            <w:tcBorders>
              <w:top w:val="nil"/>
              <w:left w:val="nil"/>
              <w:bottom w:val="nil"/>
              <w:right w:val="nil"/>
            </w:tcBorders>
            <w:shd w:val="clear" w:color="auto" w:fill="auto"/>
            <w:vAlign w:val="center"/>
          </w:tcPr>
          <w:p>
            <w:pPr>
              <w:widowControl/>
              <w:jc w:val="left"/>
              <w:rPr>
                <w:rFonts w:ascii="Times New Roman" w:hAnsi="Times New Roman" w:eastAsia="仿宋_GB2312"/>
                <w:sz w:val="32"/>
                <w:szCs w:val="32"/>
              </w:rPr>
            </w:pPr>
            <w:r>
              <w:rPr>
                <w:rFonts w:hint="eastAsia" w:ascii="Times New Roman" w:hAnsi="Times New Roman" w:eastAsia="仿宋_GB2312"/>
                <w:sz w:val="32"/>
                <w:szCs w:val="32"/>
              </w:rPr>
              <w:t>附件2.</w:t>
            </w:r>
          </w:p>
          <w:p>
            <w:pPr>
              <w:widowControl/>
              <w:jc w:val="center"/>
              <w:rPr>
                <w:rFonts w:ascii="方正小标宋简体" w:hAnsi="宋体" w:eastAsia="方正小标宋简体" w:cs="宋体"/>
                <w:color w:val="000000"/>
                <w:kern w:val="0"/>
                <w:sz w:val="40"/>
                <w:szCs w:val="40"/>
              </w:rPr>
            </w:pPr>
          </w:p>
          <w:p>
            <w:pPr>
              <w:widowControl/>
              <w:jc w:val="center"/>
              <w:rPr>
                <w:rFonts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rPr>
              <w:t>瓯海旧工业区改造提升类三年计划</w:t>
            </w:r>
          </w:p>
        </w:tc>
      </w:tr>
      <w:tr>
        <w:tblPrEx>
          <w:tblCellMar>
            <w:top w:w="0" w:type="dxa"/>
            <w:left w:w="108" w:type="dxa"/>
            <w:bottom w:w="0" w:type="dxa"/>
            <w:right w:w="108" w:type="dxa"/>
          </w:tblCellMar>
        </w:tblPrEx>
        <w:trPr>
          <w:trHeight w:val="799" w:hRule="atLeast"/>
        </w:trPr>
        <w:tc>
          <w:tcPr>
            <w:tcW w:w="70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序号</w:t>
            </w:r>
          </w:p>
        </w:tc>
        <w:tc>
          <w:tcPr>
            <w:tcW w:w="1725"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项目名称</w:t>
            </w:r>
          </w:p>
        </w:tc>
        <w:tc>
          <w:tcPr>
            <w:tcW w:w="99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面积（亩）</w:t>
            </w:r>
          </w:p>
        </w:tc>
        <w:tc>
          <w:tcPr>
            <w:tcW w:w="1985"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产业定位</w:t>
            </w:r>
          </w:p>
        </w:tc>
        <w:tc>
          <w:tcPr>
            <w:tcW w:w="168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责任单位</w:t>
            </w:r>
          </w:p>
        </w:tc>
        <w:tc>
          <w:tcPr>
            <w:tcW w:w="171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b/>
                <w:bCs/>
                <w:color w:val="000000"/>
                <w:kern w:val="0"/>
                <w:sz w:val="22"/>
                <w:szCs w:val="22"/>
              </w:rPr>
            </w:pPr>
            <w:r>
              <w:rPr>
                <w:rFonts w:hint="eastAsia" w:ascii="仿宋_GB2312" w:hAnsi="宋体" w:eastAsia="仿宋_GB2312" w:cs="宋体"/>
                <w:b/>
                <w:bCs/>
                <w:color w:val="000000"/>
                <w:kern w:val="0"/>
                <w:sz w:val="22"/>
                <w:szCs w:val="22"/>
              </w:rPr>
              <w:t>备注</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1</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瓯海戈恬工业区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505.5</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鞋革、五金</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泽雅镇</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2</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瓯海瞿溪南片工业区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556.5</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鞋革</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瞿溪街道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3</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瓯海前花工业区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358.5</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眼镜、服装、鞋类</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新桥街道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4</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瓯海焦下工业区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234</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鞋服机械、物流</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潘桥街道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5</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瓯海陈庄工业区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525</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鞋类、家具</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潘桥街道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6</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瓯海南北村工业区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73.5</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服装、制鞋</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梧田街道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7</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瓯海农业高新园区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208</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食品加工</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潘桥街道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8</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南白象金竹工业区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80</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机械设备、五金</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南白象街道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9</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时尚小镇范围竹溪等工业区</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235</w:t>
            </w:r>
          </w:p>
        </w:tc>
        <w:tc>
          <w:tcPr>
            <w:tcW w:w="198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鞋革</w:t>
            </w:r>
          </w:p>
        </w:tc>
        <w:tc>
          <w:tcPr>
            <w:tcW w:w="1688"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仙岩街道</w:t>
            </w:r>
          </w:p>
        </w:tc>
        <w:tc>
          <w:tcPr>
            <w:tcW w:w="1714" w:type="dxa"/>
            <w:tcBorders>
              <w:top w:val="nil"/>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r>
      <w:tr>
        <w:tblPrEx>
          <w:tblCellMar>
            <w:top w:w="0" w:type="dxa"/>
            <w:left w:w="108" w:type="dxa"/>
            <w:bottom w:w="0" w:type="dxa"/>
            <w:right w:w="108" w:type="dxa"/>
          </w:tblCellMar>
        </w:tblPrEx>
        <w:trPr>
          <w:trHeight w:val="799"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　</w:t>
            </w:r>
          </w:p>
        </w:tc>
        <w:tc>
          <w:tcPr>
            <w:tcW w:w="1725" w:type="dxa"/>
            <w:tcBorders>
              <w:top w:val="nil"/>
              <w:left w:val="nil"/>
              <w:bottom w:val="single" w:color="auto" w:sz="4" w:space="0"/>
              <w:right w:val="single" w:color="auto" w:sz="4" w:space="0"/>
            </w:tcBorders>
            <w:shd w:val="clear" w:color="auto" w:fill="auto"/>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合计</w:t>
            </w:r>
          </w:p>
        </w:tc>
        <w:tc>
          <w:tcPr>
            <w:tcW w:w="6379" w:type="dxa"/>
            <w:gridSpan w:val="4"/>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仿宋_GB2312" w:hAnsi="宋体" w:eastAsia="仿宋_GB2312" w:cs="宋体"/>
                <w:color w:val="000000"/>
                <w:kern w:val="0"/>
                <w:sz w:val="22"/>
                <w:szCs w:val="22"/>
              </w:rPr>
            </w:pPr>
            <w:r>
              <w:rPr>
                <w:rFonts w:hint="eastAsia" w:ascii="仿宋_GB2312" w:hAnsi="宋体" w:eastAsia="仿宋_GB2312" w:cs="宋体"/>
                <w:color w:val="000000"/>
                <w:kern w:val="0"/>
                <w:sz w:val="22"/>
                <w:szCs w:val="22"/>
              </w:rPr>
              <w:t>2776亩</w:t>
            </w:r>
          </w:p>
        </w:tc>
      </w:tr>
    </w:tbl>
    <w:p>
      <w:pPr>
        <w:pStyle w:val="2"/>
        <w:ind w:firstLine="480"/>
      </w:pPr>
    </w:p>
    <w:p>
      <w:pPr>
        <w:pStyle w:val="2"/>
        <w:ind w:firstLine="480"/>
      </w:pPr>
    </w:p>
    <w:sectPr>
      <w:footerReference r:id="rId3" w:type="default"/>
      <w:pgSz w:w="11906" w:h="16838"/>
      <w:pgMar w:top="1701" w:right="1700" w:bottom="1701"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embedRegular r:id="rId1" w:fontKey="{186E5FCD-9A36-42A5-A7D0-41649DB378D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embedRegular r:id="rId2" w:fontKey="{9494F03E-1393-40A4-B043-49448D47D840}"/>
  </w:font>
  <w:font w:name="楷体_GB2312">
    <w:panose1 w:val="02010609030101010101"/>
    <w:charset w:val="86"/>
    <w:family w:val="modern"/>
    <w:pitch w:val="default"/>
    <w:sig w:usb0="00000001" w:usb1="080E0000" w:usb2="00000000" w:usb3="00000000" w:csb0="00040000" w:csb1="00000000"/>
    <w:embedRegular r:id="rId3" w:fontKey="{B6EFCE8B-C4CF-4D76-8F2B-BC58AA4E7211}"/>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embedRegular r:id="rId4" w:fontKey="{1EDBCB6D-4C80-4A7B-ACF0-522A3D2D2A18}"/>
  </w:font>
  <w:font w:name="楷体">
    <w:panose1 w:val="02010609060101010101"/>
    <w:charset w:val="86"/>
    <w:family w:val="modern"/>
    <w:pitch w:val="default"/>
    <w:sig w:usb0="800002BF" w:usb1="38CF7CFA" w:usb2="00000016" w:usb3="00000000" w:csb0="00040001" w:csb1="00000000"/>
    <w:embedRegular r:id="rId5" w:fontKey="{549922BC-67E6-4E41-BFD6-EF16BD0AED6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v:path/>
          <v:fill on="f" focussize="0,0"/>
          <v:stroke on="f" weight="0.5pt" joinstyle="miter"/>
          <v:imagedata o:title=""/>
          <o:lock v:ext="edit"/>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1"/>
  <w:bordersDoNotSurroundFooter w:val="1"/>
  <w:revisionView w:markup="0"/>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zY0YzU1YjdlNWIxZTVlZmU1MDljYjYwMzUzYjRkNjAifQ=="/>
  </w:docVars>
  <w:rsids>
    <w:rsidRoot w:val="EFF7F5E9"/>
    <w:rsid w:val="00001FCD"/>
    <w:rsid w:val="00025313"/>
    <w:rsid w:val="000342A6"/>
    <w:rsid w:val="00041FD5"/>
    <w:rsid w:val="0004511D"/>
    <w:rsid w:val="000522A2"/>
    <w:rsid w:val="00062398"/>
    <w:rsid w:val="000669F3"/>
    <w:rsid w:val="00067343"/>
    <w:rsid w:val="00082960"/>
    <w:rsid w:val="000879FD"/>
    <w:rsid w:val="00096454"/>
    <w:rsid w:val="000A331E"/>
    <w:rsid w:val="000A4AC6"/>
    <w:rsid w:val="000C3A98"/>
    <w:rsid w:val="000F0997"/>
    <w:rsid w:val="00103C4C"/>
    <w:rsid w:val="0011191F"/>
    <w:rsid w:val="00115681"/>
    <w:rsid w:val="00116492"/>
    <w:rsid w:val="00117977"/>
    <w:rsid w:val="00121EE3"/>
    <w:rsid w:val="00132667"/>
    <w:rsid w:val="00160A67"/>
    <w:rsid w:val="00174F7D"/>
    <w:rsid w:val="00175A37"/>
    <w:rsid w:val="00191CBB"/>
    <w:rsid w:val="001B0FEA"/>
    <w:rsid w:val="001C019F"/>
    <w:rsid w:val="001C6AA3"/>
    <w:rsid w:val="001D5462"/>
    <w:rsid w:val="001D5D49"/>
    <w:rsid w:val="001E18AA"/>
    <w:rsid w:val="001F3D97"/>
    <w:rsid w:val="002047FB"/>
    <w:rsid w:val="002078FB"/>
    <w:rsid w:val="00235DB7"/>
    <w:rsid w:val="0024319C"/>
    <w:rsid w:val="00273805"/>
    <w:rsid w:val="00277B1A"/>
    <w:rsid w:val="00284CB0"/>
    <w:rsid w:val="00297A28"/>
    <w:rsid w:val="002B5323"/>
    <w:rsid w:val="002B7A58"/>
    <w:rsid w:val="002C5998"/>
    <w:rsid w:val="002E4DF4"/>
    <w:rsid w:val="00303958"/>
    <w:rsid w:val="00304759"/>
    <w:rsid w:val="00310CB6"/>
    <w:rsid w:val="00313394"/>
    <w:rsid w:val="00331909"/>
    <w:rsid w:val="00336085"/>
    <w:rsid w:val="003500EC"/>
    <w:rsid w:val="00352E20"/>
    <w:rsid w:val="00353049"/>
    <w:rsid w:val="003631C4"/>
    <w:rsid w:val="00367807"/>
    <w:rsid w:val="003750A9"/>
    <w:rsid w:val="003906E1"/>
    <w:rsid w:val="00394628"/>
    <w:rsid w:val="00395E34"/>
    <w:rsid w:val="00397078"/>
    <w:rsid w:val="003A6607"/>
    <w:rsid w:val="003B6248"/>
    <w:rsid w:val="003B7AD4"/>
    <w:rsid w:val="003D1BF8"/>
    <w:rsid w:val="003D2B00"/>
    <w:rsid w:val="003F5015"/>
    <w:rsid w:val="003F6C47"/>
    <w:rsid w:val="00411AC0"/>
    <w:rsid w:val="0043042B"/>
    <w:rsid w:val="0045612D"/>
    <w:rsid w:val="00457FB9"/>
    <w:rsid w:val="004638C1"/>
    <w:rsid w:val="004720B7"/>
    <w:rsid w:val="0047595B"/>
    <w:rsid w:val="00475D7E"/>
    <w:rsid w:val="004A2E06"/>
    <w:rsid w:val="004C1F03"/>
    <w:rsid w:val="004C7553"/>
    <w:rsid w:val="004F09D9"/>
    <w:rsid w:val="00503782"/>
    <w:rsid w:val="00542DFE"/>
    <w:rsid w:val="0056046A"/>
    <w:rsid w:val="00565E82"/>
    <w:rsid w:val="0057076B"/>
    <w:rsid w:val="00587F27"/>
    <w:rsid w:val="005B06A6"/>
    <w:rsid w:val="005B18E3"/>
    <w:rsid w:val="005F30C6"/>
    <w:rsid w:val="006034D5"/>
    <w:rsid w:val="0062055B"/>
    <w:rsid w:val="00695CE1"/>
    <w:rsid w:val="006977E0"/>
    <w:rsid w:val="006A0ED6"/>
    <w:rsid w:val="006B01E9"/>
    <w:rsid w:val="006D5D49"/>
    <w:rsid w:val="00700A16"/>
    <w:rsid w:val="00720974"/>
    <w:rsid w:val="007218DD"/>
    <w:rsid w:val="00724DF1"/>
    <w:rsid w:val="00727805"/>
    <w:rsid w:val="0073068D"/>
    <w:rsid w:val="007453EF"/>
    <w:rsid w:val="007550E4"/>
    <w:rsid w:val="00775538"/>
    <w:rsid w:val="00775936"/>
    <w:rsid w:val="007927F0"/>
    <w:rsid w:val="007A4725"/>
    <w:rsid w:val="007A6D82"/>
    <w:rsid w:val="007F29FC"/>
    <w:rsid w:val="007F48D7"/>
    <w:rsid w:val="008328C3"/>
    <w:rsid w:val="008409D5"/>
    <w:rsid w:val="008634A9"/>
    <w:rsid w:val="00864C31"/>
    <w:rsid w:val="00871663"/>
    <w:rsid w:val="008A1775"/>
    <w:rsid w:val="008D7930"/>
    <w:rsid w:val="008E33DE"/>
    <w:rsid w:val="00901649"/>
    <w:rsid w:val="00911E18"/>
    <w:rsid w:val="009137D6"/>
    <w:rsid w:val="0093179E"/>
    <w:rsid w:val="00932964"/>
    <w:rsid w:val="00935BAA"/>
    <w:rsid w:val="00936DFE"/>
    <w:rsid w:val="009446A9"/>
    <w:rsid w:val="0096353B"/>
    <w:rsid w:val="00971BAA"/>
    <w:rsid w:val="00991A3A"/>
    <w:rsid w:val="009B1EE5"/>
    <w:rsid w:val="009B38A8"/>
    <w:rsid w:val="009B7542"/>
    <w:rsid w:val="00A042C6"/>
    <w:rsid w:val="00A30A42"/>
    <w:rsid w:val="00A42B2B"/>
    <w:rsid w:val="00A466AC"/>
    <w:rsid w:val="00A53845"/>
    <w:rsid w:val="00A70D65"/>
    <w:rsid w:val="00A7364B"/>
    <w:rsid w:val="00A81324"/>
    <w:rsid w:val="00AA1EA9"/>
    <w:rsid w:val="00AB15DC"/>
    <w:rsid w:val="00AD676E"/>
    <w:rsid w:val="00AE0992"/>
    <w:rsid w:val="00AE0A0C"/>
    <w:rsid w:val="00AE2372"/>
    <w:rsid w:val="00AF3523"/>
    <w:rsid w:val="00B01FF9"/>
    <w:rsid w:val="00B124C6"/>
    <w:rsid w:val="00B21512"/>
    <w:rsid w:val="00B40D7F"/>
    <w:rsid w:val="00B46742"/>
    <w:rsid w:val="00B62C3E"/>
    <w:rsid w:val="00B73F03"/>
    <w:rsid w:val="00BB1F7E"/>
    <w:rsid w:val="00BB275F"/>
    <w:rsid w:val="00BB52FA"/>
    <w:rsid w:val="00BD7576"/>
    <w:rsid w:val="00BE5E26"/>
    <w:rsid w:val="00C11664"/>
    <w:rsid w:val="00C15705"/>
    <w:rsid w:val="00C16EB8"/>
    <w:rsid w:val="00C258AB"/>
    <w:rsid w:val="00C369CE"/>
    <w:rsid w:val="00C52C80"/>
    <w:rsid w:val="00C575CB"/>
    <w:rsid w:val="00C642CE"/>
    <w:rsid w:val="00C90E3C"/>
    <w:rsid w:val="00C968CC"/>
    <w:rsid w:val="00CA1750"/>
    <w:rsid w:val="00CB51B0"/>
    <w:rsid w:val="00CC6695"/>
    <w:rsid w:val="00CE3E6F"/>
    <w:rsid w:val="00D21AFE"/>
    <w:rsid w:val="00D322C7"/>
    <w:rsid w:val="00D33E0A"/>
    <w:rsid w:val="00D35CF5"/>
    <w:rsid w:val="00D379FA"/>
    <w:rsid w:val="00D53B26"/>
    <w:rsid w:val="00D81E6F"/>
    <w:rsid w:val="00D91725"/>
    <w:rsid w:val="00DA16CF"/>
    <w:rsid w:val="00DB151A"/>
    <w:rsid w:val="00DB15C3"/>
    <w:rsid w:val="00DD19D1"/>
    <w:rsid w:val="00DD5433"/>
    <w:rsid w:val="00DE4C05"/>
    <w:rsid w:val="00DF0419"/>
    <w:rsid w:val="00DF4608"/>
    <w:rsid w:val="00E11189"/>
    <w:rsid w:val="00E214E2"/>
    <w:rsid w:val="00E23527"/>
    <w:rsid w:val="00E26D13"/>
    <w:rsid w:val="00E27D57"/>
    <w:rsid w:val="00E62DB5"/>
    <w:rsid w:val="00E64D6E"/>
    <w:rsid w:val="00E752DD"/>
    <w:rsid w:val="00E80A06"/>
    <w:rsid w:val="00E83B77"/>
    <w:rsid w:val="00EB554A"/>
    <w:rsid w:val="00EC4EEA"/>
    <w:rsid w:val="00EF2406"/>
    <w:rsid w:val="00EF3423"/>
    <w:rsid w:val="00F0015E"/>
    <w:rsid w:val="00F14436"/>
    <w:rsid w:val="00F3518D"/>
    <w:rsid w:val="00F43F2E"/>
    <w:rsid w:val="00F80AD0"/>
    <w:rsid w:val="00F95103"/>
    <w:rsid w:val="00F96ED6"/>
    <w:rsid w:val="00FA2D59"/>
    <w:rsid w:val="00FF3B8E"/>
    <w:rsid w:val="03271CEB"/>
    <w:rsid w:val="03CE0FB4"/>
    <w:rsid w:val="05287FAA"/>
    <w:rsid w:val="078669AD"/>
    <w:rsid w:val="0A663886"/>
    <w:rsid w:val="0C384E3A"/>
    <w:rsid w:val="11FE3B5A"/>
    <w:rsid w:val="12EB33BC"/>
    <w:rsid w:val="13C74093"/>
    <w:rsid w:val="152DD5A1"/>
    <w:rsid w:val="16900319"/>
    <w:rsid w:val="173938D3"/>
    <w:rsid w:val="17B2519E"/>
    <w:rsid w:val="17B4684E"/>
    <w:rsid w:val="194D0C9B"/>
    <w:rsid w:val="1A9D1327"/>
    <w:rsid w:val="1C522FF5"/>
    <w:rsid w:val="1CC82E2C"/>
    <w:rsid w:val="1EF77C18"/>
    <w:rsid w:val="1F2C4FE3"/>
    <w:rsid w:val="1F896E25"/>
    <w:rsid w:val="1FFC4546"/>
    <w:rsid w:val="23F7616F"/>
    <w:rsid w:val="2ADE054D"/>
    <w:rsid w:val="2D7E1146"/>
    <w:rsid w:val="317D4DCD"/>
    <w:rsid w:val="34ECD668"/>
    <w:rsid w:val="368F0E33"/>
    <w:rsid w:val="38E24BA5"/>
    <w:rsid w:val="3B64DC60"/>
    <w:rsid w:val="3DBA151F"/>
    <w:rsid w:val="3E6AB3F5"/>
    <w:rsid w:val="3EB52E12"/>
    <w:rsid w:val="3FB203E2"/>
    <w:rsid w:val="3FEDAF62"/>
    <w:rsid w:val="3FEFC92A"/>
    <w:rsid w:val="41746E89"/>
    <w:rsid w:val="45725115"/>
    <w:rsid w:val="47EFC482"/>
    <w:rsid w:val="493C7937"/>
    <w:rsid w:val="4A724E8A"/>
    <w:rsid w:val="4B0928AB"/>
    <w:rsid w:val="4B502D22"/>
    <w:rsid w:val="4C507C99"/>
    <w:rsid w:val="4F637F8B"/>
    <w:rsid w:val="52863D5F"/>
    <w:rsid w:val="573D44B9"/>
    <w:rsid w:val="58AC52B5"/>
    <w:rsid w:val="5B51335F"/>
    <w:rsid w:val="5CAC248B"/>
    <w:rsid w:val="5E5367DA"/>
    <w:rsid w:val="5E86539C"/>
    <w:rsid w:val="5EA958E6"/>
    <w:rsid w:val="5EAB6AD7"/>
    <w:rsid w:val="5F667182"/>
    <w:rsid w:val="60726582"/>
    <w:rsid w:val="60976C83"/>
    <w:rsid w:val="643C2A81"/>
    <w:rsid w:val="675F4AAD"/>
    <w:rsid w:val="68571F7A"/>
    <w:rsid w:val="695179A9"/>
    <w:rsid w:val="6A2C26DC"/>
    <w:rsid w:val="6AE74419"/>
    <w:rsid w:val="6C5BD774"/>
    <w:rsid w:val="6C7359CB"/>
    <w:rsid w:val="6DDE168A"/>
    <w:rsid w:val="6EA642CC"/>
    <w:rsid w:val="6F7FFE8D"/>
    <w:rsid w:val="6FA806DE"/>
    <w:rsid w:val="6FB531D4"/>
    <w:rsid w:val="72AF4FDB"/>
    <w:rsid w:val="737A35E8"/>
    <w:rsid w:val="738B1F5F"/>
    <w:rsid w:val="73A11B94"/>
    <w:rsid w:val="756F342D"/>
    <w:rsid w:val="75F795F7"/>
    <w:rsid w:val="75FFFF04"/>
    <w:rsid w:val="767EC7BF"/>
    <w:rsid w:val="7737CBE6"/>
    <w:rsid w:val="77774D68"/>
    <w:rsid w:val="7B2F3F65"/>
    <w:rsid w:val="7C3E3BB4"/>
    <w:rsid w:val="7D370D74"/>
    <w:rsid w:val="7F1BA860"/>
    <w:rsid w:val="7FAF4635"/>
    <w:rsid w:val="7FCFE805"/>
    <w:rsid w:val="7FDD734B"/>
    <w:rsid w:val="B3F3E603"/>
    <w:rsid w:val="BBA65318"/>
    <w:rsid w:val="BCEF2BA7"/>
    <w:rsid w:val="BE4FC2AF"/>
    <w:rsid w:val="BFFBFD2A"/>
    <w:rsid w:val="D77F53C6"/>
    <w:rsid w:val="EEB784EE"/>
    <w:rsid w:val="EEFEE89E"/>
    <w:rsid w:val="EFF7F5E9"/>
    <w:rsid w:val="F6FB6244"/>
    <w:rsid w:val="FBF7588E"/>
    <w:rsid w:val="FBFFB1D7"/>
    <w:rsid w:val="FD6FF89B"/>
    <w:rsid w:val="FDFBD9BC"/>
    <w:rsid w:val="FEDFE11C"/>
    <w:rsid w:val="FEFF8E67"/>
    <w:rsid w:val="FFFF640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6" w:lineRule="auto"/>
      <w:jc w:val="center"/>
      <w:outlineLvl w:val="0"/>
    </w:pPr>
    <w:rPr>
      <w:rFonts w:eastAsia="方正小标宋简体"/>
      <w:b/>
      <w:kern w:val="44"/>
      <w:sz w:val="44"/>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2">
    <w:name w:val="_Style 5"/>
    <w:qFormat/>
    <w:uiPriority w:val="0"/>
    <w:pPr>
      <w:widowControl w:val="0"/>
      <w:ind w:firstLine="200" w:firstLineChars="200"/>
      <w:jc w:val="both"/>
    </w:pPr>
    <w:rPr>
      <w:rFonts w:ascii="Calibri" w:hAnsi="Calibri" w:eastAsia="宋体" w:cs="Times New Roman"/>
      <w:kern w:val="2"/>
      <w:sz w:val="24"/>
      <w:szCs w:val="22"/>
      <w:lang w:val="en-US" w:eastAsia="zh-CN" w:bidi="ar-SA"/>
    </w:rPr>
  </w:style>
  <w:style w:type="paragraph" w:styleId="4">
    <w:name w:val="annotation text"/>
    <w:basedOn w:val="1"/>
    <w:link w:val="26"/>
    <w:qFormat/>
    <w:uiPriority w:val="0"/>
    <w:pPr>
      <w:jc w:val="left"/>
    </w:pPr>
  </w:style>
  <w:style w:type="paragraph" w:styleId="5">
    <w:name w:val="Body Text"/>
    <w:basedOn w:val="1"/>
    <w:next w:val="6"/>
    <w:qFormat/>
    <w:uiPriority w:val="0"/>
    <w:pPr>
      <w:spacing w:after="120"/>
    </w:pPr>
  </w:style>
  <w:style w:type="paragraph" w:styleId="6">
    <w:name w:val="Body Text First Indent"/>
    <w:basedOn w:val="5"/>
    <w:next w:val="1"/>
    <w:qFormat/>
    <w:uiPriority w:val="0"/>
    <w:pPr>
      <w:spacing w:after="0" w:line="500" w:lineRule="exact"/>
      <w:ind w:firstLine="420"/>
    </w:pPr>
    <w:rPr>
      <w:rFonts w:ascii="Times New Roman" w:hAnsi="Times New Roman" w:eastAsia="楷体_GB2312"/>
      <w:sz w:val="28"/>
      <w:szCs w:val="28"/>
    </w:rPr>
  </w:style>
  <w:style w:type="paragraph" w:styleId="7">
    <w:name w:val="Balloon Text"/>
    <w:basedOn w:val="1"/>
    <w:link w:val="28"/>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Normal (Web)"/>
    <w:basedOn w:val="1"/>
    <w:qFormat/>
    <w:uiPriority w:val="0"/>
    <w:pPr>
      <w:spacing w:before="100" w:beforeAutospacing="1" w:after="100" w:afterAutospacing="1"/>
      <w:jc w:val="left"/>
    </w:pPr>
    <w:rPr>
      <w:kern w:val="0"/>
      <w:sz w:val="24"/>
    </w:rPr>
  </w:style>
  <w:style w:type="paragraph" w:styleId="11">
    <w:name w:val="Title"/>
    <w:basedOn w:val="1"/>
    <w:link w:val="31"/>
    <w:qFormat/>
    <w:uiPriority w:val="0"/>
    <w:pPr>
      <w:spacing w:before="240" w:after="60"/>
      <w:jc w:val="center"/>
      <w:outlineLvl w:val="0"/>
    </w:pPr>
    <w:rPr>
      <w:rFonts w:ascii="Arial" w:hAnsi="Arial"/>
      <w:b/>
      <w:sz w:val="32"/>
    </w:rPr>
  </w:style>
  <w:style w:type="paragraph" w:styleId="12">
    <w:name w:val="annotation subject"/>
    <w:basedOn w:val="4"/>
    <w:next w:val="4"/>
    <w:link w:val="27"/>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annotation reference"/>
    <w:basedOn w:val="15"/>
    <w:qFormat/>
    <w:uiPriority w:val="0"/>
    <w:rPr>
      <w:sz w:val="21"/>
      <w:szCs w:val="21"/>
    </w:rPr>
  </w:style>
  <w:style w:type="paragraph" w:customStyle="1" w:styleId="17">
    <w:name w:val="BodyText1I"/>
    <w:basedOn w:val="18"/>
    <w:qFormat/>
    <w:uiPriority w:val="99"/>
    <w:pPr>
      <w:ind w:firstLine="420" w:firstLineChars="100"/>
      <w:jc w:val="left"/>
    </w:pPr>
    <w:rPr>
      <w:rFonts w:ascii="Times New Roman" w:hAnsi="Times New Roman" w:eastAsia="仿宋_GB2312" w:cs="Times New Roman"/>
      <w:kern w:val="0"/>
      <w:sz w:val="20"/>
      <w:szCs w:val="20"/>
    </w:rPr>
  </w:style>
  <w:style w:type="paragraph" w:customStyle="1" w:styleId="18">
    <w:name w:val="BodyText"/>
    <w:basedOn w:val="1"/>
    <w:next w:val="17"/>
    <w:qFormat/>
    <w:uiPriority w:val="99"/>
    <w:rPr>
      <w:rFonts w:ascii="宋体" w:hAnsi="宋体" w:cs="宋体"/>
      <w:sz w:val="32"/>
      <w:szCs w:val="32"/>
      <w:lang w:val="zh-CN"/>
    </w:rPr>
  </w:style>
  <w:style w:type="character" w:customStyle="1" w:styleId="19">
    <w:name w:val="font21"/>
    <w:basedOn w:val="15"/>
    <w:qFormat/>
    <w:uiPriority w:val="0"/>
    <w:rPr>
      <w:rFonts w:hint="eastAsia" w:ascii="宋体" w:hAnsi="宋体" w:eastAsia="宋体" w:cs="宋体"/>
      <w:color w:val="000000"/>
      <w:sz w:val="20"/>
      <w:szCs w:val="20"/>
      <w:u w:val="none"/>
    </w:rPr>
  </w:style>
  <w:style w:type="character" w:customStyle="1" w:styleId="20">
    <w:name w:val="font41"/>
    <w:basedOn w:val="15"/>
    <w:qFormat/>
    <w:uiPriority w:val="0"/>
    <w:rPr>
      <w:rFonts w:hint="eastAsia" w:ascii="黑体" w:hAnsi="宋体" w:eastAsia="黑体" w:cs="黑体"/>
      <w:color w:val="000000"/>
      <w:sz w:val="18"/>
      <w:szCs w:val="18"/>
      <w:u w:val="none"/>
    </w:rPr>
  </w:style>
  <w:style w:type="character" w:customStyle="1" w:styleId="21">
    <w:name w:val="font51"/>
    <w:basedOn w:val="15"/>
    <w:qFormat/>
    <w:uiPriority w:val="0"/>
    <w:rPr>
      <w:rFonts w:hint="eastAsia" w:ascii="黑体" w:hAnsi="宋体" w:eastAsia="黑体" w:cs="黑体"/>
      <w:color w:val="000000"/>
      <w:sz w:val="18"/>
      <w:szCs w:val="18"/>
      <w:u w:val="none"/>
    </w:rPr>
  </w:style>
  <w:style w:type="character" w:customStyle="1" w:styleId="22">
    <w:name w:val="font61"/>
    <w:basedOn w:val="15"/>
    <w:qFormat/>
    <w:uiPriority w:val="0"/>
    <w:rPr>
      <w:rFonts w:hint="eastAsia" w:ascii="宋体" w:hAnsi="宋体" w:eastAsia="宋体" w:cs="宋体"/>
      <w:color w:val="000000"/>
      <w:sz w:val="18"/>
      <w:szCs w:val="18"/>
      <w:u w:val="none"/>
    </w:rPr>
  </w:style>
  <w:style w:type="character" w:customStyle="1" w:styleId="23">
    <w:name w:val="font31"/>
    <w:basedOn w:val="15"/>
    <w:qFormat/>
    <w:uiPriority w:val="0"/>
    <w:rPr>
      <w:rFonts w:hint="eastAsia" w:ascii="宋体" w:hAnsi="宋体" w:eastAsia="宋体" w:cs="宋体"/>
      <w:color w:val="000000"/>
      <w:sz w:val="18"/>
      <w:szCs w:val="18"/>
      <w:u w:val="none"/>
    </w:rPr>
  </w:style>
  <w:style w:type="character" w:customStyle="1" w:styleId="24">
    <w:name w:val="font01"/>
    <w:basedOn w:val="15"/>
    <w:qFormat/>
    <w:uiPriority w:val="0"/>
    <w:rPr>
      <w:rFonts w:hint="default" w:ascii="Times New Roman" w:hAnsi="Times New Roman" w:cs="Times New Roman"/>
      <w:color w:val="000000"/>
      <w:sz w:val="18"/>
      <w:szCs w:val="18"/>
      <w:u w:val="none"/>
    </w:rPr>
  </w:style>
  <w:style w:type="character" w:customStyle="1" w:styleId="25">
    <w:name w:val="font11"/>
    <w:basedOn w:val="15"/>
    <w:qFormat/>
    <w:uiPriority w:val="0"/>
    <w:rPr>
      <w:rFonts w:hint="eastAsia" w:ascii="黑体" w:hAnsi="宋体" w:eastAsia="黑体" w:cs="黑体"/>
      <w:color w:val="000000"/>
      <w:sz w:val="18"/>
      <w:szCs w:val="18"/>
      <w:u w:val="none"/>
    </w:rPr>
  </w:style>
  <w:style w:type="character" w:customStyle="1" w:styleId="26">
    <w:name w:val="批注文字 Char"/>
    <w:basedOn w:val="15"/>
    <w:link w:val="4"/>
    <w:qFormat/>
    <w:uiPriority w:val="0"/>
    <w:rPr>
      <w:rFonts w:ascii="Calibri" w:hAnsi="Calibri"/>
      <w:kern w:val="2"/>
      <w:sz w:val="21"/>
      <w:szCs w:val="24"/>
    </w:rPr>
  </w:style>
  <w:style w:type="character" w:customStyle="1" w:styleId="27">
    <w:name w:val="批注主题 Char"/>
    <w:basedOn w:val="26"/>
    <w:link w:val="12"/>
    <w:qFormat/>
    <w:uiPriority w:val="0"/>
    <w:rPr>
      <w:rFonts w:ascii="Calibri" w:hAnsi="Calibri"/>
      <w:b/>
      <w:bCs/>
      <w:kern w:val="2"/>
      <w:sz w:val="21"/>
      <w:szCs w:val="24"/>
    </w:rPr>
  </w:style>
  <w:style w:type="character" w:customStyle="1" w:styleId="28">
    <w:name w:val="批注框文本 Char"/>
    <w:basedOn w:val="15"/>
    <w:link w:val="7"/>
    <w:qFormat/>
    <w:uiPriority w:val="0"/>
    <w:rPr>
      <w:rFonts w:ascii="Calibri" w:hAnsi="Calibri"/>
      <w:kern w:val="2"/>
      <w:sz w:val="18"/>
      <w:szCs w:val="18"/>
    </w:rPr>
  </w:style>
  <w:style w:type="paragraph" w:customStyle="1" w:styleId="29">
    <w:name w:val="修订1"/>
    <w:hidden/>
    <w:semiHidden/>
    <w:uiPriority w:val="99"/>
    <w:rPr>
      <w:rFonts w:ascii="Calibri" w:hAnsi="Calibri" w:eastAsia="宋体" w:cs="Times New Roman"/>
      <w:kern w:val="2"/>
      <w:sz w:val="21"/>
      <w:szCs w:val="24"/>
      <w:lang w:val="en-US" w:eastAsia="zh-CN" w:bidi="ar-SA"/>
    </w:rPr>
  </w:style>
  <w:style w:type="paragraph" w:styleId="30">
    <w:name w:val="List Paragraph"/>
    <w:basedOn w:val="1"/>
    <w:uiPriority w:val="99"/>
    <w:pPr>
      <w:ind w:firstLine="420" w:firstLineChars="200"/>
    </w:pPr>
  </w:style>
  <w:style w:type="character" w:customStyle="1" w:styleId="31">
    <w:name w:val="标题 Char"/>
    <w:basedOn w:val="15"/>
    <w:link w:val="11"/>
    <w:uiPriority w:val="0"/>
    <w:rPr>
      <w:rFonts w:ascii="Arial" w:hAnsi="Arial"/>
      <w:b/>
      <w:kern w:val="2"/>
      <w:sz w:val="32"/>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D1DF7-6592-4D20-94AC-546D66CE6BCB}">
  <ds:schemaRefs/>
</ds:datastoreItem>
</file>

<file path=docProps/app.xml><?xml version="1.0" encoding="utf-8"?>
<Properties xmlns="http://schemas.openxmlformats.org/officeDocument/2006/extended-properties" xmlns:vt="http://schemas.openxmlformats.org/officeDocument/2006/docPropsVTypes">
  <Template>Normal.dotm</Template>
  <Company>DoubleOX</Company>
  <Pages>11</Pages>
  <Words>4536</Words>
  <Characters>4723</Characters>
  <Lines>35</Lines>
  <Paragraphs>10</Paragraphs>
  <TotalTime>25</TotalTime>
  <ScaleCrop>false</ScaleCrop>
  <LinksUpToDate>false</LinksUpToDate>
  <CharactersWithSpaces>4757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2022-11-21T02:10:00Z</dcterms:created>
  <dc:creator>greatwall</dc:creator>
  <cp:lastModifiedBy>zyr</cp:lastModifiedBy>
  <cp:lastPrinted>2022-11-11T12:50:00Z</cp:lastPrinted>
  <dcterms:modified xsi:type="dcterms:W3CDTF">2022-11-25T08:54:50Z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4A38EC60EDF242D4B89E2592577A0906</vt:lpwstr>
  </property>
  <property fmtid="{D5CDD505-2E9C-101B-9397-08002B2CF9AE}" pid="4" name="woTemplateTypoMode" linkTarget="0">
    <vt:lpwstr>web</vt:lpwstr>
  </property>
  <property fmtid="{D5CDD505-2E9C-101B-9397-08002B2CF9AE}" pid="5" name="woTemplate" linkTarget="0">
    <vt:i4>1</vt:i4>
  </property>
</Properties>
</file>