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黑体" w:hAnsi="黑体" w:eastAsia="黑体" w:cs="黑体"/>
          <w:sz w:val="36"/>
          <w:szCs w:val="3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丽水市建筑业现代化示范企业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Hans"/>
        </w:rPr>
        <w:t>培育方案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157" w:firstLineChars="49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796" w:firstLineChars="249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为贯彻落实省政府办公室《关于支持建筑业做优做强的若干意见》（浙政办发</w:t>
      </w:r>
      <w:r>
        <w:rPr>
          <w:rFonts w:ascii="Times New Roman" w:hAnsi="Times New Roman" w:eastAsia="仿宋_GB2312"/>
          <w:sz w:val="32"/>
          <w:szCs w:val="32"/>
          <w:highlight w:val="none"/>
        </w:rPr>
        <w:t>〔202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ascii="Times New Roman" w:hAnsi="Times New Roman" w:eastAsia="仿宋_GB2312"/>
          <w:sz w:val="32"/>
          <w:szCs w:val="32"/>
          <w:highlight w:val="none"/>
        </w:rPr>
        <w:t>〕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47号），省建设厅《浙江省建筑业产业现代化示范企业培育实施方案》（浙建</w:t>
      </w:r>
      <w:r>
        <w:rPr>
          <w:rFonts w:ascii="Times New Roman" w:hAnsi="Times New Roman" w:eastAsia="仿宋_GB2312"/>
          <w:sz w:val="32"/>
          <w:szCs w:val="32"/>
          <w:highlight w:val="none"/>
        </w:rPr>
        <w:t>〔202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ascii="Times New Roman" w:hAnsi="Times New Roman" w:eastAsia="仿宋_GB2312"/>
          <w:sz w:val="32"/>
          <w:szCs w:val="32"/>
          <w:highlight w:val="none"/>
        </w:rPr>
        <w:t>〕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12号）和我市《关于加快建筑业改革与跨越式高质量发展的实施意见》（丽政办发</w:t>
      </w:r>
      <w:r>
        <w:rPr>
          <w:rFonts w:ascii="Times New Roman" w:hAnsi="Times New Roman" w:eastAsia="仿宋_GB2312"/>
          <w:sz w:val="32"/>
          <w:szCs w:val="32"/>
          <w:highlight w:val="none"/>
        </w:rPr>
        <w:t>〔202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ascii="Times New Roman" w:hAnsi="Times New Roman" w:eastAsia="仿宋_GB2312"/>
          <w:sz w:val="32"/>
          <w:szCs w:val="32"/>
          <w:highlight w:val="none"/>
        </w:rPr>
        <w:t>〕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15号），加大建筑企业培育力度，提升建筑企业市场竞争力，推进建筑产业现代化，结合我市实际，制定本实施方案。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eastAsia="zh-Hans" w:bidi="ar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</w:rPr>
        <w:t>一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eastAsia="zh-Hans" w:bidi="ar"/>
        </w:rPr>
        <w:t>、培育目标</w:t>
      </w:r>
      <w:bookmarkStart w:id="0" w:name="_GoBack"/>
      <w:bookmarkEnd w:id="0"/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Hans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通过培育一批具有发展潜力、注重创优、诚信经营的建筑产业现代化示范企业（以下简称“示范企业”，包括总承包示范企业和专业承包示范企业），以点带面，发挥示范引领作用，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激发和调动我市建筑业企业改革创新、转型发展的积极性、主动性和创造性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，实现建筑业高质量发展。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到2025年，力争培育总承包示范企业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</w:rPr>
        <w:t>3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  <w:lang w:val="en-US" w:eastAsia="zh-CN"/>
        </w:rPr>
        <w:t>0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家，专业承包示范企业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</w:rPr>
        <w:t>10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家。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eastAsia="zh-Hans" w:bidi="ar"/>
        </w:rPr>
        <w:t>二、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 w:bidi="ar"/>
        </w:rPr>
        <w:t>适用范围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注册在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本市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行政区域范围内主营业务为建筑业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的企业可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申请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认定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示范企业。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eastAsia="zh-Hans" w:bidi="ar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 w:bidi="ar"/>
        </w:rPr>
        <w:t>三、申报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eastAsia="zh-Hans" w:bidi="ar"/>
        </w:rPr>
        <w:t>条件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bidi="ar"/>
        </w:rPr>
      </w:pPr>
      <w:r>
        <w:rPr>
          <w:rFonts w:hint="default" w:ascii="Times New Roman" w:hAnsi="Times New Roman" w:eastAsia="楷体_GB2312" w:cs="Times New Roman"/>
          <w:b/>
          <w:bCs/>
          <w:color w:val="000000"/>
          <w:sz w:val="32"/>
          <w:szCs w:val="32"/>
          <w:highlight w:val="none"/>
          <w:lang w:val="en-US" w:eastAsia="zh-CN" w:bidi="ar"/>
        </w:rPr>
        <w:t>（一）</w:t>
      </w: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highlight w:val="none"/>
          <w:lang w:eastAsia="zh-Hans" w:bidi="ar"/>
        </w:rPr>
        <w:t>总承包示范企业</w:t>
      </w: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highlight w:val="none"/>
          <w:lang w:eastAsia="zh-CN" w:bidi="ar"/>
        </w:rPr>
        <w:t>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建筑企业具备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 w:bidi="ar"/>
        </w:rPr>
        <w:t>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Hans" w:bidi="ar"/>
        </w:rPr>
        <w:t>级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Hans" w:bidi="ar"/>
        </w:rPr>
        <w:t>及以上施工总承包资质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Hans" w:bidi="ar"/>
        </w:rPr>
      </w:pPr>
      <w:r>
        <w:rPr>
          <w:rFonts w:hint="default" w:ascii="Times New Roman" w:hAnsi="Times New Roman" w:eastAsia="楷体_GB2312" w:cs="Times New Roman"/>
          <w:b/>
          <w:bCs/>
          <w:color w:val="000000"/>
          <w:sz w:val="32"/>
          <w:szCs w:val="32"/>
          <w:highlight w:val="none"/>
          <w:lang w:val="en-US" w:eastAsia="zh-CN" w:bidi="ar"/>
        </w:rPr>
        <w:t>（二）</w:t>
      </w:r>
      <w:r>
        <w:rPr>
          <w:rFonts w:hint="default" w:ascii="Times New Roman" w:hAnsi="Times New Roman" w:eastAsia="楷体_GB2312" w:cs="Times New Roman"/>
          <w:b/>
          <w:bCs/>
          <w:color w:val="000000"/>
          <w:sz w:val="32"/>
          <w:szCs w:val="32"/>
          <w:highlight w:val="none"/>
          <w:lang w:val="en-US" w:eastAsia="zh-Hans" w:bidi="ar"/>
        </w:rPr>
        <w:t>专业承包示范企业</w:t>
      </w:r>
      <w:r>
        <w:rPr>
          <w:rFonts w:hint="default" w:ascii="Times New Roman" w:hAnsi="Times New Roman" w:eastAsia="楷体_GB2312" w:cs="Times New Roman"/>
          <w:b/>
          <w:bCs/>
          <w:color w:val="000000"/>
          <w:sz w:val="32"/>
          <w:szCs w:val="32"/>
          <w:highlight w:val="none"/>
          <w:lang w:val="en-US" w:eastAsia="zh-CN" w:bidi="ar"/>
        </w:rPr>
        <w:t>：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 w:bidi="ar"/>
        </w:rPr>
        <w:t>建筑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Hans" w:bidi="ar"/>
        </w:rPr>
        <w:t>企业应具有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级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及以上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Hans" w:bidi="ar"/>
        </w:rPr>
        <w:t>专业承包资质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，统计报表资质序列为“专业承包"（序列代码B开头，即主营业务为专业承包）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hint="default" w:ascii="Times New Roman" w:hAnsi="Times New Roman" w:eastAsia="楷体_GB2312" w:cs="Times New Roman"/>
          <w:b/>
          <w:bCs/>
          <w:color w:val="000000"/>
          <w:kern w:val="0"/>
          <w:sz w:val="32"/>
          <w:szCs w:val="32"/>
          <w:highlight w:val="none"/>
          <w:lang w:val="en-US" w:eastAsia="zh-Hans" w:bidi="ar"/>
        </w:rPr>
      </w:pPr>
      <w:r>
        <w:rPr>
          <w:rFonts w:hint="default" w:ascii="Times New Roman" w:hAnsi="Times New Roman" w:eastAsia="楷体_GB2312" w:cs="Times New Roman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（三）</w:t>
      </w:r>
      <w:r>
        <w:rPr>
          <w:rFonts w:hint="default" w:ascii="Times New Roman" w:hAnsi="Times New Roman" w:eastAsia="楷体_GB2312" w:cs="Times New Roman"/>
          <w:b/>
          <w:bCs/>
          <w:color w:val="000000"/>
          <w:kern w:val="0"/>
          <w:sz w:val="32"/>
          <w:szCs w:val="32"/>
          <w:highlight w:val="none"/>
          <w:lang w:val="en-US" w:eastAsia="zh-Hans" w:bidi="ar"/>
        </w:rPr>
        <w:t>近两年不</w:t>
      </w:r>
      <w:r>
        <w:rPr>
          <w:rFonts w:hint="default" w:ascii="Times New Roman" w:hAnsi="Times New Roman" w:eastAsia="楷体_GB2312" w:cs="Times New Roman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得</w:t>
      </w:r>
      <w:r>
        <w:rPr>
          <w:rFonts w:hint="default" w:ascii="Times New Roman" w:hAnsi="Times New Roman" w:eastAsia="楷体_GB2312" w:cs="Times New Roman"/>
          <w:b/>
          <w:bCs/>
          <w:color w:val="000000"/>
          <w:kern w:val="0"/>
          <w:sz w:val="32"/>
          <w:szCs w:val="32"/>
          <w:highlight w:val="none"/>
          <w:lang w:val="en-US" w:eastAsia="zh-Hans" w:bidi="ar"/>
        </w:rPr>
        <w:t>存在</w:t>
      </w:r>
      <w:r>
        <w:rPr>
          <w:rFonts w:hint="default" w:ascii="Times New Roman" w:hAnsi="Times New Roman" w:eastAsia="楷体_GB2312" w:cs="Times New Roman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以下情形</w:t>
      </w:r>
      <w:r>
        <w:rPr>
          <w:rFonts w:hint="default" w:ascii="Times New Roman" w:hAnsi="Times New Roman" w:eastAsia="楷体_GB2312" w:cs="Times New Roman"/>
          <w:b/>
          <w:bCs/>
          <w:color w:val="000000"/>
          <w:kern w:val="0"/>
          <w:sz w:val="32"/>
          <w:szCs w:val="32"/>
          <w:highlight w:val="none"/>
          <w:lang w:val="en-US" w:eastAsia="zh-Hans" w:bidi="ar"/>
        </w:rPr>
        <w:t>：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1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.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在我市行政区域内计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累计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发生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2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起以上（含）一般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建筑施工生产安全事故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，或发生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1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起以上（含）较大及以上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建筑施工生产安全事故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，或发生有较大社会影响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建筑施工生产安全事故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  <w:t>（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建筑施工质量安全事故认定以事故调查报告为准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2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 w:bidi="ar"/>
        </w:rPr>
        <w:t>.因围标串标、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转包、违法分包、出借资质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 w:bidi="ar"/>
        </w:rPr>
        <w:t>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 w:bidi="ar"/>
        </w:rPr>
        <w:t>拖欠农民工工资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等违法违规行为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，受到行政处罚。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 w:bidi="ar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3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 w:bidi="ar"/>
        </w:rPr>
        <w:t>.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利用虚假材料、以欺骗手段或虚假承诺取得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建筑业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企业资质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 w:bidi="ar"/>
        </w:rPr>
        <w:t>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4.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未按要求及时上报统计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建设等部门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的各类统计报表。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5.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被人民法院纳入失信被执行人名单。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/>
        </w:rPr>
        <w:t>独立法人单位不可同时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申请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/>
        </w:rPr>
        <w:t>参加施工总承包和专业承包示范企业认定。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凡以集团名义参加认定的企业，除集团内获得一级资质的独立法人单位可参加总承包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/>
        </w:rPr>
        <w:t>示范企业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认定外，集团下属其他子公司不得再申请参加认定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。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3" w:firstLineChars="200"/>
        <w:textAlignment w:val="auto"/>
        <w:rPr>
          <w:rFonts w:hint="default" w:ascii="Times New Roman" w:hAnsi="Times New Roman" w:eastAsia="楷体_GB2312" w:cs="Times New Roman"/>
          <w:b/>
          <w:bCs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highlight w:val="none"/>
          <w:lang w:val="en-US" w:eastAsia="zh-CN" w:bidi="ar"/>
        </w:rPr>
        <w:t>（四）示范企业名单确定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示范企业评价活动每年集中组织一次，具体时间另行通知。评价采用100分制，各专业类别按分数由高到低确定排名。2023年度总承包示范企业数量为：20家（每年度增加2个名额直至2025年），专业承包示范企业数量为：6家（每年度增加1个名额直至2025年）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对于无符合条件企业的县（市、区）（总承包示范企业和专业承包示范企业分别计算），可视日常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质量安全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、浙里建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应用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、实名制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管理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等重点工作开展情况，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可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分别给予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1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家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总承包或专业承包示范企业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的推荐指标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  <w:t>（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该指标不占用年度示范企业数量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  <w:t>）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，由属地建设主管部门参考认定标准结合本地企业发展实际进行推荐，最终由市建设局结合企业发展进行认定。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示范企业名单统一由市建设局公示7日，无异议后，确定“丽水市建筑产业现代化示范企业”名单予以发布。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 w:bidi="ar"/>
        </w:rPr>
        <w:t>四、示范企业名单管理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 w:bidi="ar"/>
        </w:rPr>
        <w:t>企业在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申报过程中存在弄虚作假行为的，查实后予以剔除名单处理，并取消该企业在下年度申报资格，经公布的示范企业名单不再进行替补。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 w:bidi="ar"/>
        </w:rPr>
        <w:t>五、支持政策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（一）各地建设主管部门应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按照扶优扶强、做专做精的原则，结合本地产业布局和企业发展实际，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确定一批本地区建筑业示范企业加以培育发展，梯次形成全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建筑业示范企业集群。各地制定的扶持政策（包括但不限于龙头、骨干、市场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开拓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企业等相应企业扶持政策）应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适用于市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级建筑业示范企业。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（二）各地建设主管部门要建立建筑业示范企业挂钩联系制度和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“一企一议”服务工作机制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/>
        </w:rPr>
        <w:t>重点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指导帮助示范企业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 w:bidi="ar"/>
        </w:rPr>
        <w:t>资质晋升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开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展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企业申报特级资质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“一对一”帮扶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；对建筑业示范企业实行差异化管理，在保障工程项目质量安全的基本条件下，可适当减少对示范企业所承建项目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 w:bidi="ar"/>
        </w:rPr>
        <w:t>和资质动态核查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的检查频次。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kern w:val="0"/>
          <w:sz w:val="32"/>
          <w:szCs w:val="32"/>
          <w:highlight w:val="none"/>
          <w:lang w:bidi="ar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（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）各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地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建设主管部门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引导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和支持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建筑业示范企业与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市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外优势企业组成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 w:bidi="ar"/>
        </w:rPr>
        <w:t>“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 w:bidi="ar"/>
        </w:rPr>
        <w:t>强强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 w:bidi="ar"/>
        </w:rPr>
        <w:t>”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联合体，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先行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参与城市轨道交通、大型市政桥梁、大型综合管廊、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重点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 w:bidi="ar"/>
        </w:rPr>
        <w:t>交通工程、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水利工程、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隧道工程等基础设施项目投标。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企业以联合体方式承接完成的总承包业绩，联合体各方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 w:bidi="ar"/>
        </w:rPr>
        <w:t>在我市招投标中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均可作为企业有效业绩予以认定。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Hans" w:bidi="ar"/>
        </w:rPr>
        <w:t>鼓励邀请招标项目的建设单位优先选择建筑业示范企业参与投标。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（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四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）各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地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建设主管部门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指导帮助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建筑业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示范企业申报高新技术企业，在工法研发、新技术应用推广等方面予以帮扶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支持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Hans" w:bidi="ar"/>
        </w:rPr>
        <w:t>；支持示范企业承办各类岗位技能竞赛，对外开展施工现场专业人员职业培训和继续教育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bidi="ar"/>
        </w:rPr>
        <w:t>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（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五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）建筑业示范企业可优先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推荐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参与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九龙杯、标化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工地、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bidi="ar"/>
        </w:rPr>
        <w:t>红绿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标杆工地等认定，优先申报省级及国家级装配式建筑产业基地，优先承担课题研究和标准规范编制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  <w:t>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Hans" w:bidi="ar"/>
        </w:rPr>
        <w:t>附件：丽水市建筑产业现代化示范企业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  <w:t>评分标准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</w:pPr>
    </w:p>
    <w:p>
      <w:pPr>
        <w:spacing w:before="101" w:line="23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附件</w:t>
      </w:r>
    </w:p>
    <w:p>
      <w:pPr>
        <w:spacing w:before="130" w:line="224" w:lineRule="auto"/>
        <w:ind w:left="1539"/>
        <w:rPr>
          <w:rFonts w:ascii="宋体" w:hAnsi="宋体" w:eastAsia="宋体" w:cs="宋体"/>
          <w:sz w:val="35"/>
          <w:szCs w:val="35"/>
        </w:rPr>
      </w:pPr>
      <w:r>
        <w:rPr>
          <w:rFonts w:hint="eastAsia" w:ascii="方正小标宋_GBK" w:hAnsi="方正小标宋_GBK" w:eastAsia="方正小标宋_GBK" w:cs="方正小标宋_GBK"/>
          <w:spacing w:val="17"/>
          <w:sz w:val="35"/>
          <w:szCs w:val="35"/>
          <w:lang w:val="en-US" w:eastAsia="zh-CN"/>
        </w:rPr>
        <w:t>丽水</w:t>
      </w:r>
      <w:r>
        <w:rPr>
          <w:rFonts w:hint="eastAsia" w:ascii="方正小标宋_GBK" w:hAnsi="方正小标宋_GBK" w:eastAsia="方正小标宋_GBK" w:cs="方正小标宋_GBK"/>
          <w:spacing w:val="10"/>
          <w:sz w:val="35"/>
          <w:szCs w:val="35"/>
        </w:rPr>
        <w:t>市建筑产业现代化示范企业评分标准</w:t>
      </w:r>
    </w:p>
    <w:p>
      <w:pPr>
        <w:spacing w:line="73" w:lineRule="exact"/>
      </w:pPr>
    </w:p>
    <w:tbl>
      <w:tblPr>
        <w:tblStyle w:val="9"/>
        <w:tblpPr w:leftFromText="180" w:rightFromText="180" w:vertAnchor="text" w:horzAnchor="page" w:tblpX="1458" w:tblpY="93"/>
        <w:tblOverlap w:val="never"/>
        <w:tblW w:w="954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69"/>
        <w:gridCol w:w="1159"/>
        <w:gridCol w:w="6270"/>
        <w:gridCol w:w="82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</w:trPr>
        <w:tc>
          <w:tcPr>
            <w:tcW w:w="72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31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项目</w:t>
            </w:r>
          </w:p>
        </w:tc>
        <w:tc>
          <w:tcPr>
            <w:tcW w:w="56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center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5"/>
                <w:sz w:val="23"/>
                <w:szCs w:val="23"/>
              </w:rPr>
              <w:t>序</w:t>
            </w:r>
            <w:r>
              <w:rPr>
                <w:rFonts w:ascii="宋体" w:hAnsi="宋体" w:eastAsia="宋体" w:cs="宋体"/>
                <w:spacing w:val="34"/>
                <w:sz w:val="23"/>
                <w:szCs w:val="23"/>
              </w:rPr>
              <w:t xml:space="preserve"> 号</w:t>
            </w:r>
          </w:p>
        </w:tc>
        <w:tc>
          <w:tcPr>
            <w:tcW w:w="11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384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position w:val="15"/>
                <w:sz w:val="23"/>
                <w:szCs w:val="23"/>
              </w:rPr>
              <w:t>评</w:t>
            </w:r>
            <w:r>
              <w:rPr>
                <w:rFonts w:ascii="宋体" w:hAnsi="宋体" w:eastAsia="宋体" w:cs="宋体"/>
                <w:spacing w:val="5"/>
                <w:position w:val="15"/>
                <w:sz w:val="23"/>
                <w:szCs w:val="23"/>
              </w:rPr>
              <w:t>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388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指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标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2662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赋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分规则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79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position w:val="15"/>
                <w:sz w:val="23"/>
                <w:szCs w:val="23"/>
              </w:rPr>
              <w:t>权</w:t>
            </w:r>
            <w:r>
              <w:rPr>
                <w:rFonts w:ascii="宋体" w:hAnsi="宋体" w:eastAsia="宋体" w:cs="宋体"/>
                <w:spacing w:val="5"/>
                <w:position w:val="15"/>
                <w:sz w:val="23"/>
                <w:szCs w:val="23"/>
              </w:rPr>
              <w:t>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82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分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值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722" w:type="dxa"/>
            <w:vMerge w:val="restart"/>
            <w:tcBorders>
              <w:bottom w:val="nil"/>
            </w:tcBorders>
            <w:noWrap w:val="0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26"/>
              <w:jc w:val="both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6"/>
                <w:sz w:val="23"/>
                <w:szCs w:val="23"/>
              </w:rPr>
              <w:t>综</w:t>
            </w:r>
            <w:r>
              <w:rPr>
                <w:rFonts w:ascii="宋体" w:hAnsi="宋体" w:eastAsia="宋体" w:cs="宋体"/>
                <w:spacing w:val="33"/>
                <w:sz w:val="23"/>
                <w:szCs w:val="23"/>
              </w:rPr>
              <w:t xml:space="preserve"> 合 实 力</w:t>
            </w:r>
          </w:p>
        </w:tc>
        <w:tc>
          <w:tcPr>
            <w:tcW w:w="56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230" w:firstLineChars="100"/>
              <w:jc w:val="both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1</w:t>
            </w:r>
          </w:p>
        </w:tc>
        <w:tc>
          <w:tcPr>
            <w:tcW w:w="11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0"/>
              <w:jc w:val="center"/>
              <w:textAlignment w:val="auto"/>
              <w:rPr>
                <w:rFonts w:ascii="宋体" w:hAnsi="宋体" w:eastAsia="宋体" w:cs="宋体"/>
                <w:spacing w:val="7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建筑业产值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244" w:firstLineChars="100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(100分)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524" w:firstLineChars="200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>前一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年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度建筑业</w:t>
            </w:r>
            <w:r>
              <w:rPr>
                <w:rFonts w:hint="eastAsia" w:ascii="宋体" w:hAnsi="宋体" w:eastAsia="宋体" w:cs="宋体"/>
                <w:spacing w:val="8"/>
                <w:sz w:val="23"/>
                <w:szCs w:val="23"/>
                <w:lang w:val="en-US" w:eastAsia="zh-CN"/>
              </w:rPr>
              <w:t>总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产值 (按市统计局提供数据) 排名，第</w:t>
            </w:r>
            <w:r>
              <w:rPr>
                <w:rFonts w:ascii="宋体" w:hAnsi="宋体" w:eastAsia="宋体" w:cs="宋体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3"/>
                <w:szCs w:val="23"/>
              </w:rPr>
              <w:t>1 名</w:t>
            </w:r>
            <w:r>
              <w:rPr>
                <w:rFonts w:ascii="宋体" w:hAnsi="宋体" w:eastAsia="宋体" w:cs="宋体"/>
                <w:spacing w:val="-10"/>
                <w:sz w:val="23"/>
                <w:szCs w:val="23"/>
              </w:rPr>
              <w:t>得</w:t>
            </w:r>
            <w:r>
              <w:rPr>
                <w:rFonts w:ascii="宋体" w:hAnsi="宋体" w:eastAsia="宋体" w:cs="宋体"/>
                <w:spacing w:val="-6"/>
                <w:sz w:val="23"/>
                <w:szCs w:val="23"/>
              </w:rPr>
              <w:t xml:space="preserve"> 100 分，第 2 名得 99 分，以此类推，100 名以后不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得分。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242"/>
              <w:textAlignment w:val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20%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4" w:hRule="atLeast"/>
        </w:trPr>
        <w:tc>
          <w:tcPr>
            <w:tcW w:w="722" w:type="dxa"/>
            <w:vMerge w:val="continue"/>
            <w:tcBorders>
              <w:top w:val="nil"/>
            </w:tcBorders>
            <w:noWrap w:val="0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56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91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2</w:t>
            </w:r>
          </w:p>
        </w:tc>
        <w:tc>
          <w:tcPr>
            <w:tcW w:w="11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25" w:right="12" w:firstLine="21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  <w:highlight w:val="none"/>
              </w:rPr>
              <w:t>人才储备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(100 分)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472" w:firstLineChars="200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>申报时企业一级注册建造师一人</w:t>
            </w:r>
            <w:r>
              <w:rPr>
                <w:rFonts w:hint="eastAsia" w:ascii="宋体" w:hAnsi="宋体" w:eastAsia="宋体" w:cs="宋体"/>
                <w:spacing w:val="3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 xml:space="preserve"> 2 分，二级注册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建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  <w:highlight w:val="none"/>
              </w:rPr>
              <w:t>造师一人</w:t>
            </w:r>
            <w:r>
              <w:rPr>
                <w:rFonts w:hint="eastAsia" w:ascii="宋体" w:hAnsi="宋体" w:eastAsia="宋体" w:cs="宋体"/>
                <w:spacing w:val="3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  <w:highlight w:val="none"/>
              </w:rPr>
              <w:t xml:space="preserve"> 1 分；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  <w:highlight w:val="none"/>
              </w:rPr>
              <w:t>其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  <w:highlight w:val="none"/>
              </w:rPr>
              <w:t>他国家注册类执业证书的一人</w:t>
            </w:r>
            <w:r>
              <w:rPr>
                <w:rFonts w:hint="eastAsia" w:ascii="宋体" w:hAnsi="宋体" w:eastAsia="宋体" w:cs="宋体"/>
                <w:spacing w:val="3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  <w:highlight w:val="none"/>
              </w:rPr>
              <w:t xml:space="preserve"> 2 分。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(同一人具备多项执业资格的按一人</w:t>
            </w:r>
            <w:r>
              <w:rPr>
                <w:rFonts w:hint="eastAsia" w:ascii="宋体" w:hAnsi="宋体" w:eastAsia="宋体" w:cs="宋体"/>
                <w:spacing w:val="9"/>
                <w:sz w:val="23"/>
                <w:szCs w:val="23"/>
                <w:highlight w:val="none"/>
                <w:lang w:val="en-US" w:eastAsia="zh-CN"/>
              </w:rPr>
              <w:t>最高分值计分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-14"/>
                <w:position w:val="15"/>
                <w:sz w:val="23"/>
                <w:szCs w:val="23"/>
                <w:highlight w:val="none"/>
              </w:rPr>
              <w:t>按上</w:t>
            </w:r>
            <w:r>
              <w:rPr>
                <w:rFonts w:ascii="宋体" w:hAnsi="宋体" w:eastAsia="宋体" w:cs="宋体"/>
                <w:spacing w:val="-9"/>
                <w:position w:val="15"/>
                <w:sz w:val="23"/>
                <w:szCs w:val="23"/>
                <w:highlight w:val="none"/>
              </w:rPr>
              <w:t>述</w:t>
            </w:r>
            <w:r>
              <w:rPr>
                <w:rFonts w:hint="eastAsia" w:ascii="宋体" w:hAnsi="宋体" w:eastAsia="宋体" w:cs="宋体"/>
                <w:spacing w:val="-7"/>
                <w:position w:val="15"/>
                <w:sz w:val="23"/>
                <w:szCs w:val="23"/>
                <w:highlight w:val="none"/>
                <w:lang w:val="en-US" w:eastAsia="zh-CN"/>
              </w:rPr>
              <w:t>总分值</w:t>
            </w:r>
            <w:r>
              <w:rPr>
                <w:rFonts w:ascii="宋体" w:hAnsi="宋体" w:eastAsia="宋体" w:cs="宋体"/>
                <w:spacing w:val="-7"/>
                <w:position w:val="15"/>
                <w:sz w:val="23"/>
                <w:szCs w:val="23"/>
                <w:highlight w:val="none"/>
              </w:rPr>
              <w:t>排名，第 1 名得 100 分，第 2 名得 99 分，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>以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此类推，100 名以后不得分。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257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-5"/>
                <w:position w:val="1"/>
                <w:sz w:val="23"/>
                <w:szCs w:val="23"/>
                <w:highlight w:val="none"/>
              </w:rPr>
              <w:t>10%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722" w:type="dxa"/>
            <w:noWrap w:val="0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933"/>
              <w:jc w:val="left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36"/>
                <w:sz w:val="23"/>
                <w:szCs w:val="23"/>
                <w:highlight w:val="none"/>
              </w:rPr>
              <w:t>创</w:t>
            </w:r>
            <w:r>
              <w:rPr>
                <w:rFonts w:ascii="宋体" w:hAnsi="宋体" w:eastAsia="宋体" w:cs="宋体"/>
                <w:spacing w:val="33"/>
                <w:sz w:val="23"/>
                <w:szCs w:val="23"/>
                <w:highlight w:val="none"/>
              </w:rPr>
              <w:t xml:space="preserve"> 新 发 展</w:t>
            </w:r>
          </w:p>
        </w:tc>
        <w:tc>
          <w:tcPr>
            <w:tcW w:w="56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93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3</w:t>
            </w:r>
          </w:p>
        </w:tc>
        <w:tc>
          <w:tcPr>
            <w:tcW w:w="11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25" w:right="12" w:firstLine="19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创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  <w:highlight w:val="none"/>
              </w:rPr>
              <w:t>新成效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(100 分)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468" w:firstLineChars="200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1.近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两年度年获得中国质量奖及提名奖的分别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8 分、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6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2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分</w:t>
            </w:r>
            <w:r>
              <w:rPr>
                <w:rFonts w:ascii="宋体" w:hAnsi="宋体" w:eastAsia="宋体" w:cs="宋体"/>
                <w:spacing w:val="12"/>
                <w:sz w:val="23"/>
                <w:szCs w:val="23"/>
                <w:highlight w:val="none"/>
              </w:rPr>
              <w:t>，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获得浙江省政府质量奖、浙江省质量管理创新奖分别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  <w:highlight w:val="none"/>
              </w:rPr>
              <w:t xml:space="preserve"> 6 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>分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、4 分，获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eastAsia="zh-CN"/>
              </w:rPr>
              <w:t>丽水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市质量管理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  <w:highlight w:val="none"/>
              </w:rPr>
              <w:t>创</w:t>
            </w:r>
            <w:r>
              <w:rPr>
                <w:rFonts w:ascii="宋体" w:hAnsi="宋体" w:eastAsia="宋体" w:cs="宋体"/>
                <w:spacing w:val="5"/>
                <w:sz w:val="23"/>
                <w:szCs w:val="23"/>
                <w:highlight w:val="none"/>
              </w:rPr>
              <w:t>新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>奖的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hint="eastAsia" w:ascii="宋体" w:hAnsi="宋体" w:eastAsia="宋体" w:cs="宋体"/>
                <w:spacing w:val="3"/>
                <w:sz w:val="23"/>
                <w:szCs w:val="23"/>
                <w:highlight w:val="none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 xml:space="preserve"> 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483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18"/>
                <w:sz w:val="23"/>
                <w:szCs w:val="23"/>
                <w:highlight w:val="none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企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业具备国家、省级、市级高新技术企业称号，分别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-24"/>
                <w:sz w:val="23"/>
                <w:szCs w:val="23"/>
                <w:highlight w:val="none"/>
              </w:rPr>
              <w:t xml:space="preserve"> 8 分 、6 分 、4 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481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1"/>
                <w:sz w:val="23"/>
                <w:szCs w:val="23"/>
                <w:highlight w:val="none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  <w:highlight w:val="none"/>
              </w:rPr>
              <w:t>企业具备国家、省级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、市级企业技术中心分别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8 分、 </w:t>
            </w:r>
            <w:r>
              <w:rPr>
                <w:rFonts w:ascii="宋体" w:hAnsi="宋体" w:eastAsia="宋体" w:cs="宋体"/>
                <w:spacing w:val="-22"/>
                <w:sz w:val="23"/>
                <w:szCs w:val="23"/>
                <w:highlight w:val="none"/>
              </w:rPr>
              <w:t>6 分 、4 分</w:t>
            </w:r>
            <w:r>
              <w:rPr>
                <w:rFonts w:ascii="宋体" w:hAnsi="宋体" w:eastAsia="宋体" w:cs="宋体"/>
                <w:spacing w:val="-21"/>
                <w:sz w:val="23"/>
                <w:szCs w:val="23"/>
                <w:highlight w:val="none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16"/>
                <w:sz w:val="23"/>
                <w:szCs w:val="23"/>
                <w:highlight w:val="none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  <w:highlight w:val="none"/>
              </w:rPr>
              <w:t>“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  <w:highlight w:val="none"/>
              </w:rPr>
              <w:t>专精特新”企业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  <w:highlight w:val="none"/>
              </w:rPr>
              <w:t>6 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507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14"/>
                <w:sz w:val="23"/>
                <w:szCs w:val="23"/>
                <w:highlight w:val="none"/>
              </w:rPr>
              <w:t>以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上</w:t>
            </w:r>
            <w:r>
              <w:rPr>
                <w:rFonts w:hint="eastAsia" w:ascii="宋体" w:hAnsi="宋体" w:eastAsia="宋体" w:cs="宋体"/>
                <w:spacing w:val="9"/>
                <w:sz w:val="23"/>
                <w:szCs w:val="23"/>
                <w:highlight w:val="none"/>
                <w:lang w:val="en-US" w:eastAsia="zh-CN"/>
              </w:rPr>
              <w:t>各项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按获得最高加分项给予计分，按上述</w:t>
            </w:r>
            <w:r>
              <w:rPr>
                <w:rFonts w:hint="eastAsia" w:ascii="宋体" w:hAnsi="宋体" w:eastAsia="宋体" w:cs="宋体"/>
                <w:spacing w:val="9"/>
                <w:sz w:val="23"/>
                <w:szCs w:val="23"/>
                <w:highlight w:val="none"/>
                <w:lang w:val="en-US" w:eastAsia="zh-CN"/>
              </w:rPr>
              <w:t>总得分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排名，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3"/>
                <w:szCs w:val="23"/>
                <w:highlight w:val="none"/>
              </w:rPr>
              <w:t xml:space="preserve">第 </w:t>
            </w:r>
            <w:r>
              <w:rPr>
                <w:rFonts w:ascii="宋体" w:hAnsi="宋体" w:eastAsia="宋体" w:cs="宋体"/>
                <w:spacing w:val="-11"/>
                <w:sz w:val="23"/>
                <w:szCs w:val="23"/>
                <w:highlight w:val="none"/>
              </w:rPr>
              <w:t>1</w:t>
            </w:r>
            <w:r>
              <w:rPr>
                <w:rFonts w:ascii="宋体" w:hAnsi="宋体" w:eastAsia="宋体" w:cs="宋体"/>
                <w:spacing w:val="-7"/>
                <w:sz w:val="23"/>
                <w:szCs w:val="23"/>
                <w:highlight w:val="none"/>
              </w:rPr>
              <w:t xml:space="preserve"> 名得 100 分，第 2 名得 99 分，以此类推，100 名以后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  <w:highlight w:val="none"/>
              </w:rPr>
              <w:t>不得分。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257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-5"/>
                <w:position w:val="1"/>
                <w:sz w:val="23"/>
                <w:szCs w:val="23"/>
                <w:highlight w:val="none"/>
              </w:rPr>
              <w:t>1</w:t>
            </w:r>
            <w:r>
              <w:rPr>
                <w:rFonts w:hint="eastAsia" w:ascii="宋体" w:hAnsi="宋体" w:eastAsia="宋体" w:cs="宋体"/>
                <w:spacing w:val="-5"/>
                <w:position w:val="1"/>
                <w:sz w:val="23"/>
                <w:szCs w:val="23"/>
                <w:highlight w:val="none"/>
                <w:lang w:val="en-US" w:eastAsia="zh-CN"/>
              </w:rPr>
              <w:t>0</w:t>
            </w:r>
            <w:r>
              <w:rPr>
                <w:rFonts w:ascii="宋体" w:hAnsi="宋体" w:eastAsia="宋体" w:cs="宋体"/>
                <w:spacing w:val="-5"/>
                <w:position w:val="1"/>
                <w:sz w:val="23"/>
                <w:szCs w:val="23"/>
                <w:highlight w:val="none"/>
              </w:rPr>
              <w:t>%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2" w:hRule="atLeast"/>
        </w:trPr>
        <w:tc>
          <w:tcPr>
            <w:tcW w:w="722" w:type="dxa"/>
            <w:noWrap w:val="0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76"/>
              <w:jc w:val="both"/>
              <w:textAlignment w:val="auto"/>
              <w:rPr>
                <w:rFonts w:hint="default" w:ascii="宋体" w:hAnsi="宋体" w:eastAsia="宋体" w:cs="宋体"/>
                <w:sz w:val="23"/>
                <w:szCs w:val="23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spacing w:val="36"/>
                <w:sz w:val="23"/>
                <w:szCs w:val="23"/>
                <w:highlight w:val="none"/>
              </w:rPr>
              <w:t>行</w:t>
            </w:r>
            <w:r>
              <w:rPr>
                <w:rFonts w:ascii="宋体" w:hAnsi="宋体" w:eastAsia="宋体" w:cs="宋体"/>
                <w:spacing w:val="33"/>
                <w:sz w:val="23"/>
                <w:szCs w:val="23"/>
                <w:highlight w:val="none"/>
              </w:rPr>
              <w:t xml:space="preserve"> 业 影 响</w:t>
            </w:r>
            <w:r>
              <w:rPr>
                <w:rFonts w:hint="eastAsia" w:ascii="宋体" w:hAnsi="宋体" w:eastAsia="宋体" w:cs="宋体"/>
                <w:spacing w:val="33"/>
                <w:sz w:val="23"/>
                <w:szCs w:val="23"/>
                <w:highlight w:val="none"/>
                <w:lang w:val="en-US" w:eastAsia="zh-CN"/>
              </w:rPr>
              <w:t xml:space="preserve"> 力</w:t>
            </w:r>
          </w:p>
        </w:tc>
        <w:tc>
          <w:tcPr>
            <w:tcW w:w="56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87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4</w:t>
            </w:r>
          </w:p>
        </w:tc>
        <w:tc>
          <w:tcPr>
            <w:tcW w:w="11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48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  <w:highlight w:val="none"/>
              </w:rPr>
              <w:t>工程获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  <w:highlight w:val="none"/>
              </w:rPr>
              <w:t>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276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38"/>
                <w:sz w:val="23"/>
                <w:szCs w:val="23"/>
                <w:highlight w:val="none"/>
              </w:rPr>
              <w:t>(杯)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25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14"/>
                <w:sz w:val="23"/>
                <w:szCs w:val="23"/>
                <w:highlight w:val="none"/>
              </w:rPr>
              <w:t>(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  <w:highlight w:val="none"/>
              </w:rPr>
              <w:t>100 分)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0" w:firstLine="482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近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两年度获得鲁班奖、詹天佑奖、国家优质工程奖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  <w:highlight w:val="none"/>
              </w:rPr>
              <w:t xml:space="preserve">赋 10 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>分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；获得国家、省级、市级、县级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优质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工程奖分别</w:t>
            </w:r>
            <w:r>
              <w:rPr>
                <w:rFonts w:hint="eastAsia" w:ascii="宋体" w:hAnsi="宋体" w:eastAsia="宋体" w:cs="宋体"/>
                <w:spacing w:val="2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  <w:highlight w:val="none"/>
              </w:rPr>
              <w:t>8 分、6 分、4 分、2 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ascii="Arial"/>
                <w:sz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257"/>
              <w:textAlignment w:val="auto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-5"/>
                <w:position w:val="1"/>
                <w:sz w:val="23"/>
                <w:szCs w:val="23"/>
                <w:highlight w:val="none"/>
              </w:rPr>
              <w:t>15%</w:t>
            </w:r>
          </w:p>
        </w:tc>
      </w:tr>
    </w:tbl>
    <w:p>
      <w:pPr>
        <w:pStyle w:val="2"/>
        <w:ind w:left="0" w:leftChars="0" w:firstLine="0" w:firstLineChars="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 w:bidi="ar"/>
        </w:rPr>
      </w:pPr>
    </w:p>
    <w:tbl>
      <w:tblPr>
        <w:tblStyle w:val="9"/>
        <w:tblW w:w="954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487"/>
        <w:gridCol w:w="1241"/>
        <w:gridCol w:w="6270"/>
        <w:gridCol w:w="82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722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before="135" w:line="227" w:lineRule="auto"/>
              <w:ind w:left="251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</w:p>
        </w:tc>
        <w:tc>
          <w:tcPr>
            <w:tcW w:w="487" w:type="dxa"/>
            <w:noWrap w:val="0"/>
            <w:vAlign w:val="top"/>
          </w:tcPr>
          <w:p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241" w:type="dxa"/>
            <w:noWrap w:val="0"/>
            <w:vAlign w:val="top"/>
          </w:tcPr>
          <w:p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6270" w:type="dxa"/>
            <w:noWrap w:val="0"/>
            <w:vAlign w:val="top"/>
          </w:tcPr>
          <w:p>
            <w:pPr>
              <w:spacing w:before="148" w:line="353" w:lineRule="auto"/>
              <w:ind w:left="113" w:right="160" w:firstLine="484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同一工程获同一类别</w:t>
            </w:r>
            <w:r>
              <w:rPr>
                <w:rFonts w:hint="eastAsia" w:ascii="宋体" w:hAnsi="宋体" w:eastAsia="宋体" w:cs="宋体"/>
                <w:spacing w:val="18"/>
                <w:sz w:val="23"/>
                <w:szCs w:val="23"/>
                <w:highlight w:val="none"/>
                <w:lang w:val="en-US" w:eastAsia="zh-CN"/>
              </w:rPr>
              <w:t>奖</w:t>
            </w: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项</w:t>
            </w:r>
            <w:r>
              <w:rPr>
                <w:rFonts w:hint="eastAsia" w:ascii="宋体" w:hAnsi="宋体" w:eastAsia="宋体" w:cs="宋体"/>
                <w:spacing w:val="18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分的按最高</w:t>
            </w:r>
            <w:r>
              <w:rPr>
                <w:rFonts w:hint="eastAsia" w:ascii="宋体" w:hAnsi="宋体" w:eastAsia="宋体" w:cs="宋体"/>
                <w:spacing w:val="18"/>
                <w:sz w:val="23"/>
                <w:szCs w:val="23"/>
                <w:highlight w:val="none"/>
                <w:lang w:val="en-US" w:eastAsia="zh-CN"/>
              </w:rPr>
              <w:t>分值</w:t>
            </w: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计</w:t>
            </w:r>
            <w:r>
              <w:rPr>
                <w:rFonts w:hint="eastAsia" w:ascii="宋体" w:hAnsi="宋体" w:eastAsia="宋体" w:cs="宋体"/>
                <w:spacing w:val="18"/>
                <w:sz w:val="23"/>
                <w:szCs w:val="23"/>
                <w:highlight w:val="none"/>
                <w:lang w:val="en-US" w:eastAsia="zh-CN"/>
              </w:rPr>
              <w:t>次，</w:t>
            </w: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按上述</w:t>
            </w:r>
            <w:r>
              <w:rPr>
                <w:rFonts w:hint="eastAsia" w:ascii="宋体" w:hAnsi="宋体" w:eastAsia="宋体" w:cs="宋体"/>
                <w:spacing w:val="18"/>
                <w:sz w:val="23"/>
                <w:szCs w:val="23"/>
                <w:highlight w:val="none"/>
                <w:lang w:val="en-US" w:eastAsia="zh-CN"/>
              </w:rPr>
              <w:t>总得分</w:t>
            </w: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排名，第 1 名得 100 分，第 2 名得 99 分，以此类推，100 名以后不得分。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rPr>
                <w:rFonts w:ascii="Arial"/>
                <w:sz w:val="21"/>
                <w:highlight w:val="none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3" w:hRule="atLeast"/>
        </w:trPr>
        <w:tc>
          <w:tcPr>
            <w:tcW w:w="72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487" w:type="dxa"/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189" w:lineRule="auto"/>
              <w:ind w:left="193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5</w:t>
            </w:r>
          </w:p>
        </w:tc>
        <w:tc>
          <w:tcPr>
            <w:tcW w:w="1241" w:type="dxa"/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62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344" w:lineRule="auto"/>
              <w:ind w:left="125" w:right="12" w:firstLine="262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  <w:highlight w:val="none"/>
              </w:rPr>
              <w:t>工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>程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  </w:t>
            </w:r>
            <w:r>
              <w:rPr>
                <w:rFonts w:ascii="宋体" w:hAnsi="宋体" w:eastAsia="宋体" w:cs="宋体"/>
                <w:spacing w:val="54"/>
                <w:sz w:val="23"/>
                <w:szCs w:val="23"/>
                <w:highlight w:val="none"/>
              </w:rPr>
              <w:t>创</w:t>
            </w:r>
            <w:r>
              <w:rPr>
                <w:rFonts w:ascii="宋体" w:hAnsi="宋体" w:eastAsia="宋体" w:cs="宋体"/>
                <w:spacing w:val="53"/>
                <w:sz w:val="23"/>
                <w:szCs w:val="23"/>
                <w:highlight w:val="none"/>
              </w:rPr>
              <w:t>标化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(100 分)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spacing w:before="148" w:line="353" w:lineRule="auto"/>
              <w:ind w:left="113" w:right="160" w:firstLine="484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前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两年度获得国家、省级、市级安全文明施工标准化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3"/>
                <w:szCs w:val="23"/>
                <w:highlight w:val="none"/>
              </w:rPr>
              <w:t>优良</w:t>
            </w:r>
            <w:r>
              <w:rPr>
                <w:rFonts w:ascii="宋体" w:hAnsi="宋体" w:eastAsia="宋体" w:cs="宋体"/>
                <w:spacing w:val="-5"/>
                <w:sz w:val="23"/>
                <w:szCs w:val="23"/>
                <w:highlight w:val="none"/>
              </w:rPr>
              <w:t>示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  <w:highlight w:val="none"/>
              </w:rPr>
              <w:t>范工地分别</w:t>
            </w:r>
            <w:r>
              <w:rPr>
                <w:rFonts w:hint="eastAsia" w:ascii="宋体" w:hAnsi="宋体" w:eastAsia="宋体" w:cs="宋体"/>
                <w:spacing w:val="-3"/>
                <w:sz w:val="23"/>
                <w:szCs w:val="23"/>
                <w:highlight w:val="none"/>
                <w:lang w:val="en-US" w:eastAsia="zh-CN"/>
              </w:rPr>
              <w:t>得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  <w:highlight w:val="none"/>
              </w:rPr>
              <w:t xml:space="preserve"> 6 分、4 分、2 分。</w:t>
            </w:r>
          </w:p>
          <w:p>
            <w:pPr>
              <w:spacing w:line="229" w:lineRule="auto"/>
              <w:ind w:left="617"/>
              <w:rPr>
                <w:rFonts w:hint="eastAsia" w:ascii="宋体" w:hAnsi="宋体" w:eastAsia="宋体" w:cs="宋体"/>
                <w:sz w:val="23"/>
                <w:szCs w:val="23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spacing w:val="16"/>
                <w:sz w:val="23"/>
                <w:szCs w:val="23"/>
                <w:highlight w:val="none"/>
              </w:rPr>
              <w:t>同</w:t>
            </w:r>
            <w:r>
              <w:rPr>
                <w:rFonts w:ascii="宋体" w:hAnsi="宋体" w:eastAsia="宋体" w:cs="宋体"/>
                <w:spacing w:val="13"/>
                <w:sz w:val="23"/>
                <w:szCs w:val="23"/>
                <w:highlight w:val="none"/>
              </w:rPr>
              <w:t>一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  <w:highlight w:val="none"/>
              </w:rPr>
              <w:t>工程或项目获同一类别项赋分的按最高赋分计</w:t>
            </w:r>
          </w:p>
          <w:p>
            <w:pPr>
              <w:spacing w:before="153" w:line="439" w:lineRule="exact"/>
              <w:ind w:left="120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-12"/>
                <w:position w:val="15"/>
                <w:sz w:val="23"/>
                <w:szCs w:val="23"/>
                <w:highlight w:val="none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pacing w:val="-12"/>
                <w:position w:val="15"/>
                <w:sz w:val="23"/>
                <w:szCs w:val="23"/>
                <w:highlight w:val="none"/>
              </w:rPr>
              <w:t>次，按</w:t>
            </w:r>
            <w:r>
              <w:rPr>
                <w:rFonts w:ascii="宋体" w:hAnsi="宋体" w:eastAsia="宋体" w:cs="宋体"/>
                <w:spacing w:val="-9"/>
                <w:position w:val="15"/>
                <w:sz w:val="23"/>
                <w:szCs w:val="23"/>
                <w:highlight w:val="none"/>
              </w:rPr>
              <w:t>上</w:t>
            </w:r>
            <w:r>
              <w:rPr>
                <w:rFonts w:ascii="宋体" w:hAnsi="宋体" w:eastAsia="宋体" w:cs="宋体"/>
                <w:spacing w:val="-6"/>
                <w:position w:val="15"/>
                <w:sz w:val="23"/>
                <w:szCs w:val="23"/>
                <w:highlight w:val="none"/>
              </w:rPr>
              <w:t>述赋分排名，第 1 名得 100 分，第 2 名得 99 分，</w:t>
            </w:r>
          </w:p>
          <w:p>
            <w:pPr>
              <w:spacing w:line="227" w:lineRule="auto"/>
              <w:ind w:left="141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>以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此类推，100 名以后不得分。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spacing w:line="31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316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316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308" w:lineRule="exact"/>
              <w:ind w:left="257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-5"/>
                <w:position w:val="1"/>
                <w:sz w:val="23"/>
                <w:szCs w:val="23"/>
                <w:highlight w:val="none"/>
              </w:rPr>
              <w:t>10%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3" w:hRule="atLeast"/>
        </w:trPr>
        <w:tc>
          <w:tcPr>
            <w:tcW w:w="722" w:type="dxa"/>
            <w:vMerge w:val="continue"/>
            <w:tcBorders>
              <w:top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487" w:type="dxa"/>
            <w:noWrap w:val="0"/>
            <w:vAlign w:val="top"/>
          </w:tcPr>
          <w:p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190" w:lineRule="auto"/>
              <w:ind w:left="190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6</w:t>
            </w:r>
          </w:p>
        </w:tc>
        <w:tc>
          <w:tcPr>
            <w:tcW w:w="1241" w:type="dxa"/>
            <w:noWrap w:val="0"/>
            <w:vAlign w:val="top"/>
          </w:tcPr>
          <w:p>
            <w:pPr>
              <w:spacing w:line="248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228" w:lineRule="auto"/>
              <w:ind w:left="148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  <w:highlight w:val="none"/>
              </w:rPr>
              <w:t>建筑工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  <w:highlight w:val="none"/>
              </w:rPr>
              <w:t>业</w:t>
            </w:r>
          </w:p>
          <w:p>
            <w:pPr>
              <w:spacing w:before="135" w:line="229" w:lineRule="auto"/>
              <w:ind w:left="146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  <w:highlight w:val="none"/>
              </w:rPr>
              <w:t>化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  <w:highlight w:val="none"/>
              </w:rPr>
              <w:t>示范基</w:t>
            </w:r>
          </w:p>
          <w:p>
            <w:pPr>
              <w:spacing w:before="134" w:line="237" w:lineRule="auto"/>
              <w:ind w:left="505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地</w:t>
            </w:r>
          </w:p>
          <w:p>
            <w:pPr>
              <w:spacing w:before="93" w:line="228" w:lineRule="auto"/>
              <w:ind w:left="125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14"/>
                <w:sz w:val="23"/>
                <w:szCs w:val="23"/>
                <w:highlight w:val="none"/>
              </w:rPr>
              <w:t>(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  <w:highlight w:val="none"/>
              </w:rPr>
              <w:t>100 分)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spacing w:before="151" w:line="353" w:lineRule="auto"/>
              <w:ind w:left="119" w:right="160" w:firstLine="478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18"/>
                <w:sz w:val="23"/>
                <w:szCs w:val="23"/>
                <w:highlight w:val="none"/>
              </w:rPr>
              <w:t>前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两年度获得国家、省级、市级、县级建筑工业化示</w:t>
            </w:r>
            <w:r>
              <w:rPr>
                <w:rFonts w:ascii="宋体" w:hAnsi="宋体" w:eastAsia="宋体" w:cs="宋体"/>
                <w:spacing w:val="-9"/>
                <w:sz w:val="23"/>
                <w:szCs w:val="23"/>
                <w:highlight w:val="none"/>
              </w:rPr>
              <w:t>范</w:t>
            </w:r>
            <w:r>
              <w:rPr>
                <w:rFonts w:ascii="宋体" w:hAnsi="宋体" w:eastAsia="宋体" w:cs="宋体"/>
                <w:spacing w:val="-6"/>
                <w:sz w:val="23"/>
                <w:szCs w:val="23"/>
                <w:highlight w:val="none"/>
              </w:rPr>
              <w:t>基地分别赋 8 分、6 分、4 分、2 分。</w:t>
            </w:r>
          </w:p>
          <w:p>
            <w:pPr>
              <w:spacing w:line="229" w:lineRule="auto"/>
              <w:ind w:left="617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16"/>
                <w:sz w:val="23"/>
                <w:szCs w:val="23"/>
                <w:highlight w:val="none"/>
              </w:rPr>
              <w:t>同</w:t>
            </w:r>
            <w:r>
              <w:rPr>
                <w:rFonts w:ascii="宋体" w:hAnsi="宋体" w:eastAsia="宋体" w:cs="宋体"/>
                <w:spacing w:val="13"/>
                <w:sz w:val="23"/>
                <w:szCs w:val="23"/>
                <w:highlight w:val="none"/>
              </w:rPr>
              <w:t>一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  <w:highlight w:val="none"/>
              </w:rPr>
              <w:t>工程或项目获同一类别项赋分的按最高赋分计</w:t>
            </w:r>
          </w:p>
          <w:p>
            <w:pPr>
              <w:spacing w:before="153" w:line="439" w:lineRule="exact"/>
              <w:ind w:left="120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-12"/>
                <w:position w:val="15"/>
                <w:sz w:val="23"/>
                <w:szCs w:val="23"/>
                <w:highlight w:val="none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pacing w:val="-12"/>
                <w:position w:val="15"/>
                <w:sz w:val="23"/>
                <w:szCs w:val="23"/>
                <w:highlight w:val="none"/>
              </w:rPr>
              <w:t>次，按</w:t>
            </w:r>
            <w:r>
              <w:rPr>
                <w:rFonts w:ascii="宋体" w:hAnsi="宋体" w:eastAsia="宋体" w:cs="宋体"/>
                <w:spacing w:val="-9"/>
                <w:position w:val="15"/>
                <w:sz w:val="23"/>
                <w:szCs w:val="23"/>
                <w:highlight w:val="none"/>
              </w:rPr>
              <w:t>上</w:t>
            </w:r>
            <w:r>
              <w:rPr>
                <w:rFonts w:ascii="宋体" w:hAnsi="宋体" w:eastAsia="宋体" w:cs="宋体"/>
                <w:spacing w:val="-6"/>
                <w:position w:val="15"/>
                <w:sz w:val="23"/>
                <w:szCs w:val="23"/>
                <w:highlight w:val="none"/>
              </w:rPr>
              <w:t>述赋分排名，第 1 名得 100 分，第 2 名得 99 分，</w:t>
            </w:r>
          </w:p>
          <w:p>
            <w:pPr>
              <w:spacing w:line="227" w:lineRule="auto"/>
              <w:ind w:left="141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  <w:highlight w:val="none"/>
              </w:rPr>
              <w:t>以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  <w:highlight w:val="none"/>
              </w:rPr>
              <w:t>此类推，100 名以后不得分。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spacing w:line="316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317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317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4" w:line="309" w:lineRule="exact"/>
              <w:ind w:left="257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-5"/>
                <w:position w:val="1"/>
                <w:sz w:val="23"/>
                <w:szCs w:val="23"/>
                <w:highlight w:val="none"/>
              </w:rPr>
              <w:t>10%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722" w:type="dxa"/>
            <w:noWrap w:val="0"/>
            <w:textDirection w:val="tbRlV"/>
            <w:vAlign w:val="top"/>
          </w:tcPr>
          <w:p>
            <w:pPr>
              <w:spacing w:before="238" w:line="215" w:lineRule="auto"/>
              <w:ind w:left="135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36"/>
                <w:sz w:val="23"/>
                <w:szCs w:val="23"/>
                <w:highlight w:val="none"/>
              </w:rPr>
              <w:t>社</w:t>
            </w:r>
            <w:r>
              <w:rPr>
                <w:rFonts w:ascii="宋体" w:hAnsi="宋体" w:eastAsia="宋体" w:cs="宋体"/>
                <w:spacing w:val="33"/>
                <w:sz w:val="23"/>
                <w:szCs w:val="23"/>
                <w:highlight w:val="none"/>
              </w:rPr>
              <w:t xml:space="preserve"> 会 贡 献</w:t>
            </w:r>
          </w:p>
        </w:tc>
        <w:tc>
          <w:tcPr>
            <w:tcW w:w="487" w:type="dxa"/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42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242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189" w:lineRule="auto"/>
              <w:ind w:left="194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>7</w:t>
            </w:r>
          </w:p>
        </w:tc>
        <w:tc>
          <w:tcPr>
            <w:tcW w:w="1241" w:type="dxa"/>
            <w:noWrap w:val="0"/>
            <w:vAlign w:val="top"/>
          </w:tcPr>
          <w:p>
            <w:pPr>
              <w:spacing w:line="417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348" w:lineRule="auto"/>
              <w:ind w:left="125" w:right="12" w:firstLine="21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  <w:highlight w:val="none"/>
              </w:rPr>
              <w:t>纳税总额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  <w:highlight w:val="none"/>
              </w:rPr>
              <w:t>(100 分)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359" w:lineRule="auto"/>
              <w:ind w:left="113" w:right="41" w:firstLine="483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  <w:highlight w:val="none"/>
              </w:rPr>
              <w:t>前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  <w:highlight w:val="none"/>
              </w:rPr>
              <w:t>一年度企业</w:t>
            </w:r>
            <w:r>
              <w:rPr>
                <w:rFonts w:hint="eastAsia" w:ascii="宋体" w:hAnsi="宋体" w:eastAsia="宋体" w:cs="宋体"/>
                <w:spacing w:val="4"/>
                <w:sz w:val="23"/>
                <w:szCs w:val="23"/>
                <w:highlight w:val="none"/>
                <w:lang w:val="en-US" w:eastAsia="zh-CN"/>
              </w:rPr>
              <w:t>增值税、所得税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  <w:highlight w:val="none"/>
              </w:rPr>
              <w:t>纳税总额 (按市税务局提供</w:t>
            </w:r>
            <w:r>
              <w:rPr>
                <w:rFonts w:hint="eastAsia" w:ascii="宋体" w:hAnsi="宋体" w:eastAsia="宋体" w:cs="宋体"/>
                <w:spacing w:val="4"/>
                <w:sz w:val="23"/>
                <w:szCs w:val="23"/>
                <w:highlight w:val="none"/>
                <w:lang w:val="en-US" w:eastAsia="zh-CN"/>
              </w:rPr>
              <w:t>入库数总额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  <w:highlight w:val="none"/>
              </w:rPr>
              <w:t>) 排名，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3"/>
                <w:szCs w:val="23"/>
                <w:highlight w:val="none"/>
              </w:rPr>
              <w:t xml:space="preserve">第 </w:t>
            </w:r>
            <w:r>
              <w:rPr>
                <w:rFonts w:ascii="宋体" w:hAnsi="宋体" w:eastAsia="宋体" w:cs="宋体"/>
                <w:spacing w:val="-11"/>
                <w:sz w:val="23"/>
                <w:szCs w:val="23"/>
                <w:highlight w:val="none"/>
              </w:rPr>
              <w:t>1</w:t>
            </w:r>
            <w:r>
              <w:rPr>
                <w:rFonts w:ascii="宋体" w:hAnsi="宋体" w:eastAsia="宋体" w:cs="宋体"/>
                <w:spacing w:val="-7"/>
                <w:sz w:val="23"/>
                <w:szCs w:val="23"/>
                <w:highlight w:val="none"/>
              </w:rPr>
              <w:t xml:space="preserve"> 名得 100 分，第 2 名得 99 分，以此类推，100 名以后</w:t>
            </w:r>
            <w:r>
              <w:rPr>
                <w:rFonts w:ascii="宋体" w:hAnsi="宋体" w:eastAsia="宋体" w:cs="宋体"/>
                <w:sz w:val="23"/>
                <w:szCs w:val="23"/>
                <w:highlight w:val="none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3"/>
                <w:szCs w:val="23"/>
                <w:highlight w:val="none"/>
              </w:rPr>
              <w:t>不得分。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line="346" w:lineRule="auto"/>
              <w:rPr>
                <w:rFonts w:ascii="Arial"/>
                <w:sz w:val="21"/>
                <w:highlight w:val="none"/>
              </w:rPr>
            </w:pPr>
          </w:p>
          <w:p>
            <w:pPr>
              <w:spacing w:before="75" w:line="308" w:lineRule="exact"/>
              <w:ind w:left="242"/>
              <w:rPr>
                <w:rFonts w:ascii="宋体" w:hAnsi="宋体" w:eastAsia="宋体" w:cs="宋体"/>
                <w:sz w:val="23"/>
                <w:szCs w:val="23"/>
                <w:highlight w:val="none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  <w:highlight w:val="none"/>
              </w:rPr>
              <w:t>20%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722" w:type="dxa"/>
            <w:noWrap w:val="0"/>
            <w:textDirection w:val="tbRlV"/>
            <w:vAlign w:val="top"/>
          </w:tcPr>
          <w:p>
            <w:pPr>
              <w:spacing w:before="238" w:line="215" w:lineRule="auto"/>
              <w:ind w:left="135"/>
              <w:rPr>
                <w:rFonts w:hint="default" w:ascii="宋体" w:hAnsi="宋体" w:eastAsia="宋体" w:cs="宋体"/>
                <w:spacing w:val="36"/>
                <w:sz w:val="23"/>
                <w:szCs w:val="23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6"/>
                <w:sz w:val="23"/>
                <w:szCs w:val="23"/>
                <w:highlight w:val="none"/>
                <w:lang w:val="en-US" w:eastAsia="zh-CN"/>
              </w:rPr>
              <w:t>数字智治</w:t>
            </w:r>
          </w:p>
        </w:tc>
        <w:tc>
          <w:tcPr>
            <w:tcW w:w="487" w:type="dxa"/>
            <w:noWrap w:val="0"/>
            <w:vAlign w:val="top"/>
          </w:tcPr>
          <w:p>
            <w:pPr>
              <w:spacing w:before="75" w:line="189" w:lineRule="auto"/>
              <w:ind w:left="194"/>
              <w:rPr>
                <w:rFonts w:hint="eastAsia" w:ascii="宋体" w:hAnsi="宋体" w:eastAsia="宋体" w:cs="宋体"/>
                <w:sz w:val="23"/>
                <w:szCs w:val="23"/>
                <w:highlight w:val="none"/>
                <w:lang w:val="en-US" w:eastAsia="zh-CN"/>
              </w:rPr>
            </w:pPr>
          </w:p>
          <w:p>
            <w:pPr>
              <w:spacing w:before="75" w:line="189" w:lineRule="auto"/>
              <w:rPr>
                <w:rFonts w:hint="eastAsia" w:ascii="宋体" w:hAnsi="宋体" w:eastAsia="宋体" w:cs="宋体"/>
                <w:sz w:val="23"/>
                <w:szCs w:val="23"/>
                <w:highlight w:val="none"/>
                <w:lang w:val="en-US" w:eastAsia="zh-CN"/>
              </w:rPr>
            </w:pPr>
          </w:p>
          <w:p>
            <w:pPr>
              <w:spacing w:before="75" w:line="189" w:lineRule="auto"/>
              <w:ind w:left="194"/>
              <w:rPr>
                <w:rFonts w:hint="eastAsia" w:ascii="宋体" w:hAnsi="宋体" w:eastAsia="宋体" w:cs="宋体"/>
                <w:sz w:val="23"/>
                <w:szCs w:val="23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3"/>
                <w:szCs w:val="23"/>
                <w:highlight w:val="none"/>
                <w:lang w:val="en-US" w:eastAsia="zh-CN"/>
              </w:rPr>
              <w:t>8</w:t>
            </w:r>
          </w:p>
        </w:tc>
        <w:tc>
          <w:tcPr>
            <w:tcW w:w="1241" w:type="dxa"/>
            <w:noWrap w:val="0"/>
            <w:vAlign w:val="top"/>
          </w:tcPr>
          <w:p>
            <w:pPr>
              <w:spacing w:before="75" w:line="348" w:lineRule="auto"/>
              <w:ind w:left="125" w:right="12" w:firstLine="21"/>
              <w:rPr>
                <w:rFonts w:hint="eastAsia"/>
                <w:highlight w:val="none"/>
                <w:lang w:val="en-US" w:eastAsia="zh-CN"/>
              </w:rPr>
            </w:pPr>
          </w:p>
          <w:p>
            <w:pPr>
              <w:spacing w:before="75" w:line="348" w:lineRule="auto"/>
              <w:ind w:left="125" w:right="12" w:firstLine="21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“浙里建”应用</w:t>
            </w:r>
          </w:p>
          <w:p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3"/>
                <w:szCs w:val="23"/>
                <w:highlight w:val="none"/>
                <w:lang w:val="en-US" w:eastAsia="zh-CN"/>
              </w:rPr>
              <w:t>（100分）</w:t>
            </w:r>
          </w:p>
        </w:tc>
        <w:tc>
          <w:tcPr>
            <w:tcW w:w="6270" w:type="dxa"/>
            <w:noWrap w:val="0"/>
            <w:vAlign w:val="top"/>
          </w:tcPr>
          <w:p>
            <w:pPr>
              <w:spacing w:before="75" w:line="359" w:lineRule="auto"/>
              <w:ind w:left="113" w:right="41" w:firstLine="483"/>
              <w:rPr>
                <w:rFonts w:hint="default" w:ascii="宋体" w:hAnsi="宋体" w:eastAsia="宋体" w:cs="宋体"/>
                <w:spacing w:val="5"/>
                <w:sz w:val="23"/>
                <w:szCs w:val="23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3"/>
                <w:szCs w:val="23"/>
                <w:highlight w:val="none"/>
                <w:lang w:val="en-US" w:eastAsia="zh-CN"/>
              </w:rPr>
              <w:t>实名制管理制度健全，在建工程按规定实行实名制管理。在建工程</w:t>
            </w:r>
            <w:r>
              <w:rPr>
                <w:rFonts w:hint="eastAsia" w:ascii="仿宋_GB2312" w:hAnsi="仿宋_GB2312" w:eastAsia="仿宋_GB2312" w:cs="仿宋_GB2312"/>
                <w:spacing w:val="5"/>
                <w:sz w:val="23"/>
                <w:szCs w:val="23"/>
                <w:highlight w:val="none"/>
                <w:lang w:val="en-US" w:eastAsia="zh-CN"/>
              </w:rPr>
              <w:t>&gt;</w:t>
            </w:r>
            <w:r>
              <w:rPr>
                <w:rFonts w:hint="eastAsia" w:ascii="宋体" w:hAnsi="宋体" w:eastAsia="宋体" w:cs="宋体"/>
                <w:spacing w:val="5"/>
                <w:sz w:val="23"/>
                <w:szCs w:val="23"/>
                <w:highlight w:val="none"/>
                <w:lang w:val="en-US" w:eastAsia="zh-CN"/>
              </w:rPr>
              <w:t>5个的企业随即抽查5个，</w:t>
            </w:r>
            <w:r>
              <w:rPr>
                <w:rFonts w:hint="default" w:ascii="Arial" w:hAnsi="Arial" w:eastAsia="宋体" w:cs="Arial"/>
                <w:spacing w:val="5"/>
                <w:sz w:val="23"/>
                <w:szCs w:val="23"/>
                <w:highlight w:val="none"/>
                <w:lang w:val="en-US" w:eastAsia="zh-CN"/>
              </w:rPr>
              <w:t>≤</w:t>
            </w:r>
            <w:r>
              <w:rPr>
                <w:rFonts w:hint="eastAsia" w:ascii="宋体" w:hAnsi="宋体" w:eastAsia="宋体" w:cs="宋体"/>
                <w:spacing w:val="5"/>
                <w:sz w:val="23"/>
                <w:szCs w:val="23"/>
                <w:highlight w:val="none"/>
                <w:lang w:val="en-US" w:eastAsia="zh-CN"/>
              </w:rPr>
              <w:t>5个在建工程的企业，实名制抽查全覆盖。抽查符合相关要求的工程得20分，满分100分。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spacing w:before="75" w:line="308" w:lineRule="exact"/>
              <w:ind w:left="242"/>
              <w:rPr>
                <w:rFonts w:hint="eastAsia" w:ascii="宋体" w:hAnsi="宋体" w:eastAsia="宋体" w:cs="宋体"/>
                <w:position w:val="1"/>
                <w:sz w:val="23"/>
                <w:szCs w:val="23"/>
                <w:highlight w:val="none"/>
                <w:lang w:val="en-US" w:eastAsia="zh-CN"/>
              </w:rPr>
            </w:pPr>
          </w:p>
          <w:p>
            <w:pPr>
              <w:spacing w:before="75" w:line="308" w:lineRule="exact"/>
              <w:ind w:left="242"/>
              <w:rPr>
                <w:rFonts w:hint="eastAsia" w:ascii="宋体" w:hAnsi="宋体" w:eastAsia="宋体" w:cs="宋体"/>
                <w:position w:val="1"/>
                <w:sz w:val="23"/>
                <w:szCs w:val="23"/>
                <w:highlight w:val="none"/>
                <w:lang w:val="en-US" w:eastAsia="zh-CN"/>
              </w:rPr>
            </w:pPr>
          </w:p>
          <w:p>
            <w:pPr>
              <w:spacing w:before="75" w:line="308" w:lineRule="exact"/>
              <w:ind w:left="242"/>
              <w:rPr>
                <w:rFonts w:hint="default" w:ascii="宋体" w:hAnsi="宋体" w:eastAsia="宋体" w:cs="宋体"/>
                <w:position w:val="1"/>
                <w:sz w:val="23"/>
                <w:szCs w:val="23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1"/>
                <w:sz w:val="23"/>
                <w:szCs w:val="23"/>
                <w:highlight w:val="none"/>
                <w:lang w:val="en-US" w:eastAsia="zh-CN"/>
              </w:rPr>
              <w:t>5%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pacing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0"/>
          <w:sz w:val="28"/>
          <w:szCs w:val="28"/>
          <w:highlight w:val="none"/>
        </w:rPr>
        <w:t>备注：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pacing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0"/>
          <w:sz w:val="28"/>
          <w:szCs w:val="28"/>
        </w:rPr>
        <w:t>1.设综合实力、创新发展、行业影响力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  <w:lang w:eastAsia="zh-CN"/>
        </w:rPr>
        <w:t>、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</w:rPr>
        <w:t>社会贡献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  <w:lang w:val="en-US" w:eastAsia="zh-CN"/>
        </w:rPr>
        <w:t>和数字智治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</w:rPr>
        <w:t>等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</w:rPr>
        <w:t>大项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</w:rPr>
        <w:t>个指标，权重分值分别为30分、1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</w:rPr>
        <w:t>分、35分、20分，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  <w:lang w:val="en-US" w:eastAsia="zh-CN"/>
        </w:rPr>
        <w:t>5分，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</w:rPr>
        <w:t>总分值为100分，按四项指标所得总分进行排序；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pacing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spacing w:val="0"/>
          <w:sz w:val="28"/>
          <w:szCs w:val="28"/>
        </w:rPr>
        <w:t>2.专业承包专业类别企业在行业影响力评价中的工程获奖 (杯)、 工程创标化，参建的按对应分值减半赋分</w:t>
      </w:r>
      <w:r>
        <w:rPr>
          <w:rFonts w:hint="eastAsia" w:ascii="仿宋_GB2312" w:hAnsi="仿宋_GB2312" w:eastAsia="仿宋_GB2312" w:cs="仿宋_GB2312"/>
          <w:spacing w:val="0"/>
          <w:sz w:val="28"/>
          <w:szCs w:val="28"/>
          <w:lang w:eastAsia="zh-CN"/>
        </w:rPr>
        <w:t>。</w:t>
      </w:r>
    </w:p>
    <w:sectPr>
      <w:headerReference r:id="rId3" w:type="default"/>
      <w:footerReference r:id="rId4" w:type="default"/>
      <w:pgSz w:w="11906" w:h="16838"/>
      <w:pgMar w:top="1440" w:right="1417" w:bottom="1440" w:left="141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zYWJjNGI0MTRkOTBmOTQwY2RkYTdmNzY0OWIwM2MifQ=="/>
  </w:docVars>
  <w:rsids>
    <w:rsidRoot w:val="55EE1136"/>
    <w:rsid w:val="00D135F6"/>
    <w:rsid w:val="014718A9"/>
    <w:rsid w:val="022E58A2"/>
    <w:rsid w:val="02B60407"/>
    <w:rsid w:val="02B71800"/>
    <w:rsid w:val="035D1004"/>
    <w:rsid w:val="03E17ACE"/>
    <w:rsid w:val="04657E92"/>
    <w:rsid w:val="0493221C"/>
    <w:rsid w:val="050A2CDC"/>
    <w:rsid w:val="063B40FF"/>
    <w:rsid w:val="06CC3760"/>
    <w:rsid w:val="06FC5086"/>
    <w:rsid w:val="08CA2B92"/>
    <w:rsid w:val="08FA1C05"/>
    <w:rsid w:val="09971BCD"/>
    <w:rsid w:val="0A441134"/>
    <w:rsid w:val="0BF75658"/>
    <w:rsid w:val="0D9D60A5"/>
    <w:rsid w:val="0DB471CF"/>
    <w:rsid w:val="0EB71A0C"/>
    <w:rsid w:val="10571228"/>
    <w:rsid w:val="10654876"/>
    <w:rsid w:val="112E344E"/>
    <w:rsid w:val="118D5BD8"/>
    <w:rsid w:val="11BF42D3"/>
    <w:rsid w:val="12B27056"/>
    <w:rsid w:val="14776F17"/>
    <w:rsid w:val="156469AB"/>
    <w:rsid w:val="15BE79D1"/>
    <w:rsid w:val="177D252B"/>
    <w:rsid w:val="182F0476"/>
    <w:rsid w:val="18A32742"/>
    <w:rsid w:val="195B1626"/>
    <w:rsid w:val="1AA3774F"/>
    <w:rsid w:val="1AFC03F1"/>
    <w:rsid w:val="1C500902"/>
    <w:rsid w:val="1C9B1299"/>
    <w:rsid w:val="1D0C25FE"/>
    <w:rsid w:val="1DED5176"/>
    <w:rsid w:val="1E611CBD"/>
    <w:rsid w:val="1E6858C5"/>
    <w:rsid w:val="1E7C19F2"/>
    <w:rsid w:val="1FAE05F8"/>
    <w:rsid w:val="1FCC30B0"/>
    <w:rsid w:val="1FDC637F"/>
    <w:rsid w:val="20EB2298"/>
    <w:rsid w:val="20FB1F62"/>
    <w:rsid w:val="2247263B"/>
    <w:rsid w:val="22F7422B"/>
    <w:rsid w:val="2487284C"/>
    <w:rsid w:val="24B20CA5"/>
    <w:rsid w:val="25933F29"/>
    <w:rsid w:val="25A73866"/>
    <w:rsid w:val="25D04762"/>
    <w:rsid w:val="28447331"/>
    <w:rsid w:val="2C600FCC"/>
    <w:rsid w:val="2C717C04"/>
    <w:rsid w:val="2DD24C53"/>
    <w:rsid w:val="2E96182E"/>
    <w:rsid w:val="2EC67299"/>
    <w:rsid w:val="2FA72360"/>
    <w:rsid w:val="311E2CE8"/>
    <w:rsid w:val="312E240B"/>
    <w:rsid w:val="317F50FC"/>
    <w:rsid w:val="31AE7956"/>
    <w:rsid w:val="31BF4CD3"/>
    <w:rsid w:val="32090FEA"/>
    <w:rsid w:val="325F62B1"/>
    <w:rsid w:val="33C31B3D"/>
    <w:rsid w:val="33EA3588"/>
    <w:rsid w:val="34FC5BC6"/>
    <w:rsid w:val="35363B48"/>
    <w:rsid w:val="36161695"/>
    <w:rsid w:val="365C29B3"/>
    <w:rsid w:val="36C36813"/>
    <w:rsid w:val="373363E3"/>
    <w:rsid w:val="392A6F89"/>
    <w:rsid w:val="39937800"/>
    <w:rsid w:val="3A14148B"/>
    <w:rsid w:val="3A3E22C2"/>
    <w:rsid w:val="3A660320"/>
    <w:rsid w:val="3AA277FC"/>
    <w:rsid w:val="3C63668B"/>
    <w:rsid w:val="3CB91B42"/>
    <w:rsid w:val="3CF54C20"/>
    <w:rsid w:val="3E0A0609"/>
    <w:rsid w:val="3E4F21A1"/>
    <w:rsid w:val="411B2679"/>
    <w:rsid w:val="41CD029A"/>
    <w:rsid w:val="423174C2"/>
    <w:rsid w:val="42D142E3"/>
    <w:rsid w:val="42FC3400"/>
    <w:rsid w:val="43742901"/>
    <w:rsid w:val="43936CF9"/>
    <w:rsid w:val="43D16ADC"/>
    <w:rsid w:val="446C042F"/>
    <w:rsid w:val="446D227C"/>
    <w:rsid w:val="45467141"/>
    <w:rsid w:val="455C2AB0"/>
    <w:rsid w:val="4970072C"/>
    <w:rsid w:val="4A6A4BD1"/>
    <w:rsid w:val="4AB46991"/>
    <w:rsid w:val="4B650141"/>
    <w:rsid w:val="4BD24003"/>
    <w:rsid w:val="4CF21829"/>
    <w:rsid w:val="4E0430AD"/>
    <w:rsid w:val="4E6960E0"/>
    <w:rsid w:val="4EFE2908"/>
    <w:rsid w:val="4F531AFF"/>
    <w:rsid w:val="50303574"/>
    <w:rsid w:val="50520B75"/>
    <w:rsid w:val="50F14046"/>
    <w:rsid w:val="51493D98"/>
    <w:rsid w:val="5165062E"/>
    <w:rsid w:val="517E05ED"/>
    <w:rsid w:val="51963196"/>
    <w:rsid w:val="51BF207B"/>
    <w:rsid w:val="52913481"/>
    <w:rsid w:val="52D555A4"/>
    <w:rsid w:val="53186CF3"/>
    <w:rsid w:val="55A8246D"/>
    <w:rsid w:val="55B8676B"/>
    <w:rsid w:val="55EE1136"/>
    <w:rsid w:val="56B443A0"/>
    <w:rsid w:val="56E54221"/>
    <w:rsid w:val="58100BD2"/>
    <w:rsid w:val="59126886"/>
    <w:rsid w:val="597837E7"/>
    <w:rsid w:val="5A5C29B8"/>
    <w:rsid w:val="5A701915"/>
    <w:rsid w:val="5A9B0D21"/>
    <w:rsid w:val="5AFB5A8F"/>
    <w:rsid w:val="5AFE31EA"/>
    <w:rsid w:val="5B7F090F"/>
    <w:rsid w:val="5C7E506A"/>
    <w:rsid w:val="5D952079"/>
    <w:rsid w:val="5E19502E"/>
    <w:rsid w:val="5EAE6F67"/>
    <w:rsid w:val="5ED857E6"/>
    <w:rsid w:val="60C322BC"/>
    <w:rsid w:val="624A4C90"/>
    <w:rsid w:val="62B3681A"/>
    <w:rsid w:val="63ED2399"/>
    <w:rsid w:val="64870604"/>
    <w:rsid w:val="654F4524"/>
    <w:rsid w:val="656C5B97"/>
    <w:rsid w:val="65B4602B"/>
    <w:rsid w:val="66655C93"/>
    <w:rsid w:val="66720786"/>
    <w:rsid w:val="67056327"/>
    <w:rsid w:val="677B1641"/>
    <w:rsid w:val="68E96D55"/>
    <w:rsid w:val="693A299D"/>
    <w:rsid w:val="6CC81EAD"/>
    <w:rsid w:val="6E3E5456"/>
    <w:rsid w:val="6EE15A74"/>
    <w:rsid w:val="6FEB6935"/>
    <w:rsid w:val="709A40DF"/>
    <w:rsid w:val="713B0EDE"/>
    <w:rsid w:val="71885832"/>
    <w:rsid w:val="71E148C7"/>
    <w:rsid w:val="724B2E1E"/>
    <w:rsid w:val="73B80C7F"/>
    <w:rsid w:val="743400C6"/>
    <w:rsid w:val="74913F2A"/>
    <w:rsid w:val="76CC705C"/>
    <w:rsid w:val="771730C0"/>
    <w:rsid w:val="77660CD1"/>
    <w:rsid w:val="776C496B"/>
    <w:rsid w:val="78C41C58"/>
    <w:rsid w:val="793C09BA"/>
    <w:rsid w:val="795711D9"/>
    <w:rsid w:val="795E00EA"/>
    <w:rsid w:val="797647AE"/>
    <w:rsid w:val="79B54FC2"/>
    <w:rsid w:val="79CC4873"/>
    <w:rsid w:val="7A8A4653"/>
    <w:rsid w:val="7B403424"/>
    <w:rsid w:val="7C45243F"/>
    <w:rsid w:val="7D625DE2"/>
    <w:rsid w:val="7D8C2DC8"/>
    <w:rsid w:val="7E2E7AEC"/>
    <w:rsid w:val="7E9C2085"/>
    <w:rsid w:val="7F13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left="0" w:leftChars="0" w:firstLine="420"/>
    </w:pPr>
    <w:rPr>
      <w:rFonts w:ascii="仿宋_GB2312" w:eastAsia="仿宋_GB2312" w:cs="仿宋_GB2312"/>
      <w:sz w:val="32"/>
      <w:szCs w:val="32"/>
    </w:rPr>
  </w:style>
  <w:style w:type="paragraph" w:styleId="3">
    <w:name w:val="Body Text Indent"/>
    <w:basedOn w:val="1"/>
    <w:unhideWhenUsed/>
    <w:qFormat/>
    <w:uiPriority w:val="99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2934</Words>
  <Characters>3059</Characters>
  <Lines>0</Lines>
  <Paragraphs>0</Paragraphs>
  <TotalTime>4</TotalTime>
  <ScaleCrop>false</ScaleCrop>
  <LinksUpToDate>false</LinksUpToDate>
  <CharactersWithSpaces>3202</CharactersWithSpaces>
  <Application>WPS Office_11.8.2.8876_F1E327BC-269C-435d-A152-05C5408002CA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2023-03-14T06:50:00Z</dcterms:created>
  <dc:creator>张旭飞</dc:creator>
  <cp:lastModifiedBy>Administrator</cp:lastModifiedBy>
  <dcterms:modified xsi:type="dcterms:W3CDTF">2023-03-15T02:36:01Z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2052-11.8.2.8876</vt:lpwstr>
  </property>
  <property fmtid="{D5CDD505-2E9C-101B-9397-08002B2CF9AE}" pid="3" name="ICV">
    <vt:lpwstr>DB3F1AA186C74C638200DEF7B44FA62E</vt:lpwstr>
  </property>
</Properties>
</file>