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b/>
          <w:bCs/>
          <w:color w:val="auto"/>
          <w:sz w:val="36"/>
          <w:szCs w:val="36"/>
          <w:u w:val="none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/>
        </w:rPr>
        <w:t>附件</w:t>
      </w:r>
    </w:p>
    <w:p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left="0" w:leftChars="0" w:right="0" w:rightChars="0"/>
        <w:jc w:val="center"/>
        <w:textAlignment w:val="auto"/>
        <w:outlineLvl w:val="9"/>
        <w:rPr>
          <w:rFonts w:hint="eastAsia" w:ascii="宋体" w:hAnsi="宋体" w:eastAsia="宋体" w:cs="宋体"/>
          <w:b/>
          <w:bCs/>
          <w:color w:val="auto"/>
          <w:sz w:val="36"/>
          <w:szCs w:val="36"/>
          <w:u w:val="none"/>
        </w:rPr>
      </w:pPr>
      <w:bookmarkStart w:id="0" w:name="_GoBack"/>
      <w:r>
        <w:rPr>
          <w:rFonts w:hint="eastAsia" w:ascii="宋体" w:hAnsi="宋体" w:eastAsia="宋体" w:cs="宋体"/>
          <w:b/>
          <w:bCs/>
          <w:color w:val="auto"/>
          <w:sz w:val="36"/>
          <w:szCs w:val="36"/>
          <w:u w:val="none"/>
        </w:rPr>
        <w:t>温州市建筑</w:t>
      </w:r>
      <w:r>
        <w:rPr>
          <w:rFonts w:hint="eastAsia" w:ascii="宋体" w:hAnsi="宋体" w:eastAsia="宋体" w:cs="宋体"/>
          <w:b/>
          <w:bCs/>
          <w:color w:val="auto"/>
          <w:sz w:val="36"/>
          <w:szCs w:val="36"/>
          <w:u w:val="none"/>
          <w:lang w:eastAsia="zh-CN"/>
        </w:rPr>
        <w:t>产业现代化示范</w:t>
      </w:r>
      <w:r>
        <w:rPr>
          <w:rFonts w:hint="eastAsia" w:ascii="宋体" w:hAnsi="宋体" w:eastAsia="宋体" w:cs="宋体"/>
          <w:b/>
          <w:bCs/>
          <w:color w:val="auto"/>
          <w:sz w:val="36"/>
          <w:szCs w:val="36"/>
          <w:u w:val="none"/>
        </w:rPr>
        <w:t>企业评分标准</w:t>
      </w:r>
    </w:p>
    <w:bookmarkEnd w:id="0"/>
    <w:p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left="0" w:leftChars="0"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color w:val="auto"/>
          <w:sz w:val="36"/>
          <w:szCs w:val="36"/>
          <w:u w:val="none"/>
        </w:rPr>
      </w:pPr>
    </w:p>
    <w:tbl>
      <w:tblPr>
        <w:tblStyle w:val="6"/>
        <w:tblW w:w="95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487"/>
        <w:gridCol w:w="1242"/>
        <w:gridCol w:w="6273"/>
        <w:gridCol w:w="8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71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u w:val="none"/>
                <w:vertAlign w:val="baseline"/>
                <w:lang w:eastAsia="zh-CN"/>
              </w:rPr>
              <w:t>项目</w:t>
            </w:r>
          </w:p>
        </w:tc>
        <w:tc>
          <w:tcPr>
            <w:tcW w:w="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u w:val="none"/>
                <w:vertAlign w:val="baseline"/>
                <w:lang w:eastAsia="zh-CN"/>
              </w:rPr>
              <w:t>序号</w:t>
            </w:r>
          </w:p>
        </w:tc>
        <w:tc>
          <w:tcPr>
            <w:tcW w:w="12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u w:val="none"/>
                <w:vertAlign w:val="baseline"/>
                <w:lang w:eastAsia="zh-CN"/>
              </w:rPr>
              <w:t>评价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u w:val="none"/>
                <w:vertAlign w:val="baseline"/>
                <w:lang w:eastAsia="zh-CN"/>
              </w:rPr>
              <w:t>指标</w:t>
            </w:r>
          </w:p>
        </w:tc>
        <w:tc>
          <w:tcPr>
            <w:tcW w:w="62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u w:val="none"/>
                <w:vertAlign w:val="baseline"/>
                <w:lang w:eastAsia="zh-CN"/>
              </w:rPr>
              <w:t>赋分规则</w:t>
            </w:r>
          </w:p>
        </w:tc>
        <w:tc>
          <w:tcPr>
            <w:tcW w:w="82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u w:val="none"/>
                <w:vertAlign w:val="baseline"/>
                <w:lang w:eastAsia="zh-CN"/>
              </w:rPr>
              <w:t>权重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u w:val="none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u w:val="none"/>
                <w:vertAlign w:val="baseline"/>
                <w:lang w:eastAsia="zh-CN"/>
              </w:rPr>
              <w:t>分值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718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综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合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实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力</w:t>
            </w:r>
          </w:p>
        </w:tc>
        <w:tc>
          <w:tcPr>
            <w:tcW w:w="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12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</w:rPr>
              <w:t>建筑业产值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</w:rPr>
              <w:t>（100分）</w:t>
            </w:r>
          </w:p>
        </w:tc>
        <w:tc>
          <w:tcPr>
            <w:tcW w:w="62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right="0" w:rightChars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 xml:space="preserve">  前一年度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</w:rPr>
              <w:t>建筑业产值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按市统计局提供数据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排名，第1名得100分，第2名得99分，以此类推，100名以后不得分。</w:t>
            </w:r>
          </w:p>
        </w:tc>
        <w:tc>
          <w:tcPr>
            <w:tcW w:w="82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20%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718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12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lang w:val="en-US" w:eastAsia="zh-CN"/>
              </w:rPr>
              <w:t>人才储备</w:t>
            </w:r>
          </w:p>
          <w:p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</w:rPr>
              <w:t>（100分）</w:t>
            </w:r>
          </w:p>
        </w:tc>
        <w:tc>
          <w:tcPr>
            <w:tcW w:w="62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申报时企业一级注册建造师一人赋2分，二级注册建造师一人赋1分；其他国家注册类执业证书的一人赋2分。(同一人具备多项执业资格的按一人赋分)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按上述赋分排名，第1名得100分，第2名得99分，以此类推，100名以后不得分。</w:t>
            </w:r>
          </w:p>
        </w:tc>
        <w:tc>
          <w:tcPr>
            <w:tcW w:w="82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10%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71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创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展</w:t>
            </w:r>
          </w:p>
        </w:tc>
        <w:tc>
          <w:tcPr>
            <w:tcW w:w="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12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lang w:val="en-US" w:eastAsia="zh-CN"/>
              </w:rPr>
              <w:t>创新成效</w:t>
            </w:r>
          </w:p>
          <w:p>
            <w:pPr>
              <w:pStyle w:val="2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</w:rPr>
              <w:t>（100分）</w:t>
            </w:r>
          </w:p>
        </w:tc>
        <w:tc>
          <w:tcPr>
            <w:tcW w:w="62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前两年度年获得中国质量奖及提名奖的分别加8分、6分，获得浙江省政府质量奖、浙江省质量管理创新奖分别加6分、4分，获得温州市市长质量奖、温州市质量管理创新奖的分别加4分、2分；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企业具备国家、省级、市级高新技术企业称号，分别加8分、6分、4分；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企业具备国家、省级、市级企业技术中心分别加8分、6分、4分；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“专精特新”企业加6分。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以上按获得最高加分项给予计分，按上述赋分排名，第1名得100分，第2名得99分，以此类推，100名以后不得分。</w:t>
            </w:r>
          </w:p>
        </w:tc>
        <w:tc>
          <w:tcPr>
            <w:tcW w:w="82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15%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718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行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影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响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力</w:t>
            </w:r>
          </w:p>
        </w:tc>
        <w:tc>
          <w:tcPr>
            <w:tcW w:w="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12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lang w:val="en-US" w:eastAsia="zh-CN"/>
              </w:rPr>
              <w:t>工程获奖（杯）</w:t>
            </w:r>
          </w:p>
          <w:p>
            <w:pPr>
              <w:pStyle w:val="2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</w:rPr>
              <w:t>（100分）</w:t>
            </w:r>
          </w:p>
        </w:tc>
        <w:tc>
          <w:tcPr>
            <w:tcW w:w="62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前两年度获得鲁班奖、詹天佑奖、国家优质工程金奖赋10分；获得国家、省级、市级、县级工程质量奖分别赋8分、6分、4分、2分。（市外工程项目县级工程质量奖不予赋分）。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同一工程或项目获同一类别项赋分的按最高赋分计一次，按上述赋分排名，第1名得100分，第2名得99分，以此类推，100名以后不得分。</w:t>
            </w:r>
          </w:p>
        </w:tc>
        <w:tc>
          <w:tcPr>
            <w:tcW w:w="82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15%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718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12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lang w:val="en-US" w:eastAsia="zh-CN"/>
              </w:rPr>
              <w:t>工程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lang w:val="en-US" w:eastAsia="zh-CN"/>
              </w:rPr>
              <w:t>创标化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</w:rPr>
              <w:t>（100分）</w:t>
            </w:r>
          </w:p>
        </w:tc>
        <w:tc>
          <w:tcPr>
            <w:tcW w:w="62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前两年度获得国家、省级、市级安全文明施工标准化优良示范工地分别赋6分、4分、2分。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同一工程或项目获同一类别项赋分的按最高赋分计一次，按上述赋分排名，第1名得100分，第2名得99分，以此类推，100名以后不得分。</w:t>
            </w:r>
          </w:p>
        </w:tc>
        <w:tc>
          <w:tcPr>
            <w:tcW w:w="82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10%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718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</w:p>
        </w:tc>
        <w:tc>
          <w:tcPr>
            <w:tcW w:w="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6</w:t>
            </w:r>
          </w:p>
        </w:tc>
        <w:tc>
          <w:tcPr>
            <w:tcW w:w="12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lang w:val="en-US" w:eastAsia="zh-CN"/>
              </w:rPr>
              <w:t>建筑工业化示范基地</w:t>
            </w:r>
          </w:p>
          <w:p>
            <w:pPr>
              <w:pStyle w:val="2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</w:rPr>
              <w:t>（100分）</w:t>
            </w:r>
          </w:p>
        </w:tc>
        <w:tc>
          <w:tcPr>
            <w:tcW w:w="62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前两年度获得国家、省级、市级、县级建筑工业化示范基地分别赋8分、6分、4分、2分。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同一工程或项目获同一类别项赋分的按最高赋分计一次，按上述赋分排名，第1名得100分，第2名得99分，以此类推，100名以后不得分。</w:t>
            </w:r>
          </w:p>
        </w:tc>
        <w:tc>
          <w:tcPr>
            <w:tcW w:w="82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10%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71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社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贡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献</w:t>
            </w:r>
          </w:p>
        </w:tc>
        <w:tc>
          <w:tcPr>
            <w:tcW w:w="48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vertAlign w:val="baseline"/>
                <w:lang w:val="en-US" w:eastAsia="zh-CN"/>
              </w:rPr>
              <w:t>7</w:t>
            </w:r>
          </w:p>
        </w:tc>
        <w:tc>
          <w:tcPr>
            <w:tcW w:w="12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lang w:val="en-US" w:eastAsia="zh-CN"/>
              </w:rPr>
              <w:t>纳税总额</w:t>
            </w:r>
          </w:p>
          <w:p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</w:rPr>
              <w:t>（100分）</w:t>
            </w:r>
          </w:p>
        </w:tc>
        <w:tc>
          <w:tcPr>
            <w:tcW w:w="627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0" w:leftChars="0"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前一年度企业纳税总额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按市税务局提供数据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u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排名，第1名得100分，第2名得99分，以此类推，100名以后不得分。</w:t>
            </w:r>
          </w:p>
        </w:tc>
        <w:tc>
          <w:tcPr>
            <w:tcW w:w="82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u w:val="none"/>
                <w:lang w:val="en-US" w:eastAsia="zh-CN" w:bidi="ar-SA"/>
              </w:rPr>
              <w:t>20%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color w:val="auto"/>
          <w:sz w:val="24"/>
          <w:szCs w:val="24"/>
          <w:u w:val="none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u w:val="none"/>
          <w:lang w:eastAsia="zh-CN"/>
        </w:rPr>
        <w:t>备注：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textAlignment w:val="auto"/>
        <w:rPr>
          <w:rFonts w:hint="eastAsia" w:ascii="宋体" w:hAnsi="宋体" w:eastAsia="宋体" w:cs="宋体"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u w:val="none"/>
          <w:lang w:val="en-US" w:eastAsia="zh-CN"/>
        </w:rPr>
        <w:t>设综合实力、创新发展、行业影响力和社会贡献等4大项7个指标，权重分值分别为</w:t>
      </w:r>
      <w:r>
        <w:rPr>
          <w:rFonts w:hint="eastAsia" w:ascii="宋体" w:hAnsi="宋体" w:cs="宋体"/>
          <w:color w:val="auto"/>
          <w:sz w:val="28"/>
          <w:szCs w:val="28"/>
          <w:u w:val="none"/>
          <w:lang w:val="en-US" w:eastAsia="zh-CN"/>
        </w:rPr>
        <w:t>30</w:t>
      </w:r>
      <w:r>
        <w:rPr>
          <w:rFonts w:hint="eastAsia" w:ascii="宋体" w:hAnsi="宋体" w:eastAsia="宋体" w:cs="宋体"/>
          <w:color w:val="auto"/>
          <w:sz w:val="28"/>
          <w:szCs w:val="28"/>
          <w:u w:val="none"/>
          <w:lang w:val="en-US" w:eastAsia="zh-CN"/>
        </w:rPr>
        <w:t>分、</w:t>
      </w:r>
      <w:r>
        <w:rPr>
          <w:rFonts w:hint="eastAsia" w:ascii="宋体" w:hAnsi="宋体" w:cs="宋体"/>
          <w:color w:val="auto"/>
          <w:sz w:val="28"/>
          <w:szCs w:val="28"/>
          <w:u w:val="none"/>
          <w:lang w:val="en-US" w:eastAsia="zh-CN"/>
        </w:rPr>
        <w:t>1</w:t>
      </w:r>
      <w:r>
        <w:rPr>
          <w:rFonts w:hint="eastAsia" w:ascii="宋体" w:hAnsi="宋体" w:eastAsia="宋体" w:cs="宋体"/>
          <w:color w:val="auto"/>
          <w:sz w:val="28"/>
          <w:szCs w:val="28"/>
          <w:u w:val="none"/>
          <w:lang w:val="en-US" w:eastAsia="zh-CN"/>
        </w:rPr>
        <w:t>5分、35分、20分，总分值为100分，按四项指标所得总分进行排序；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textAlignment w:val="auto"/>
        <w:rPr>
          <w:rFonts w:hint="eastAsia" w:ascii="宋体" w:hAnsi="宋体" w:eastAsia="宋体" w:cs="宋体"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u w:val="none"/>
          <w:lang w:val="en-US" w:eastAsia="zh-CN"/>
        </w:rPr>
        <w:t>专业承包专业类别企业在行业影响力评价中的工程获奖（杯）、工程创标化，参建的按对应分值减半赋分；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560" w:firstLineChars="200"/>
        <w:textAlignment w:val="auto"/>
        <w:rPr>
          <w:rFonts w:hint="eastAsia" w:ascii="宋体" w:hAnsi="宋体" w:eastAsia="宋体" w:cs="宋体"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u w:val="none"/>
          <w:lang w:val="en-US" w:eastAsia="zh-CN"/>
        </w:rPr>
        <w:t>交通、水利行业主管部门可参照本细则制定交通、水利专业类别评定标准。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2010601030101010101"/>
    <w:charset w:val="86"/>
    <w:family w:val="script"/>
    <w:pitch w:val="default"/>
    <w:sig w:usb0="00000000" w:usb1="00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3A1582"/>
    <w:multiLevelType w:val="singleLevel"/>
    <w:tmpl w:val="1C3A158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20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next w:val="1"/>
    <w:qFormat/>
    <w:uiPriority w:val="0"/>
    <w:pPr>
      <w:ind w:firstLine="420" w:firstLineChars="100"/>
    </w:pPr>
    <w:rPr>
      <w:rFonts w:ascii="仿宋_GB2312" w:hAnsi="仿宋_GB2312" w:cs="仿宋_GB2312"/>
    </w:rPr>
  </w:style>
  <w:style w:type="paragraph" w:styleId="3">
    <w:name w:val="Body Text"/>
    <w:basedOn w:val="1"/>
    <w:next w:val="1"/>
    <w:qFormat/>
    <w:uiPriority w:val="0"/>
    <w:pPr>
      <w:spacing w:after="120" w:afterLines="0"/>
    </w:pPr>
  </w:style>
  <w:style w:type="paragraph" w:styleId="4">
    <w:name w:val="Normal Indent"/>
    <w:basedOn w:val="1"/>
    <w:qFormat/>
    <w:uiPriority w:val="0"/>
    <w:pPr>
      <w:ind w:firstLine="420" w:firstLineChars="200"/>
    </w:pPr>
    <w:rPr>
      <w:rFonts w:ascii="Times New Roman" w:hAnsi="Times New Roman" w:eastAsia="仿宋"/>
    </w:rPr>
  </w:style>
  <w:style w:type="table" w:styleId="6">
    <w:name w:val="Table Grid"/>
    <w:basedOn w:val="5"/>
    <w:qFormat/>
    <w:uiPriority w:val="39"/>
    <w:rPr>
      <w:rFonts w:ascii="Calibri" w:hAnsi="Calibri" w:eastAsia="宋体" w:cs="Times New Roman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公文抬头"/>
    <w:basedOn w:val="4"/>
    <w:qFormat/>
    <w:uiPriority w:val="0"/>
    <w:pPr>
      <w:ind w:firstLine="0" w:firstLineChars="0"/>
    </w:pPr>
    <w:rPr>
      <w:rFonts w:ascii="仿宋_GB2312" w:hAnsi="Wingdings" w:eastAsia="仿宋_GB2312"/>
      <w:sz w:val="3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Office_11.8.2.9015_F1E327BC-269C-435d-A152-05C5408002CA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2022-11-17T08:11:26Z</dcterms:created>
  <dc:creator>Administrator</dc:creator>
  <cp:lastModifiedBy>Administrator</cp:lastModifiedBy>
  <dcterms:modified xsi:type="dcterms:W3CDTF">2022-11-17T08:12:28Z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2052-11.8.2.9015</vt:lpwstr>
  </property>
</Properties>
</file>