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pacing w:val="-4"/>
          <w:sz w:val="44"/>
          <w:szCs w:val="21"/>
        </w:rPr>
      </w:pPr>
      <w:r>
        <w:rPr>
          <w:rFonts w:hint="eastAsia" w:ascii="黑体" w:hAnsi="黑体" w:eastAsia="黑体"/>
          <w:spacing w:val="-4"/>
          <w:sz w:val="44"/>
          <w:szCs w:val="21"/>
        </w:rPr>
        <w:t>丽水市林业局主动公开政府信息基本目录说明</w:t>
      </w:r>
    </w:p>
    <w:tbl>
      <w:tblPr>
        <w:tblStyle w:val="5"/>
        <w:tblpPr w:leftFromText="180" w:rightFromText="180" w:vertAnchor="text" w:horzAnchor="page" w:tblpX="636" w:tblpY="1098"/>
        <w:tblW w:w="161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652"/>
        <w:gridCol w:w="919"/>
        <w:gridCol w:w="2464"/>
        <w:gridCol w:w="6750"/>
        <w:gridCol w:w="1500"/>
        <w:gridCol w:w="1635"/>
        <w:gridCol w:w="16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97" w:type="dxa"/>
            <w:vAlign w:val="center"/>
          </w:tcPr>
          <w:p>
            <w:pPr>
              <w:spacing w:line="260" w:lineRule="exact"/>
              <w:jc w:val="center"/>
              <w:rPr>
                <w:rFonts w:ascii="黑体" w:eastAsia="黑体"/>
                <w:spacing w:val="-4"/>
                <w:sz w:val="24"/>
              </w:rPr>
            </w:pPr>
            <w:r>
              <w:rPr>
                <w:rFonts w:hint="eastAsia" w:ascii="黑体" w:eastAsia="黑体"/>
                <w:spacing w:val="-4"/>
                <w:sz w:val="24"/>
              </w:rPr>
              <w:t>序号</w:t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line="260" w:lineRule="exact"/>
              <w:jc w:val="center"/>
              <w:rPr>
                <w:rFonts w:ascii="黑体" w:eastAsia="黑体"/>
                <w:spacing w:val="-4"/>
                <w:sz w:val="24"/>
              </w:rPr>
            </w:pPr>
            <w:r>
              <w:rPr>
                <w:rFonts w:hint="eastAsia" w:ascii="黑体" w:eastAsia="黑体"/>
                <w:spacing w:val="-4"/>
                <w:sz w:val="24"/>
              </w:rPr>
              <w:t>类　　别</w:t>
            </w:r>
          </w:p>
        </w:tc>
        <w:tc>
          <w:tcPr>
            <w:tcW w:w="2464" w:type="dxa"/>
            <w:vAlign w:val="center"/>
          </w:tcPr>
          <w:p>
            <w:pPr>
              <w:spacing w:line="260" w:lineRule="exact"/>
              <w:jc w:val="center"/>
              <w:rPr>
                <w:rFonts w:ascii="黑体" w:eastAsia="黑体"/>
                <w:spacing w:val="-4"/>
                <w:sz w:val="24"/>
              </w:rPr>
            </w:pPr>
            <w:r>
              <w:rPr>
                <w:rFonts w:hint="eastAsia" w:ascii="黑体" w:eastAsia="黑体"/>
                <w:spacing w:val="-4"/>
                <w:sz w:val="24"/>
              </w:rPr>
              <w:t>公开内容</w:t>
            </w:r>
          </w:p>
        </w:tc>
        <w:tc>
          <w:tcPr>
            <w:tcW w:w="6750" w:type="dxa"/>
            <w:vAlign w:val="center"/>
          </w:tcPr>
          <w:p>
            <w:pPr>
              <w:spacing w:line="260" w:lineRule="exact"/>
              <w:jc w:val="center"/>
              <w:rPr>
                <w:rFonts w:ascii="黑体" w:eastAsia="黑体"/>
                <w:spacing w:val="-4"/>
                <w:sz w:val="24"/>
              </w:rPr>
            </w:pPr>
            <w:r>
              <w:rPr>
                <w:rFonts w:hint="eastAsia" w:ascii="黑体" w:eastAsia="黑体"/>
                <w:spacing w:val="-4"/>
                <w:sz w:val="24"/>
              </w:rPr>
              <w:t>公开形式</w:t>
            </w:r>
          </w:p>
        </w:tc>
        <w:tc>
          <w:tcPr>
            <w:tcW w:w="1500" w:type="dxa"/>
            <w:vAlign w:val="center"/>
          </w:tcPr>
          <w:p>
            <w:pPr>
              <w:spacing w:line="260" w:lineRule="exact"/>
              <w:jc w:val="center"/>
              <w:rPr>
                <w:rFonts w:ascii="黑体" w:eastAsia="黑体"/>
                <w:spacing w:val="-4"/>
                <w:sz w:val="24"/>
              </w:rPr>
            </w:pPr>
            <w:r>
              <w:rPr>
                <w:rFonts w:hint="eastAsia" w:ascii="黑体" w:eastAsia="黑体"/>
                <w:spacing w:val="-4"/>
                <w:sz w:val="24"/>
              </w:rPr>
              <w:t>公开时限</w:t>
            </w:r>
          </w:p>
        </w:tc>
        <w:tc>
          <w:tcPr>
            <w:tcW w:w="1635" w:type="dxa"/>
            <w:vAlign w:val="center"/>
          </w:tcPr>
          <w:p>
            <w:pPr>
              <w:spacing w:line="260" w:lineRule="exact"/>
              <w:jc w:val="center"/>
              <w:rPr>
                <w:rFonts w:hint="eastAsia" w:ascii="黑体" w:eastAsia="黑体"/>
                <w:spacing w:val="-4"/>
                <w:sz w:val="24"/>
                <w:lang w:eastAsia="zh-CN"/>
              </w:rPr>
            </w:pPr>
            <w:r>
              <w:rPr>
                <w:rFonts w:hint="eastAsia" w:ascii="黑体" w:eastAsia="黑体"/>
                <w:spacing w:val="-4"/>
                <w:sz w:val="24"/>
                <w:lang w:eastAsia="zh-CN"/>
              </w:rPr>
              <w:t>公开渠道</w:t>
            </w:r>
          </w:p>
        </w:tc>
        <w:tc>
          <w:tcPr>
            <w:tcW w:w="1635" w:type="dxa"/>
            <w:vAlign w:val="center"/>
          </w:tcPr>
          <w:p>
            <w:pPr>
              <w:spacing w:line="260" w:lineRule="exact"/>
              <w:jc w:val="center"/>
              <w:rPr>
                <w:rFonts w:hint="eastAsia" w:ascii="黑体" w:eastAsia="黑体"/>
                <w:spacing w:val="-4"/>
                <w:sz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咨询及监督举报电话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6" w:hRule="atLeast"/>
        </w:trPr>
        <w:tc>
          <w:tcPr>
            <w:tcW w:w="597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652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组织机构</w:t>
            </w:r>
          </w:p>
        </w:tc>
        <w:tc>
          <w:tcPr>
            <w:tcW w:w="919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机构设置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1.内设处室和下设机构、工作职责、办公地址、联系电话等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  <w:r>
              <w:t xml:space="preserve">  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http://www.lishui.gov.cn/zwgk/zwxxgk/002645312/01/nsjg/</w:t>
            </w:r>
          </w:p>
        </w:tc>
        <w:tc>
          <w:tcPr>
            <w:tcW w:w="1500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信息形成或变更后3个工作日内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spacing w:line="320" w:lineRule="exact"/>
              <w:jc w:val="center"/>
              <w:rPr>
                <w:rFonts w:hint="default" w:ascii="仿宋_GB2312" w:eastAsia="黑体"/>
                <w:spacing w:val="-4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咨询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0578-2188937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监督举报电话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0578-2178937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领导分工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2.局领导姓名、职务、分工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http://www.lishui.gov.cn/zwgk/zwxxgk/002645312/01/ldfg/</w:t>
            </w:r>
          </w:p>
        </w:tc>
        <w:tc>
          <w:tcPr>
            <w:tcW w:w="150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0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工作规则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3.市林业局工作规则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http://www.lishui.gov.cn/zwgk/zwxxgk/002645312/01/znjs_1/</w:t>
            </w:r>
          </w:p>
        </w:tc>
        <w:tc>
          <w:tcPr>
            <w:tcW w:w="150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0" w:hRule="atLeast"/>
        </w:trPr>
        <w:tc>
          <w:tcPr>
            <w:tcW w:w="597" w:type="dxa"/>
            <w:vMerge w:val="restart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652" w:type="dxa"/>
            <w:vMerge w:val="restart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政策文件</w:t>
            </w:r>
          </w:p>
        </w:tc>
        <w:tc>
          <w:tcPr>
            <w:tcW w:w="919" w:type="dxa"/>
            <w:vMerge w:val="restart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文件</w:t>
            </w:r>
          </w:p>
        </w:tc>
        <w:tc>
          <w:tcPr>
            <w:tcW w:w="2464" w:type="dxa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1.规范性文件</w:t>
            </w:r>
          </w:p>
        </w:tc>
        <w:tc>
          <w:tcPr>
            <w:tcW w:w="6750" w:type="dxa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http://www.lishui.gov.cn/zwgk/zwxxgk/002645312/02/gfxwj/</w:t>
            </w:r>
          </w:p>
        </w:tc>
        <w:tc>
          <w:tcPr>
            <w:tcW w:w="1500" w:type="dxa"/>
            <w:vMerge w:val="restart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文件发布后10个工作日内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Theme="minorEastAsia"/>
                <w:spacing w:val="-4"/>
                <w:sz w:val="24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2.发布市林业局文件，文号为丽林、丽林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议复</w:t>
            </w: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、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丽林提复</w:t>
            </w: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、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丽森防指</w:t>
            </w: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、、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丽林防指</w:t>
            </w: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、</w:t>
            </w: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丽绿湿委</w:t>
            </w: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等文件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http://www.lishui.gov.cn/zwgk/zwxxgk/002645312/02/</w:t>
            </w:r>
          </w:p>
        </w:tc>
        <w:tc>
          <w:tcPr>
            <w:tcW w:w="1500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4" w:hRule="atLeast"/>
        </w:trPr>
        <w:tc>
          <w:tcPr>
            <w:tcW w:w="597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2464" w:type="dxa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3.转载国家级、省级文件</w:t>
            </w:r>
          </w:p>
        </w:tc>
        <w:tc>
          <w:tcPr>
            <w:tcW w:w="6750" w:type="dxa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http://www.lishui.gov.cn/zwgk/zwxxgk/002645312/02/zcjd_56907/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http://www.lishui.gov.cn/zwgk/zwxxgk/002645312/02/zcjd_56908/</w:t>
            </w:r>
          </w:p>
        </w:tc>
        <w:tc>
          <w:tcPr>
            <w:tcW w:w="1500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1635" w:type="dxa"/>
            <w:tcBorders>
              <w:bottom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597" w:type="dxa"/>
            <w:vMerge w:val="restart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3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4.规范性文件等重要文件的政策解读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http://www.lishui.gov.cn/zwgk/zwxxgk/002645312/02/zcjd/</w:t>
            </w:r>
          </w:p>
        </w:tc>
        <w:tc>
          <w:tcPr>
            <w:tcW w:w="150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与政策文件同步公开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5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restart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工</w:t>
            </w:r>
          </w:p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作信息</w:t>
            </w: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财政</w:t>
            </w:r>
          </w:p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信息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1.财政预算、决算内容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http://www.lishui.gov.cn/zwgk/zwxxgk/002645312/04/xzxk_1_1_1_1_1_1_1/</w:t>
            </w:r>
          </w:p>
        </w:tc>
        <w:tc>
          <w:tcPr>
            <w:tcW w:w="150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实时公开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政务</w:t>
            </w:r>
          </w:p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动态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2.市林业局业务动态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napToGrid w:val="0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eastAsia="仿宋_GB2312"/>
                <w:spacing w:val="-4"/>
                <w:sz w:val="24"/>
              </w:rPr>
              <w:t>http://www.lishui.gov.cn/zwgk/zwxxgk/002645312/04/xzxk_1_1_1_1_1_1_1_1/</w:t>
            </w:r>
          </w:p>
        </w:tc>
        <w:tc>
          <w:tcPr>
            <w:tcW w:w="150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Theme="minorEastAsia"/>
                <w:spacing w:val="-4"/>
                <w:sz w:val="24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  <w:r>
              <w:rPr>
                <w:rFonts w:hint="eastAsia"/>
                <w:sz w:val="20"/>
                <w:szCs w:val="20"/>
                <w:lang w:eastAsia="zh-CN"/>
              </w:rPr>
              <w:t>、政务新媒体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公示</w:t>
            </w:r>
          </w:p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公告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hAnsi="Times New Roman" w:eastAsia="仿宋_GB2312" w:cs="Times New Roman"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color w:val="000000" w:themeColor="text1"/>
                <w:spacing w:val="-4"/>
                <w:sz w:val="24"/>
                <w:szCs w:val="24"/>
              </w:rPr>
              <w:t>3.林业相关工作公告、其他公示公告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http://www.lishui.gov.cn/zwgk/zwxxgk/002645312/04/xzxk_1/</w:t>
            </w:r>
          </w:p>
        </w:tc>
        <w:tc>
          <w:tcPr>
            <w:tcW w:w="150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260" w:lineRule="exac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重大</w:t>
            </w:r>
          </w:p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left"/>
              <w:rPr>
                <w:rFonts w:ascii="仿宋_GB2312" w:eastAsia="仿宋_GB2312"/>
                <w:color w:val="000000" w:themeColor="text1"/>
                <w:spacing w:val="-8"/>
                <w:sz w:val="24"/>
              </w:rPr>
            </w:pPr>
            <w:r>
              <w:rPr>
                <w:rFonts w:hint="eastAsia" w:ascii="仿宋_GB2312" w:eastAsia="仿宋_GB2312"/>
                <w:color w:val="000000" w:themeColor="text1"/>
                <w:spacing w:val="-8"/>
                <w:sz w:val="24"/>
              </w:rPr>
              <w:t>4.涉及林业项目的相关重大项目建设审批等情况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napToGrid w:val="0"/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ascii="仿宋_GB2312" w:eastAsia="仿宋_GB2312"/>
                <w:spacing w:val="-4"/>
                <w:sz w:val="24"/>
              </w:rPr>
              <w:t>http://www.lishui.gov.cn/zwgk/zwxxgk/002645312/04/xzxk_1_1_1_1/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9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260" w:lineRule="exac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应急</w:t>
            </w:r>
          </w:p>
          <w:p>
            <w:pPr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管理</w:t>
            </w:r>
          </w:p>
        </w:tc>
        <w:tc>
          <w:tcPr>
            <w:tcW w:w="2464" w:type="dxa"/>
            <w:vAlign w:val="center"/>
          </w:tcPr>
          <w:p>
            <w:pPr>
              <w:spacing w:line="260" w:lineRule="exact"/>
              <w:jc w:val="left"/>
              <w:rPr>
                <w:rFonts w:ascii="仿宋_GB2312" w:eastAsia="仿宋_GB2312"/>
                <w:color w:val="000000" w:themeColor="text1"/>
                <w:spacing w:val="-8"/>
                <w:sz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5.突发事件应急预案、应急准备及应对情况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napToGrid w:val="0"/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ascii="仿宋_GB2312" w:eastAsia="仿宋_GB2312"/>
                <w:spacing w:val="-4"/>
                <w:sz w:val="24"/>
              </w:rPr>
              <w:t>http://www.lishui.gov.cn/zwgk/zwxxgk/002645312/04/xzxk_1_1_1/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  <w:r>
              <w:rPr>
                <w:rFonts w:hint="eastAsia"/>
                <w:sz w:val="20"/>
                <w:szCs w:val="20"/>
              </w:rPr>
              <w:t>政府网站</w:t>
            </w: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9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260" w:lineRule="exac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政府</w:t>
            </w:r>
          </w:p>
          <w:p>
            <w:pP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采购</w:t>
            </w:r>
          </w:p>
        </w:tc>
        <w:tc>
          <w:tcPr>
            <w:tcW w:w="2464" w:type="dxa"/>
            <w:vAlign w:val="center"/>
          </w:tcPr>
          <w:p>
            <w:pPr>
              <w:spacing w:line="260" w:lineRule="exact"/>
              <w:jc w:val="left"/>
              <w:rPr>
                <w:rFonts w:ascii="仿宋_GB2312" w:eastAsia="仿宋_GB2312"/>
                <w:spacing w:val="-8"/>
                <w:sz w:val="24"/>
              </w:rPr>
            </w:pPr>
            <w:r>
              <w:rPr>
                <w:rFonts w:hint="eastAsia" w:ascii="仿宋_GB2312" w:eastAsia="仿宋_GB2312"/>
                <w:spacing w:val="-8"/>
                <w:sz w:val="24"/>
              </w:rPr>
              <w:t>6.单位相关政府采购信息，如：打印机、电脑等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napToGrid w:val="0"/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ascii="仿宋_GB2312" w:eastAsia="仿宋_GB2312"/>
                <w:spacing w:val="-4"/>
                <w:sz w:val="24"/>
              </w:rPr>
              <w:t>http://www.lishui.gov.cn/zwgk/zwxxgk/002645312/04/xzxk_1_1/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7" w:hRule="atLeast"/>
        </w:trPr>
        <w:tc>
          <w:tcPr>
            <w:tcW w:w="597" w:type="dxa"/>
            <w:vMerge w:val="continue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652" w:type="dxa"/>
            <w:vMerge w:val="continue"/>
            <w:vAlign w:val="center"/>
          </w:tcPr>
          <w:p>
            <w:pPr>
              <w:spacing w:line="260" w:lineRule="exact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>
            <w:pP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统计</w:t>
            </w:r>
          </w:p>
          <w:p>
            <w:pP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数据</w:t>
            </w:r>
          </w:p>
        </w:tc>
        <w:tc>
          <w:tcPr>
            <w:tcW w:w="2464" w:type="dxa"/>
            <w:vAlign w:val="center"/>
          </w:tcPr>
          <w:p>
            <w:pPr>
              <w:spacing w:line="260" w:lineRule="exact"/>
              <w:jc w:val="left"/>
              <w:rPr>
                <w:rFonts w:ascii="仿宋_GB2312" w:eastAsia="仿宋_GB2312"/>
                <w:spacing w:val="-8"/>
                <w:sz w:val="24"/>
              </w:rPr>
            </w:pPr>
            <w:r>
              <w:rPr>
                <w:rFonts w:hint="eastAsia" w:ascii="仿宋_GB2312" w:eastAsia="仿宋_GB2312"/>
                <w:spacing w:val="-8"/>
                <w:sz w:val="24"/>
              </w:rPr>
              <w:t>7.负氧离子数据和历年林业统计分析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napToGrid w:val="0"/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ascii="仿宋_GB2312" w:eastAsia="仿宋_GB2312"/>
                <w:spacing w:val="-4"/>
                <w:sz w:val="24"/>
              </w:rPr>
              <w:t>http://www.lishui.gov.cn/zwgk/zwxxgk/002645312/04/xzxk_1_1_1_1_1_1/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仿宋_GB2312" w:eastAsia="仿宋_GB2312"/>
                <w:spacing w:val="-4"/>
                <w:sz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6" w:hRule="atLeast"/>
        </w:trPr>
        <w:tc>
          <w:tcPr>
            <w:tcW w:w="597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人事信息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市林业局人事变动等信息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http://www.lishui.gov.cn/zwgk/zwxxgk/002645312/05/</w:t>
            </w:r>
          </w:p>
        </w:tc>
        <w:tc>
          <w:tcPr>
            <w:tcW w:w="150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文件形成后10个工作日内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5" w:hRule="atLeast"/>
        </w:trPr>
        <w:tc>
          <w:tcPr>
            <w:tcW w:w="597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1571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公开年报</w:t>
            </w:r>
          </w:p>
        </w:tc>
        <w:tc>
          <w:tcPr>
            <w:tcW w:w="2464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8"/>
                <w:sz w:val="24"/>
              </w:rPr>
              <w:t>年度市林业局信息公开报告</w:t>
            </w:r>
          </w:p>
        </w:tc>
        <w:tc>
          <w:tcPr>
            <w:tcW w:w="675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pacing w:val="-4"/>
                <w:sz w:val="24"/>
                <w:szCs w:val="24"/>
              </w:rPr>
              <w:t>市政府门户网站</w:t>
            </w:r>
          </w:p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  <w:t>http://www.lishui.gov.cn/zwgk/zwxxgk/002645312/06/</w:t>
            </w:r>
          </w:p>
        </w:tc>
        <w:tc>
          <w:tcPr>
            <w:tcW w:w="1500" w:type="dxa"/>
            <w:vAlign w:val="center"/>
          </w:tcPr>
          <w:p>
            <w:pPr>
              <w:spacing w:line="320" w:lineRule="exact"/>
              <w:jc w:val="center"/>
              <w:rPr>
                <w:rFonts w:ascii="仿宋_GB2312" w:hAnsi="Times New Roman" w:eastAsia="仿宋_GB2312" w:cs="Times New Roman"/>
                <w:spacing w:val="-4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4"/>
                <w:sz w:val="24"/>
              </w:rPr>
              <w:t>信息形成后10个工作日内</w:t>
            </w:r>
          </w:p>
        </w:tc>
        <w:tc>
          <w:tcPr>
            <w:tcW w:w="1635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  <w:tc>
          <w:tcPr>
            <w:tcW w:w="1635" w:type="dxa"/>
            <w:vMerge w:val="continue"/>
            <w:tcBorders/>
            <w:vAlign w:val="center"/>
          </w:tcPr>
          <w:p>
            <w:pPr>
              <w:spacing w:line="320" w:lineRule="exact"/>
              <w:jc w:val="center"/>
              <w:rPr>
                <w:rFonts w:hint="eastAsia" w:ascii="仿宋_GB2312" w:eastAsia="仿宋_GB2312"/>
                <w:spacing w:val="-4"/>
                <w:sz w:val="24"/>
              </w:rPr>
            </w:pPr>
          </w:p>
        </w:tc>
      </w:tr>
    </w:tbl>
    <w:p>
      <w:pPr>
        <w:jc w:val="center"/>
        <w:rPr>
          <w:rFonts w:ascii="黑体" w:hAnsi="黑体" w:eastAsia="黑体"/>
          <w:spacing w:val="-4"/>
          <w:sz w:val="44"/>
          <w:szCs w:val="21"/>
        </w:rPr>
      </w:pPr>
    </w:p>
    <w:p>
      <w:pPr>
        <w:spacing w:line="320" w:lineRule="exact"/>
        <w:jc w:val="center"/>
        <w:rPr>
          <w:rFonts w:ascii="仿宋_GB2312" w:hAnsi="Times New Roman" w:eastAsia="仿宋_GB2312" w:cs="Times New Roman"/>
          <w:spacing w:val="-4"/>
          <w:sz w:val="24"/>
          <w:szCs w:val="24"/>
        </w:rPr>
      </w:pPr>
    </w:p>
    <w:sectPr>
      <w:footerReference r:id="rId5" w:type="default"/>
      <w:pgSz w:w="16838" w:h="11906" w:orient="landscape"/>
      <w:pgMar w:top="1800" w:right="1440" w:bottom="180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61007A87" w:usb1="80000000" w:usb2="00000008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䀮">
    <w:panose1 w:val="02010609010101010101"/>
    <w:charset w:val="00"/>
    <w:family w:val="auto"/>
    <w:pitch w:val="default"/>
    <w:sig w:usb0="00000000" w:usb1="00000000" w:usb2="00000000" w:usb3="00000000" w:csb0="000063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8659227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05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D31D50"/>
    <w:rsid w:val="0000330B"/>
    <w:rsid w:val="00016890"/>
    <w:rsid w:val="000426B4"/>
    <w:rsid w:val="00064441"/>
    <w:rsid w:val="000733F1"/>
    <w:rsid w:val="000B16F6"/>
    <w:rsid w:val="001027D9"/>
    <w:rsid w:val="0016408E"/>
    <w:rsid w:val="00165DB4"/>
    <w:rsid w:val="00186234"/>
    <w:rsid w:val="00204EA9"/>
    <w:rsid w:val="002A05DD"/>
    <w:rsid w:val="002D2D6A"/>
    <w:rsid w:val="00323B43"/>
    <w:rsid w:val="00372242"/>
    <w:rsid w:val="00397D36"/>
    <w:rsid w:val="003B014F"/>
    <w:rsid w:val="003B6BD1"/>
    <w:rsid w:val="003D37D8"/>
    <w:rsid w:val="004206D1"/>
    <w:rsid w:val="00423FEC"/>
    <w:rsid w:val="00426133"/>
    <w:rsid w:val="004358AB"/>
    <w:rsid w:val="005F4874"/>
    <w:rsid w:val="00617EC9"/>
    <w:rsid w:val="00687F01"/>
    <w:rsid w:val="0069158D"/>
    <w:rsid w:val="00755472"/>
    <w:rsid w:val="007A2CD2"/>
    <w:rsid w:val="007D1F82"/>
    <w:rsid w:val="008A13DB"/>
    <w:rsid w:val="008B7726"/>
    <w:rsid w:val="009203FD"/>
    <w:rsid w:val="009D32BC"/>
    <w:rsid w:val="00A161CE"/>
    <w:rsid w:val="00A40A07"/>
    <w:rsid w:val="00A72B0B"/>
    <w:rsid w:val="00A82E82"/>
    <w:rsid w:val="00A97A02"/>
    <w:rsid w:val="00AD1C54"/>
    <w:rsid w:val="00AD650D"/>
    <w:rsid w:val="00B0629A"/>
    <w:rsid w:val="00B15D92"/>
    <w:rsid w:val="00B3469D"/>
    <w:rsid w:val="00B447F7"/>
    <w:rsid w:val="00B53450"/>
    <w:rsid w:val="00B75BA5"/>
    <w:rsid w:val="00C17767"/>
    <w:rsid w:val="00C17EBE"/>
    <w:rsid w:val="00C6394F"/>
    <w:rsid w:val="00CC6DF1"/>
    <w:rsid w:val="00CE24BF"/>
    <w:rsid w:val="00CF4651"/>
    <w:rsid w:val="00D11AE6"/>
    <w:rsid w:val="00D31D50"/>
    <w:rsid w:val="00D3345D"/>
    <w:rsid w:val="00D55D25"/>
    <w:rsid w:val="00D74DC0"/>
    <w:rsid w:val="00DC7525"/>
    <w:rsid w:val="00E30E6D"/>
    <w:rsid w:val="00E33B6F"/>
    <w:rsid w:val="00ED3CA8"/>
    <w:rsid w:val="00F40F88"/>
    <w:rsid w:val="00F44D60"/>
    <w:rsid w:val="00FA5AB7"/>
    <w:rsid w:val="00FC3241"/>
    <w:rsid w:val="7CE7A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/>
      <w:kern w:val="0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/>
      <w:kern w:val="0"/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8">
    <w:name w:val="页眉 Char"/>
    <w:basedOn w:val="6"/>
    <w:link w:val="4"/>
    <w:qFormat/>
    <w:uiPriority w:val="99"/>
    <w:rPr>
      <w:rFonts w:ascii="Tahoma" w:hAnsi="Tahoma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Tahoma" w:hAnsi="Tahoma"/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rFonts w:eastAsiaTheme="minorEastAsia"/>
      <w:kern w:val="2"/>
      <w:sz w:val="18"/>
      <w:szCs w:val="18"/>
    </w:rPr>
  </w:style>
  <w:style w:type="character" w:customStyle="1" w:styleId="11">
    <w:name w:val="zf_span3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263</Words>
  <Characters>1503</Characters>
  <Lines>12</Lines>
  <Paragraphs>3</Paragraphs>
  <TotalTime>1</TotalTime>
  <ScaleCrop>false</ScaleCrop>
  <LinksUpToDate>false</LinksUpToDate>
  <CharactersWithSpaces>1763</CharactersWithSpaces>
  <Application>WPS Office_11.8.2.11929_F1E327BC-269C-435d-A152-05C5408002CA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2008-09-12T01:20:00Z</dcterms:created>
  <dc:creator>greatwall</dc:creator>
  <cp:lastModifiedBy>叶奕萱</cp:lastModifiedBy>
  <dcterms:modified xsi:type="dcterms:W3CDTF">2024-06-24T11:59:57Z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7E5BB4EFE16F58F93DEF78663D0B6956</vt:lpwstr>
  </property>
</Properties>
</file>