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ageBreakBefore w:val="0"/>
        <w:widowControl/>
        <w:kinsoku/>
        <w:wordWrap/>
        <w:overflowPunct/>
        <w:topLinePunct w:val="0"/>
        <w:bidi w:val="0"/>
        <w:adjustRightInd/>
        <w:snapToGrid w:val="0"/>
        <w:spacing w:line="560" w:lineRule="exact"/>
        <w:jc w:val="center"/>
        <w:textAlignment w:val="auto"/>
        <w:rPr>
          <w:rFonts w:hint="eastAsia" w:ascii="方正小标宋简体" w:hAnsi="方正小标宋简体" w:eastAsia="方正小标宋简体" w:cs="方正小标宋简体"/>
          <w:color w:val="000000"/>
          <w:kern w:val="0"/>
          <w:sz w:val="44"/>
          <w:szCs w:val="44"/>
        </w:rPr>
      </w:pPr>
      <w:r>
        <w:rPr>
          <w:rFonts w:hint="eastAsia" w:ascii="方正小标宋简体" w:hAnsi="方正小标宋简体" w:eastAsia="方正小标宋简体" w:cs="方正小标宋简体"/>
          <w:color w:val="000000"/>
          <w:kern w:val="0"/>
          <w:sz w:val="44"/>
          <w:szCs w:val="44"/>
        </w:rPr>
        <w:t>关于《庆元县房屋征收临时安置费、搬迁费、停产停业损失补偿费及房屋改变用途补贴标准》的政策解读</w:t>
      </w:r>
    </w:p>
    <w:p>
      <w:pPr>
        <w:pageBreakBefore w:val="0"/>
        <w:kinsoku/>
        <w:wordWrap/>
        <w:overflowPunct/>
        <w:topLinePunct w:val="0"/>
        <w:bidi w:val="0"/>
        <w:adjustRightInd/>
        <w:spacing w:line="560" w:lineRule="exact"/>
        <w:textAlignment w:val="auto"/>
        <w:rPr>
          <w:rFonts w:hint="eastAsia" w:ascii="仿宋_GB2312" w:hAnsi="仿宋_GB2312" w:eastAsia="仿宋_GB2312" w:cs="仿宋_GB2312"/>
          <w:sz w:val="32"/>
          <w:szCs w:val="32"/>
        </w:rPr>
      </w:pP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黑体" w:hAnsi="黑体" w:eastAsia="黑体" w:cs="黑体"/>
          <w:b w:val="0"/>
          <w:bCs w:val="0"/>
          <w:kern w:val="2"/>
          <w:sz w:val="32"/>
          <w:szCs w:val="32"/>
          <w:lang w:val="en-US" w:eastAsia="zh-CN" w:bidi="ar-SA"/>
        </w:rPr>
      </w:pPr>
      <w:r>
        <w:rPr>
          <w:rFonts w:hint="eastAsia" w:ascii="黑体" w:hAnsi="黑体" w:eastAsia="黑体" w:cs="黑体"/>
          <w:b w:val="0"/>
          <w:bCs w:val="0"/>
          <w:kern w:val="2"/>
          <w:sz w:val="32"/>
          <w:szCs w:val="32"/>
          <w:lang w:val="en-US" w:eastAsia="zh-CN" w:bidi="ar-SA"/>
        </w:rPr>
        <w:t>一、制定背景或目的</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b w:val="0"/>
          <w:bCs w:val="0"/>
          <w:kern w:val="2"/>
          <w:sz w:val="32"/>
          <w:szCs w:val="32"/>
          <w:lang w:val="en-US" w:eastAsia="zh-CN" w:bidi="ar-SA"/>
        </w:rPr>
      </w:pPr>
      <w:r>
        <w:rPr>
          <w:rFonts w:hint="eastAsia" w:ascii="仿宋_GB2312" w:hAnsi="仿宋_GB2312" w:eastAsia="仿宋_GB2312" w:cs="仿宋_GB2312"/>
          <w:b w:val="0"/>
          <w:bCs w:val="0"/>
          <w:kern w:val="2"/>
          <w:sz w:val="32"/>
          <w:szCs w:val="32"/>
          <w:lang w:val="en-US" w:eastAsia="zh-CN" w:bidi="ar-SA"/>
        </w:rPr>
        <w:t>根据《浙江省国有土地上房屋征收与补偿条例》关于临时安置费等标准每两年公布一次的相关规定， 2024年5月，庆元县土地和房屋征收工作指导中心启动了《庆元县房屋征收临时安置费、搬迁费、停产停业损失补偿费及房屋改变用途补贴标准》的修订工作。</w:t>
      </w:r>
    </w:p>
    <w:p>
      <w:pPr>
        <w:pStyle w:val="3"/>
        <w:keepNext/>
        <w:keepLines/>
        <w:pageBreakBefore w:val="0"/>
        <w:widowControl w:val="0"/>
        <w:numPr>
          <w:ilvl w:val="0"/>
          <w:numId w:val="0"/>
        </w:numPr>
        <w:kinsoku/>
        <w:wordWrap/>
        <w:overflowPunct/>
        <w:topLinePunct w:val="0"/>
        <w:autoSpaceDE w:val="0"/>
        <w:autoSpaceDN w:val="0"/>
        <w:bidi w:val="0"/>
        <w:adjustRightInd/>
        <w:snapToGrid/>
        <w:spacing w:before="0" w:line="560" w:lineRule="exact"/>
        <w:ind w:leftChars="0" w:right="0" w:rightChars="0" w:firstLine="640" w:firstLineChars="200"/>
        <w:jc w:val="both"/>
        <w:textAlignment w:val="auto"/>
        <w:rPr>
          <w:rFonts w:hint="eastAsia" w:ascii="黑体" w:hAnsi="黑体" w:eastAsia="黑体" w:cs="黑体"/>
          <w:b w:val="0"/>
          <w:bCs w:val="0"/>
          <w:kern w:val="2"/>
          <w:sz w:val="32"/>
          <w:szCs w:val="32"/>
          <w:lang w:val="en-US" w:eastAsia="zh-CN" w:bidi="ar-SA"/>
        </w:rPr>
      </w:pPr>
      <w:r>
        <w:rPr>
          <w:rFonts w:hint="eastAsia" w:ascii="黑体" w:hAnsi="黑体" w:eastAsia="黑体" w:cs="黑体"/>
          <w:b w:val="0"/>
          <w:bCs w:val="0"/>
          <w:kern w:val="2"/>
          <w:sz w:val="32"/>
          <w:szCs w:val="32"/>
          <w:lang w:val="en-US" w:eastAsia="zh-CN" w:bidi="ar-SA"/>
        </w:rPr>
        <w:t>二、制定依据</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b w:val="0"/>
          <w:bCs w:val="0"/>
          <w:kern w:val="2"/>
          <w:sz w:val="32"/>
          <w:szCs w:val="32"/>
          <w:lang w:val="en-US" w:eastAsia="zh-CN" w:bidi="ar-SA"/>
        </w:rPr>
      </w:pPr>
      <w:r>
        <w:rPr>
          <w:rFonts w:hint="eastAsia" w:ascii="仿宋_GB2312" w:hAnsi="仿宋_GB2312" w:eastAsia="仿宋_GB2312" w:cs="仿宋_GB2312"/>
          <w:b w:val="0"/>
          <w:bCs w:val="0"/>
          <w:kern w:val="2"/>
          <w:sz w:val="32"/>
          <w:szCs w:val="32"/>
          <w:lang w:val="en-US" w:eastAsia="zh-CN" w:bidi="ar-SA"/>
        </w:rPr>
        <w:t>（一）《国有土地上房屋征收与补偿条例》（第590号国务院令）。</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b w:val="0"/>
          <w:bCs w:val="0"/>
          <w:kern w:val="2"/>
          <w:sz w:val="32"/>
          <w:szCs w:val="32"/>
          <w:lang w:val="en-US" w:eastAsia="zh-CN" w:bidi="ar-SA"/>
        </w:rPr>
      </w:pPr>
      <w:r>
        <w:rPr>
          <w:rFonts w:hint="eastAsia" w:ascii="仿宋_GB2312" w:hAnsi="仿宋_GB2312" w:eastAsia="仿宋_GB2312" w:cs="仿宋_GB2312"/>
          <w:b w:val="0"/>
          <w:bCs w:val="0"/>
          <w:kern w:val="2"/>
          <w:sz w:val="32"/>
          <w:szCs w:val="32"/>
          <w:lang w:val="en-US" w:eastAsia="zh-CN" w:bidi="ar-SA"/>
        </w:rPr>
        <w:t>（二）《浙江省国有土地上房屋征收与补偿条例》。</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b w:val="0"/>
          <w:bCs w:val="0"/>
          <w:kern w:val="2"/>
          <w:sz w:val="32"/>
          <w:szCs w:val="32"/>
          <w:lang w:val="en-US" w:eastAsia="zh-CN" w:bidi="ar-SA"/>
        </w:rPr>
      </w:pPr>
      <w:r>
        <w:rPr>
          <w:rFonts w:hint="eastAsia" w:ascii="仿宋_GB2312" w:hAnsi="仿宋_GB2312" w:eastAsia="仿宋_GB2312" w:cs="仿宋_GB2312"/>
          <w:b w:val="0"/>
          <w:bCs w:val="0"/>
          <w:kern w:val="2"/>
          <w:sz w:val="32"/>
          <w:szCs w:val="32"/>
          <w:lang w:val="en-US" w:eastAsia="zh-CN" w:bidi="ar-SA"/>
        </w:rPr>
        <w:t>（三）《庆元县征收集体所有土地房屋补偿实施办法》（庆政发〔2019〕14号）。</w:t>
      </w:r>
    </w:p>
    <w:p>
      <w:pPr>
        <w:pStyle w:val="3"/>
        <w:keepNext/>
        <w:keepLines/>
        <w:pageBreakBefore w:val="0"/>
        <w:widowControl w:val="0"/>
        <w:numPr>
          <w:ilvl w:val="0"/>
          <w:numId w:val="0"/>
        </w:numPr>
        <w:kinsoku/>
        <w:wordWrap/>
        <w:overflowPunct/>
        <w:topLinePunct w:val="0"/>
        <w:autoSpaceDE w:val="0"/>
        <w:autoSpaceDN w:val="0"/>
        <w:bidi w:val="0"/>
        <w:adjustRightInd/>
        <w:snapToGrid/>
        <w:spacing w:before="0" w:line="560" w:lineRule="exact"/>
        <w:ind w:leftChars="0" w:right="0" w:rightChars="0" w:firstLine="640" w:firstLineChars="200"/>
        <w:jc w:val="both"/>
        <w:textAlignment w:val="auto"/>
        <w:rPr>
          <w:rFonts w:hint="eastAsia" w:ascii="黑体" w:hAnsi="黑体" w:eastAsia="黑体" w:cs="黑体"/>
          <w:b w:val="0"/>
          <w:bCs w:val="0"/>
          <w:kern w:val="2"/>
          <w:sz w:val="32"/>
          <w:szCs w:val="32"/>
          <w:lang w:val="en-US" w:eastAsia="zh-CN" w:bidi="ar-SA"/>
        </w:rPr>
      </w:pPr>
      <w:r>
        <w:rPr>
          <w:rFonts w:hint="eastAsia" w:ascii="黑体" w:hAnsi="黑体" w:eastAsia="黑体" w:cs="黑体"/>
          <w:b w:val="0"/>
          <w:bCs w:val="0"/>
          <w:kern w:val="2"/>
          <w:sz w:val="32"/>
          <w:szCs w:val="32"/>
          <w:lang w:val="en-US" w:eastAsia="zh-CN" w:bidi="ar-SA"/>
        </w:rPr>
        <w:t>三、主要内容和政策举措</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default" w:ascii="仿宋_GB2312" w:hAnsi="仿宋_GB2312" w:eastAsia="仿宋_GB2312" w:cs="仿宋_GB2312"/>
          <w:b w:val="0"/>
          <w:bCs w:val="0"/>
          <w:kern w:val="2"/>
          <w:sz w:val="32"/>
          <w:szCs w:val="32"/>
          <w:lang w:val="en-US" w:eastAsia="zh-CN" w:bidi="ar-SA"/>
        </w:rPr>
      </w:pPr>
      <w:r>
        <w:rPr>
          <w:rFonts w:hint="eastAsia" w:ascii="仿宋_GB2312" w:hAnsi="仿宋_GB2312" w:eastAsia="仿宋_GB2312" w:cs="仿宋_GB2312"/>
          <w:b w:val="0"/>
          <w:bCs w:val="0"/>
          <w:kern w:val="2"/>
          <w:sz w:val="32"/>
          <w:szCs w:val="32"/>
          <w:lang w:val="en-US" w:eastAsia="zh-CN" w:bidi="ar-SA"/>
        </w:rPr>
        <w:t>本文件分别对临时安置费标准、搬迁费标准、停产停业损失补偿费标准、房屋改变用途补贴标准等4部分房屋征收补贴标准进行了规定。</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_GB2312" w:hAnsi="仿宋_GB2312" w:eastAsia="黑体" w:cs="仿宋_GB2312"/>
          <w:b/>
          <w:color w:val="auto"/>
          <w:sz w:val="32"/>
          <w:szCs w:val="32"/>
          <w:lang w:eastAsia="zh-CN"/>
        </w:rPr>
      </w:pPr>
      <w:r>
        <w:rPr>
          <w:rFonts w:hint="eastAsia" w:ascii="黑体" w:hAnsi="黑体" w:eastAsia="黑体" w:cs="黑体"/>
          <w:b w:val="0"/>
          <w:bCs/>
          <w:color w:val="auto"/>
          <w:sz w:val="32"/>
          <w:szCs w:val="32"/>
        </w:rPr>
        <w:t>临时安置费</w:t>
      </w:r>
      <w:r>
        <w:rPr>
          <w:rFonts w:hint="eastAsia" w:ascii="黑体" w:hAnsi="黑体" w:eastAsia="黑体" w:cs="黑体"/>
          <w:b w:val="0"/>
          <w:bCs/>
          <w:color w:val="auto"/>
          <w:sz w:val="32"/>
          <w:szCs w:val="32"/>
          <w:lang w:eastAsia="zh-CN"/>
        </w:rPr>
        <w:t>标准</w:t>
      </w:r>
    </w:p>
    <w:p>
      <w:pPr>
        <w:keepNext w:val="0"/>
        <w:keepLines w:val="0"/>
        <w:pageBreakBefore w:val="0"/>
        <w:widowControl w:val="0"/>
        <w:kinsoku/>
        <w:wordWrap/>
        <w:overflowPunct/>
        <w:topLinePunct w:val="0"/>
        <w:autoSpaceDE/>
        <w:autoSpaceDN/>
        <w:bidi w:val="0"/>
        <w:adjustRightInd/>
        <w:snapToGrid/>
        <w:spacing w:line="560" w:lineRule="exact"/>
        <w:ind w:firstLine="643" w:firstLineChars="200"/>
        <w:jc w:val="both"/>
        <w:textAlignment w:val="auto"/>
        <w:rPr>
          <w:rFonts w:hint="eastAsia" w:ascii="楷体_GB2312" w:hAnsi="楷体_GB2312" w:eastAsia="楷体_GB2312" w:cs="楷体_GB2312"/>
          <w:color w:val="auto"/>
          <w:sz w:val="32"/>
          <w:szCs w:val="32"/>
          <w:lang w:val="en-US" w:eastAsia="zh-CN"/>
        </w:rPr>
      </w:pPr>
      <w:r>
        <w:rPr>
          <w:rFonts w:hint="eastAsia" w:ascii="楷体_GB2312" w:hAnsi="楷体_GB2312" w:eastAsia="楷体_GB2312" w:cs="楷体_GB2312"/>
          <w:b/>
          <w:bCs/>
          <w:color w:val="auto"/>
          <w:sz w:val="32"/>
          <w:szCs w:val="32"/>
          <w:lang w:val="en-US" w:eastAsia="zh-CN"/>
        </w:rPr>
        <w:t>1.</w:t>
      </w:r>
      <w:r>
        <w:rPr>
          <w:rFonts w:hint="eastAsia" w:ascii="楷体_GB2312" w:hAnsi="楷体_GB2312" w:eastAsia="楷体_GB2312" w:cs="楷体_GB2312"/>
          <w:b/>
          <w:bCs/>
          <w:color w:val="auto"/>
          <w:sz w:val="32"/>
          <w:szCs w:val="32"/>
          <w:lang w:eastAsia="zh-CN"/>
        </w:rPr>
        <w:t>住宅、厂房、办公用房临时安置费标准</w:t>
      </w:r>
    </w:p>
    <w:p>
      <w:pPr>
        <w:keepNext w:val="0"/>
        <w:keepLines w:val="0"/>
        <w:pageBreakBefore w:val="0"/>
        <w:widowControl w:val="0"/>
        <w:kinsoku/>
        <w:wordWrap/>
        <w:overflowPunct/>
        <w:topLinePunct w:val="0"/>
        <w:autoSpaceDE/>
        <w:autoSpaceDN/>
        <w:bidi w:val="0"/>
        <w:adjustRightInd/>
        <w:snapToGrid/>
        <w:spacing w:line="560" w:lineRule="exact"/>
        <w:ind w:firstLine="1606" w:firstLineChars="500"/>
        <w:jc w:val="both"/>
        <w:textAlignment w:val="auto"/>
        <w:rPr>
          <w:rFonts w:hint="eastAsia" w:ascii="仿宋_GB2312" w:hAnsi="仿宋_GB2312" w:eastAsia="仿宋_GB2312" w:cs="仿宋_GB2312"/>
          <w:b/>
          <w:bCs/>
          <w:color w:val="auto"/>
          <w:sz w:val="32"/>
          <w:szCs w:val="32"/>
          <w:lang w:eastAsia="zh-CN"/>
        </w:rPr>
      </w:pPr>
      <w:r>
        <w:rPr>
          <w:rFonts w:hint="eastAsia" w:ascii="仿宋_GB2312" w:hAnsi="仿宋_GB2312" w:eastAsia="仿宋_GB2312" w:cs="仿宋_GB2312"/>
          <w:b/>
          <w:bCs/>
          <w:color w:val="auto"/>
          <w:sz w:val="32"/>
          <w:szCs w:val="32"/>
          <w:lang w:eastAsia="zh-CN"/>
        </w:rPr>
        <w:t>庆元</w:t>
      </w:r>
      <w:r>
        <w:rPr>
          <w:rFonts w:hint="eastAsia" w:ascii="仿宋_GB2312" w:hAnsi="仿宋_GB2312" w:eastAsia="仿宋_GB2312" w:cs="仿宋_GB2312"/>
          <w:b/>
          <w:bCs/>
          <w:color w:val="auto"/>
          <w:sz w:val="32"/>
          <w:szCs w:val="32"/>
        </w:rPr>
        <w:t>县城</w:t>
      </w:r>
      <w:r>
        <w:rPr>
          <w:rFonts w:hint="eastAsia" w:ascii="仿宋_GB2312" w:hAnsi="仿宋_GB2312" w:eastAsia="仿宋_GB2312" w:cs="仿宋_GB2312"/>
          <w:b/>
          <w:bCs/>
          <w:color w:val="auto"/>
          <w:sz w:val="32"/>
          <w:szCs w:val="32"/>
          <w:lang w:eastAsia="zh-CN"/>
        </w:rPr>
        <w:t>严控</w:t>
      </w:r>
      <w:r>
        <w:rPr>
          <w:rFonts w:hint="eastAsia" w:ascii="仿宋_GB2312" w:hAnsi="仿宋_GB2312" w:eastAsia="仿宋_GB2312" w:cs="仿宋_GB2312"/>
          <w:b/>
          <w:bCs/>
          <w:color w:val="auto"/>
          <w:sz w:val="32"/>
          <w:szCs w:val="32"/>
        </w:rPr>
        <w:t>区范围内临时安置费</w:t>
      </w:r>
      <w:r>
        <w:rPr>
          <w:rFonts w:hint="eastAsia" w:ascii="仿宋_GB2312" w:hAnsi="仿宋_GB2312" w:eastAsia="仿宋_GB2312" w:cs="仿宋_GB2312"/>
          <w:b/>
          <w:bCs/>
          <w:color w:val="auto"/>
          <w:sz w:val="32"/>
          <w:szCs w:val="32"/>
          <w:lang w:eastAsia="zh-CN"/>
        </w:rPr>
        <w:t>标准</w:t>
      </w:r>
    </w:p>
    <w:tbl>
      <w:tblPr>
        <w:tblStyle w:val="6"/>
        <w:tblW w:w="824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9"/>
        <w:gridCol w:w="1373"/>
        <w:gridCol w:w="2365"/>
        <w:gridCol w:w="280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6" w:hRule="exact"/>
          <w:jc w:val="center"/>
        </w:trPr>
        <w:tc>
          <w:tcPr>
            <w:tcW w:w="1699" w:type="dxa"/>
            <w:noWrap w:val="0"/>
            <w:vAlign w:val="center"/>
          </w:tcPr>
          <w:p>
            <w:pPr>
              <w:jc w:val="center"/>
              <w:rPr>
                <w:rFonts w:hint="eastAsia" w:ascii="仿宋_GB2312" w:hAnsi="Times New Roman" w:eastAsia="仿宋_GB2312" w:cs="Times New Roman"/>
                <w:color w:val="auto"/>
                <w:sz w:val="28"/>
                <w:szCs w:val="28"/>
              </w:rPr>
            </w:pPr>
            <w:r>
              <w:rPr>
                <w:rFonts w:hint="eastAsia" w:ascii="仿宋_GB2312" w:hAnsi="Times New Roman" w:eastAsia="仿宋_GB2312" w:cs="Times New Roman"/>
                <w:color w:val="auto"/>
                <w:sz w:val="28"/>
                <w:szCs w:val="28"/>
              </w:rPr>
              <w:t>补偿方式</w:t>
            </w:r>
          </w:p>
        </w:tc>
        <w:tc>
          <w:tcPr>
            <w:tcW w:w="1373" w:type="dxa"/>
            <w:noWrap w:val="0"/>
            <w:vAlign w:val="center"/>
          </w:tcPr>
          <w:p>
            <w:pPr>
              <w:jc w:val="center"/>
              <w:rPr>
                <w:rFonts w:hint="eastAsia" w:ascii="仿宋_GB2312" w:hAnsi="Times New Roman" w:eastAsia="仿宋_GB2312" w:cs="Times New Roman"/>
                <w:color w:val="auto"/>
                <w:sz w:val="28"/>
                <w:szCs w:val="28"/>
              </w:rPr>
            </w:pPr>
            <w:r>
              <w:rPr>
                <w:rFonts w:hint="eastAsia" w:ascii="仿宋_GB2312" w:hAnsi="Times New Roman" w:eastAsia="仿宋_GB2312" w:cs="Times New Roman"/>
                <w:color w:val="auto"/>
                <w:sz w:val="28"/>
                <w:szCs w:val="28"/>
              </w:rPr>
              <w:t>类别</w:t>
            </w:r>
          </w:p>
        </w:tc>
        <w:tc>
          <w:tcPr>
            <w:tcW w:w="2365" w:type="dxa"/>
            <w:noWrap w:val="0"/>
            <w:vAlign w:val="center"/>
          </w:tcPr>
          <w:p>
            <w:pPr>
              <w:keepNext w:val="0"/>
              <w:keepLines w:val="0"/>
              <w:pageBreakBefore w:val="0"/>
              <w:widowControl/>
              <w:kinsoku/>
              <w:wordWrap/>
              <w:overflowPunct/>
              <w:topLinePunct w:val="0"/>
              <w:autoSpaceDE/>
              <w:autoSpaceDN/>
              <w:bidi w:val="0"/>
              <w:adjustRightInd/>
              <w:snapToGrid/>
              <w:spacing w:line="360" w:lineRule="exact"/>
              <w:jc w:val="center"/>
              <w:textAlignment w:val="auto"/>
              <w:rPr>
                <w:rFonts w:hint="eastAsia" w:ascii="仿宋_GB2312" w:hAnsi="Times New Roman" w:eastAsia="仿宋_GB2312" w:cs="Times New Roman"/>
                <w:color w:val="auto"/>
                <w:sz w:val="28"/>
                <w:szCs w:val="28"/>
              </w:rPr>
            </w:pPr>
            <w:r>
              <w:rPr>
                <w:rFonts w:hint="eastAsia" w:ascii="仿宋_GB2312" w:hAnsi="Times New Roman" w:eastAsia="仿宋_GB2312" w:cs="Times New Roman"/>
                <w:color w:val="auto"/>
                <w:sz w:val="28"/>
                <w:szCs w:val="28"/>
              </w:rPr>
              <w:t>单价</w:t>
            </w:r>
          </w:p>
          <w:p>
            <w:pPr>
              <w:keepNext w:val="0"/>
              <w:keepLines w:val="0"/>
              <w:pageBreakBefore w:val="0"/>
              <w:widowControl/>
              <w:kinsoku/>
              <w:wordWrap/>
              <w:overflowPunct/>
              <w:topLinePunct w:val="0"/>
              <w:autoSpaceDE/>
              <w:autoSpaceDN/>
              <w:bidi w:val="0"/>
              <w:adjustRightInd/>
              <w:snapToGrid/>
              <w:spacing w:line="360" w:lineRule="exact"/>
              <w:jc w:val="center"/>
              <w:textAlignment w:val="auto"/>
              <w:rPr>
                <w:rFonts w:hint="eastAsia" w:ascii="仿宋_GB2312" w:hAnsi="Times New Roman" w:eastAsia="仿宋_GB2312" w:cs="Times New Roman"/>
                <w:color w:val="auto"/>
                <w:sz w:val="28"/>
                <w:szCs w:val="28"/>
              </w:rPr>
            </w:pPr>
            <w:r>
              <w:rPr>
                <w:rFonts w:hint="eastAsia" w:ascii="仿宋_GB2312" w:hAnsi="Times New Roman" w:eastAsia="仿宋_GB2312" w:cs="Times New Roman"/>
                <w:color w:val="auto"/>
                <w:sz w:val="28"/>
                <w:szCs w:val="28"/>
              </w:rPr>
              <w:t>（元</w:t>
            </w:r>
            <w:r>
              <w:rPr>
                <w:rFonts w:hint="eastAsia" w:ascii="仿宋_GB2312" w:hAnsi="Times New Roman" w:eastAsia="仿宋_GB2312" w:cs="Times New Roman"/>
                <w:color w:val="auto"/>
                <w:sz w:val="28"/>
                <w:szCs w:val="28"/>
                <w:lang w:val="en-US" w:eastAsia="zh-CN"/>
              </w:rPr>
              <w:t>/</w:t>
            </w:r>
            <w:r>
              <w:rPr>
                <w:rFonts w:hint="eastAsia" w:ascii="仿宋_GB2312" w:hAnsi="Times New Roman" w:eastAsia="仿宋_GB2312" w:cs="Times New Roman"/>
                <w:color w:val="auto"/>
                <w:sz w:val="28"/>
                <w:szCs w:val="28"/>
              </w:rPr>
              <w:t>平方米</w:t>
            </w:r>
            <w:r>
              <w:rPr>
                <w:rFonts w:hint="eastAsia" w:ascii="仿宋_GB2312" w:hAnsi="Times New Roman" w:eastAsia="仿宋_GB2312" w:cs="Times New Roman"/>
                <w:color w:val="auto"/>
                <w:sz w:val="28"/>
                <w:szCs w:val="28"/>
                <w:lang w:val="en-US" w:eastAsia="zh-CN"/>
              </w:rPr>
              <w:t>·</w:t>
            </w:r>
            <w:r>
              <w:rPr>
                <w:rFonts w:hint="eastAsia" w:ascii="仿宋_GB2312" w:hAnsi="Times New Roman" w:eastAsia="仿宋_GB2312" w:cs="Times New Roman"/>
                <w:color w:val="auto"/>
                <w:sz w:val="28"/>
                <w:szCs w:val="28"/>
              </w:rPr>
              <w:t>月）</w:t>
            </w:r>
          </w:p>
        </w:tc>
        <w:tc>
          <w:tcPr>
            <w:tcW w:w="2804" w:type="dxa"/>
            <w:noWrap w:val="0"/>
            <w:vAlign w:val="center"/>
          </w:tcPr>
          <w:p>
            <w:pPr>
              <w:jc w:val="center"/>
              <w:rPr>
                <w:rFonts w:hint="eastAsia" w:ascii="仿宋_GB2312" w:hAnsi="Times New Roman" w:eastAsia="仿宋_GB2312" w:cs="Times New Roman"/>
                <w:color w:val="auto"/>
                <w:sz w:val="28"/>
                <w:szCs w:val="28"/>
              </w:rPr>
            </w:pPr>
            <w:r>
              <w:rPr>
                <w:rFonts w:hint="eastAsia" w:ascii="仿宋_GB2312" w:hAnsi="Times New Roman" w:eastAsia="仿宋_GB2312" w:cs="Times New Roman"/>
                <w:color w:val="auto"/>
                <w:sz w:val="28"/>
                <w:szCs w:val="28"/>
              </w:rPr>
              <w:t>补偿时间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4" w:hRule="exact"/>
          <w:jc w:val="center"/>
        </w:trPr>
        <w:tc>
          <w:tcPr>
            <w:tcW w:w="1699" w:type="dxa"/>
            <w:vMerge w:val="restart"/>
            <w:noWrap w:val="0"/>
            <w:vAlign w:val="center"/>
          </w:tcPr>
          <w:p>
            <w:pPr>
              <w:jc w:val="center"/>
              <w:rPr>
                <w:rFonts w:hint="eastAsia" w:ascii="仿宋_GB2312" w:hAnsi="Times New Roman" w:eastAsia="仿宋_GB2312" w:cs="Times New Roman"/>
                <w:color w:val="auto"/>
                <w:sz w:val="28"/>
                <w:szCs w:val="28"/>
              </w:rPr>
            </w:pPr>
            <w:r>
              <w:rPr>
                <w:rFonts w:hint="eastAsia" w:ascii="仿宋_GB2312" w:hAnsi="Times New Roman" w:eastAsia="仿宋_GB2312" w:cs="Times New Roman"/>
                <w:color w:val="auto"/>
                <w:sz w:val="28"/>
                <w:szCs w:val="28"/>
              </w:rPr>
              <w:t>货币安置</w:t>
            </w:r>
          </w:p>
        </w:tc>
        <w:tc>
          <w:tcPr>
            <w:tcW w:w="1373" w:type="dxa"/>
            <w:noWrap w:val="0"/>
            <w:vAlign w:val="center"/>
          </w:tcPr>
          <w:p>
            <w:pPr>
              <w:jc w:val="center"/>
              <w:rPr>
                <w:rFonts w:hint="eastAsia" w:ascii="仿宋_GB2312" w:hAnsi="Times New Roman" w:eastAsia="仿宋_GB2312" w:cs="Times New Roman"/>
                <w:color w:val="auto"/>
                <w:sz w:val="28"/>
                <w:szCs w:val="28"/>
              </w:rPr>
            </w:pPr>
            <w:r>
              <w:rPr>
                <w:rFonts w:hint="eastAsia" w:ascii="仿宋_GB2312" w:hAnsi="Times New Roman" w:eastAsia="仿宋_GB2312" w:cs="Times New Roman"/>
                <w:color w:val="auto"/>
                <w:sz w:val="28"/>
                <w:szCs w:val="28"/>
              </w:rPr>
              <w:t>住宅</w:t>
            </w:r>
          </w:p>
        </w:tc>
        <w:tc>
          <w:tcPr>
            <w:tcW w:w="2365" w:type="dxa"/>
            <w:noWrap w:val="0"/>
            <w:vAlign w:val="center"/>
          </w:tcPr>
          <w:p>
            <w:pPr>
              <w:jc w:val="center"/>
              <w:rPr>
                <w:rFonts w:hint="eastAsia" w:ascii="仿宋_GB2312" w:hAnsi="Times New Roman" w:eastAsia="仿宋_GB2312" w:cs="Times New Roman"/>
                <w:color w:val="auto"/>
                <w:sz w:val="28"/>
                <w:szCs w:val="28"/>
              </w:rPr>
            </w:pPr>
            <w:r>
              <w:rPr>
                <w:rFonts w:hint="eastAsia" w:ascii="仿宋_GB2312" w:hAnsi="Times New Roman" w:eastAsia="仿宋_GB2312" w:cs="Times New Roman"/>
                <w:color w:val="auto"/>
                <w:sz w:val="28"/>
                <w:szCs w:val="28"/>
              </w:rPr>
              <w:t>12</w:t>
            </w:r>
          </w:p>
        </w:tc>
        <w:tc>
          <w:tcPr>
            <w:tcW w:w="2804" w:type="dxa"/>
            <w:noWrap w:val="0"/>
            <w:vAlign w:val="center"/>
          </w:tcPr>
          <w:p>
            <w:pPr>
              <w:jc w:val="center"/>
              <w:rPr>
                <w:rFonts w:hint="eastAsia" w:ascii="仿宋_GB2312" w:hAnsi="Times New Roman" w:eastAsia="仿宋_GB2312" w:cs="Times New Roman"/>
                <w:color w:val="auto"/>
                <w:sz w:val="28"/>
                <w:szCs w:val="28"/>
              </w:rPr>
            </w:pPr>
            <w:r>
              <w:rPr>
                <w:rFonts w:hint="eastAsia" w:ascii="仿宋_GB2312" w:hAnsi="Times New Roman" w:eastAsia="仿宋_GB2312" w:cs="Times New Roman"/>
                <w:color w:val="auto"/>
                <w:sz w:val="28"/>
                <w:szCs w:val="28"/>
                <w:lang w:val="en-US" w:eastAsia="zh-CN"/>
              </w:rPr>
              <w:t>6</w:t>
            </w:r>
            <w:r>
              <w:rPr>
                <w:rFonts w:hint="eastAsia" w:ascii="仿宋_GB2312" w:hAnsi="Times New Roman" w:eastAsia="仿宋_GB2312" w:cs="Times New Roman"/>
                <w:color w:val="auto"/>
                <w:sz w:val="28"/>
                <w:szCs w:val="28"/>
              </w:rPr>
              <w:t>个月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4" w:hRule="exact"/>
          <w:jc w:val="center"/>
        </w:trPr>
        <w:tc>
          <w:tcPr>
            <w:tcW w:w="1699" w:type="dxa"/>
            <w:vMerge w:val="continue"/>
            <w:noWrap w:val="0"/>
            <w:vAlign w:val="center"/>
          </w:tcPr>
          <w:p>
            <w:pPr>
              <w:jc w:val="center"/>
              <w:rPr>
                <w:rFonts w:hint="eastAsia" w:ascii="仿宋_GB2312" w:hAnsi="Times New Roman" w:eastAsia="仿宋_GB2312" w:cs="Times New Roman"/>
                <w:color w:val="auto"/>
                <w:sz w:val="28"/>
                <w:szCs w:val="28"/>
              </w:rPr>
            </w:pPr>
          </w:p>
        </w:tc>
        <w:tc>
          <w:tcPr>
            <w:tcW w:w="1373" w:type="dxa"/>
            <w:noWrap w:val="0"/>
            <w:vAlign w:val="center"/>
          </w:tcPr>
          <w:p>
            <w:pPr>
              <w:jc w:val="center"/>
              <w:rPr>
                <w:rFonts w:hint="eastAsia" w:ascii="仿宋_GB2312" w:hAnsi="Times New Roman" w:eastAsia="仿宋_GB2312" w:cs="Times New Roman"/>
                <w:color w:val="auto"/>
                <w:sz w:val="28"/>
                <w:szCs w:val="28"/>
              </w:rPr>
            </w:pPr>
            <w:r>
              <w:rPr>
                <w:rFonts w:hint="eastAsia" w:ascii="仿宋_GB2312" w:hAnsi="Times New Roman" w:eastAsia="仿宋_GB2312" w:cs="Times New Roman"/>
                <w:color w:val="auto"/>
                <w:sz w:val="28"/>
                <w:szCs w:val="28"/>
              </w:rPr>
              <w:t>厂房</w:t>
            </w:r>
          </w:p>
        </w:tc>
        <w:tc>
          <w:tcPr>
            <w:tcW w:w="2365" w:type="dxa"/>
            <w:noWrap w:val="0"/>
            <w:vAlign w:val="center"/>
          </w:tcPr>
          <w:p>
            <w:pPr>
              <w:jc w:val="center"/>
              <w:rPr>
                <w:rFonts w:hint="eastAsia" w:ascii="仿宋_GB2312" w:hAnsi="Times New Roman" w:eastAsia="仿宋_GB2312" w:cs="Times New Roman"/>
                <w:color w:val="auto"/>
                <w:sz w:val="28"/>
                <w:szCs w:val="28"/>
              </w:rPr>
            </w:pPr>
            <w:r>
              <w:rPr>
                <w:rFonts w:hint="eastAsia" w:ascii="仿宋_GB2312" w:hAnsi="Times New Roman" w:eastAsia="仿宋_GB2312" w:cs="Times New Roman"/>
                <w:color w:val="auto"/>
                <w:sz w:val="28"/>
                <w:szCs w:val="28"/>
              </w:rPr>
              <w:t>11.5</w:t>
            </w:r>
          </w:p>
        </w:tc>
        <w:tc>
          <w:tcPr>
            <w:tcW w:w="2804" w:type="dxa"/>
            <w:noWrap w:val="0"/>
            <w:vAlign w:val="center"/>
          </w:tcPr>
          <w:p>
            <w:pPr>
              <w:jc w:val="center"/>
              <w:rPr>
                <w:rFonts w:hint="eastAsia" w:ascii="仿宋_GB2312" w:hAnsi="Times New Roman" w:eastAsia="仿宋_GB2312" w:cs="Times New Roman"/>
                <w:color w:val="auto"/>
                <w:sz w:val="28"/>
                <w:szCs w:val="28"/>
              </w:rPr>
            </w:pPr>
            <w:r>
              <w:rPr>
                <w:rFonts w:hint="eastAsia" w:ascii="仿宋_GB2312" w:hAnsi="Times New Roman" w:eastAsia="仿宋_GB2312" w:cs="Times New Roman"/>
                <w:color w:val="auto"/>
                <w:sz w:val="28"/>
                <w:szCs w:val="28"/>
                <w:lang w:val="en-US" w:eastAsia="zh-CN"/>
              </w:rPr>
              <w:t>6</w:t>
            </w:r>
            <w:r>
              <w:rPr>
                <w:rFonts w:hint="eastAsia" w:ascii="仿宋_GB2312" w:hAnsi="Times New Roman" w:eastAsia="仿宋_GB2312" w:cs="Times New Roman"/>
                <w:color w:val="auto"/>
                <w:sz w:val="28"/>
                <w:szCs w:val="28"/>
              </w:rPr>
              <w:t>个月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4" w:hRule="exact"/>
          <w:jc w:val="center"/>
        </w:trPr>
        <w:tc>
          <w:tcPr>
            <w:tcW w:w="1699" w:type="dxa"/>
            <w:vMerge w:val="continue"/>
            <w:noWrap w:val="0"/>
            <w:vAlign w:val="center"/>
          </w:tcPr>
          <w:p>
            <w:pPr>
              <w:jc w:val="center"/>
              <w:rPr>
                <w:rFonts w:hint="eastAsia" w:ascii="仿宋_GB2312" w:hAnsi="Times New Roman" w:eastAsia="仿宋_GB2312" w:cs="Times New Roman"/>
                <w:color w:val="auto"/>
                <w:sz w:val="28"/>
                <w:szCs w:val="28"/>
              </w:rPr>
            </w:pPr>
          </w:p>
        </w:tc>
        <w:tc>
          <w:tcPr>
            <w:tcW w:w="1373" w:type="dxa"/>
            <w:noWrap w:val="0"/>
            <w:vAlign w:val="center"/>
          </w:tcPr>
          <w:p>
            <w:pPr>
              <w:jc w:val="center"/>
              <w:rPr>
                <w:rFonts w:hint="eastAsia" w:ascii="仿宋_GB2312" w:hAnsi="Times New Roman" w:eastAsia="仿宋_GB2312" w:cs="Times New Roman"/>
                <w:color w:val="auto"/>
                <w:sz w:val="28"/>
                <w:szCs w:val="28"/>
              </w:rPr>
            </w:pPr>
            <w:r>
              <w:rPr>
                <w:rFonts w:hint="eastAsia" w:ascii="仿宋_GB2312" w:hAnsi="Times New Roman" w:eastAsia="仿宋_GB2312" w:cs="Times New Roman"/>
                <w:color w:val="auto"/>
                <w:sz w:val="28"/>
                <w:szCs w:val="28"/>
              </w:rPr>
              <w:t>办公</w:t>
            </w:r>
          </w:p>
        </w:tc>
        <w:tc>
          <w:tcPr>
            <w:tcW w:w="2365" w:type="dxa"/>
            <w:noWrap w:val="0"/>
            <w:vAlign w:val="center"/>
          </w:tcPr>
          <w:p>
            <w:pPr>
              <w:jc w:val="center"/>
              <w:rPr>
                <w:rFonts w:hint="eastAsia" w:ascii="仿宋_GB2312" w:hAnsi="Times New Roman" w:eastAsia="仿宋_GB2312" w:cs="Times New Roman"/>
                <w:color w:val="auto"/>
                <w:sz w:val="28"/>
                <w:szCs w:val="28"/>
              </w:rPr>
            </w:pPr>
            <w:r>
              <w:rPr>
                <w:rFonts w:hint="eastAsia" w:ascii="仿宋_GB2312" w:hAnsi="Times New Roman" w:eastAsia="仿宋_GB2312" w:cs="Times New Roman"/>
                <w:color w:val="auto"/>
                <w:sz w:val="28"/>
                <w:szCs w:val="28"/>
              </w:rPr>
              <w:t>12</w:t>
            </w:r>
          </w:p>
        </w:tc>
        <w:tc>
          <w:tcPr>
            <w:tcW w:w="2804" w:type="dxa"/>
            <w:noWrap w:val="0"/>
            <w:vAlign w:val="center"/>
          </w:tcPr>
          <w:p>
            <w:pPr>
              <w:jc w:val="center"/>
              <w:rPr>
                <w:rFonts w:hint="eastAsia" w:ascii="仿宋_GB2312" w:hAnsi="Times New Roman" w:eastAsia="仿宋_GB2312" w:cs="Times New Roman"/>
                <w:color w:val="auto"/>
                <w:sz w:val="28"/>
                <w:szCs w:val="28"/>
              </w:rPr>
            </w:pPr>
            <w:r>
              <w:rPr>
                <w:rFonts w:hint="eastAsia" w:ascii="仿宋_GB2312" w:hAnsi="Times New Roman" w:eastAsia="仿宋_GB2312" w:cs="Times New Roman"/>
                <w:color w:val="auto"/>
                <w:sz w:val="28"/>
                <w:szCs w:val="28"/>
                <w:lang w:val="en-US" w:eastAsia="zh-CN"/>
              </w:rPr>
              <w:t>6</w:t>
            </w:r>
            <w:r>
              <w:rPr>
                <w:rFonts w:hint="eastAsia" w:ascii="仿宋_GB2312" w:hAnsi="Times New Roman" w:eastAsia="仿宋_GB2312" w:cs="Times New Roman"/>
                <w:color w:val="auto"/>
                <w:sz w:val="28"/>
                <w:szCs w:val="28"/>
              </w:rPr>
              <w:t>个月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4" w:hRule="exact"/>
          <w:jc w:val="center"/>
        </w:trPr>
        <w:tc>
          <w:tcPr>
            <w:tcW w:w="1699" w:type="dxa"/>
            <w:vMerge w:val="restart"/>
            <w:noWrap w:val="0"/>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auto"/>
              <w:rPr>
                <w:rFonts w:hint="eastAsia" w:ascii="仿宋_GB2312" w:hAnsi="Times New Roman" w:eastAsia="仿宋_GB2312" w:cs="Times New Roman"/>
                <w:color w:val="auto"/>
                <w:sz w:val="28"/>
                <w:szCs w:val="28"/>
              </w:rPr>
            </w:pPr>
            <w:r>
              <w:rPr>
                <w:rFonts w:hint="eastAsia" w:ascii="仿宋_GB2312" w:hAnsi="Times New Roman" w:eastAsia="仿宋_GB2312" w:cs="Times New Roman"/>
                <w:color w:val="auto"/>
                <w:sz w:val="28"/>
                <w:szCs w:val="28"/>
              </w:rPr>
              <w:t>产权调换、公寓安置</w:t>
            </w:r>
          </w:p>
        </w:tc>
        <w:tc>
          <w:tcPr>
            <w:tcW w:w="1373" w:type="dxa"/>
            <w:noWrap w:val="0"/>
            <w:vAlign w:val="center"/>
          </w:tcPr>
          <w:p>
            <w:pPr>
              <w:jc w:val="center"/>
              <w:rPr>
                <w:rFonts w:hint="eastAsia" w:ascii="仿宋_GB2312" w:hAnsi="Times New Roman" w:eastAsia="仿宋_GB2312" w:cs="Times New Roman"/>
                <w:color w:val="auto"/>
                <w:sz w:val="28"/>
                <w:szCs w:val="28"/>
              </w:rPr>
            </w:pPr>
            <w:r>
              <w:rPr>
                <w:rFonts w:hint="eastAsia" w:ascii="仿宋_GB2312" w:hAnsi="Times New Roman" w:eastAsia="仿宋_GB2312" w:cs="Times New Roman"/>
                <w:color w:val="auto"/>
                <w:sz w:val="28"/>
                <w:szCs w:val="28"/>
              </w:rPr>
              <w:t>住宅</w:t>
            </w:r>
          </w:p>
        </w:tc>
        <w:tc>
          <w:tcPr>
            <w:tcW w:w="2365" w:type="dxa"/>
            <w:noWrap w:val="0"/>
            <w:vAlign w:val="center"/>
          </w:tcPr>
          <w:p>
            <w:pPr>
              <w:jc w:val="center"/>
              <w:rPr>
                <w:rFonts w:hint="eastAsia" w:ascii="仿宋_GB2312" w:hAnsi="Times New Roman" w:eastAsia="仿宋_GB2312" w:cs="Times New Roman"/>
                <w:color w:val="auto"/>
                <w:sz w:val="28"/>
                <w:szCs w:val="28"/>
              </w:rPr>
            </w:pPr>
            <w:r>
              <w:rPr>
                <w:rFonts w:hint="eastAsia" w:ascii="仿宋_GB2312" w:hAnsi="Times New Roman" w:eastAsia="仿宋_GB2312" w:cs="Times New Roman"/>
                <w:color w:val="auto"/>
                <w:sz w:val="28"/>
                <w:szCs w:val="28"/>
              </w:rPr>
              <w:t>12</w:t>
            </w:r>
          </w:p>
        </w:tc>
        <w:tc>
          <w:tcPr>
            <w:tcW w:w="2804" w:type="dxa"/>
            <w:noWrap w:val="0"/>
            <w:vAlign w:val="center"/>
          </w:tcPr>
          <w:p>
            <w:pPr>
              <w:jc w:val="center"/>
              <w:rPr>
                <w:rFonts w:hint="eastAsia" w:ascii="仿宋_GB2312" w:hAnsi="Times New Roman" w:eastAsia="仿宋_GB2312" w:cs="Times New Roman"/>
                <w:color w:val="auto"/>
                <w:sz w:val="28"/>
                <w:szCs w:val="28"/>
              </w:rPr>
            </w:pPr>
            <w:r>
              <w:rPr>
                <w:rFonts w:hint="eastAsia" w:ascii="仿宋_GB2312" w:hAnsi="Times New Roman" w:eastAsia="仿宋_GB2312" w:cs="Times New Roman"/>
                <w:color w:val="auto"/>
                <w:sz w:val="28"/>
                <w:szCs w:val="28"/>
              </w:rPr>
              <w:t>按征收补偿协议约定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4" w:hRule="exact"/>
          <w:jc w:val="center"/>
        </w:trPr>
        <w:tc>
          <w:tcPr>
            <w:tcW w:w="1699" w:type="dxa"/>
            <w:vMerge w:val="continue"/>
            <w:noWrap w:val="0"/>
            <w:vAlign w:val="center"/>
          </w:tcPr>
          <w:p>
            <w:pPr>
              <w:jc w:val="center"/>
              <w:rPr>
                <w:rFonts w:hint="eastAsia" w:ascii="仿宋_GB2312" w:hAnsi="Times New Roman" w:eastAsia="仿宋_GB2312" w:cs="Times New Roman"/>
                <w:color w:val="auto"/>
                <w:sz w:val="28"/>
                <w:szCs w:val="28"/>
              </w:rPr>
            </w:pPr>
          </w:p>
        </w:tc>
        <w:tc>
          <w:tcPr>
            <w:tcW w:w="1373" w:type="dxa"/>
            <w:noWrap w:val="0"/>
            <w:vAlign w:val="center"/>
          </w:tcPr>
          <w:p>
            <w:pPr>
              <w:jc w:val="center"/>
              <w:rPr>
                <w:rFonts w:hint="eastAsia" w:ascii="仿宋_GB2312" w:hAnsi="Times New Roman" w:eastAsia="仿宋_GB2312" w:cs="Times New Roman"/>
                <w:color w:val="auto"/>
                <w:sz w:val="28"/>
                <w:szCs w:val="28"/>
              </w:rPr>
            </w:pPr>
            <w:r>
              <w:rPr>
                <w:rFonts w:hint="eastAsia" w:ascii="仿宋_GB2312" w:hAnsi="Times New Roman" w:eastAsia="仿宋_GB2312" w:cs="Times New Roman"/>
                <w:color w:val="auto"/>
                <w:sz w:val="28"/>
                <w:szCs w:val="28"/>
              </w:rPr>
              <w:t>厂房</w:t>
            </w:r>
          </w:p>
        </w:tc>
        <w:tc>
          <w:tcPr>
            <w:tcW w:w="2365" w:type="dxa"/>
            <w:noWrap w:val="0"/>
            <w:vAlign w:val="center"/>
          </w:tcPr>
          <w:p>
            <w:pPr>
              <w:jc w:val="center"/>
              <w:rPr>
                <w:rFonts w:hint="eastAsia" w:ascii="仿宋_GB2312" w:hAnsi="Times New Roman" w:eastAsia="仿宋_GB2312" w:cs="Times New Roman"/>
                <w:color w:val="auto"/>
                <w:sz w:val="28"/>
                <w:szCs w:val="28"/>
              </w:rPr>
            </w:pPr>
            <w:r>
              <w:rPr>
                <w:rFonts w:hint="eastAsia" w:ascii="仿宋_GB2312" w:hAnsi="Times New Roman" w:eastAsia="仿宋_GB2312" w:cs="Times New Roman"/>
                <w:color w:val="auto"/>
                <w:sz w:val="28"/>
                <w:szCs w:val="28"/>
              </w:rPr>
              <w:t>11.5</w:t>
            </w:r>
          </w:p>
        </w:tc>
        <w:tc>
          <w:tcPr>
            <w:tcW w:w="2804" w:type="dxa"/>
            <w:noWrap w:val="0"/>
            <w:vAlign w:val="center"/>
          </w:tcPr>
          <w:p>
            <w:pPr>
              <w:jc w:val="center"/>
              <w:rPr>
                <w:rFonts w:hint="eastAsia" w:ascii="仿宋_GB2312" w:hAnsi="Times New Roman" w:eastAsia="仿宋_GB2312" w:cs="Times New Roman"/>
                <w:color w:val="auto"/>
                <w:sz w:val="28"/>
                <w:szCs w:val="28"/>
              </w:rPr>
            </w:pPr>
            <w:r>
              <w:rPr>
                <w:rFonts w:hint="eastAsia" w:ascii="仿宋_GB2312" w:hAnsi="Times New Roman" w:eastAsia="仿宋_GB2312" w:cs="Times New Roman"/>
                <w:color w:val="auto"/>
                <w:sz w:val="28"/>
                <w:szCs w:val="28"/>
              </w:rPr>
              <w:t>按征收补偿协议约定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4" w:hRule="exact"/>
          <w:jc w:val="center"/>
        </w:trPr>
        <w:tc>
          <w:tcPr>
            <w:tcW w:w="1699" w:type="dxa"/>
            <w:vMerge w:val="continue"/>
            <w:noWrap w:val="0"/>
            <w:vAlign w:val="center"/>
          </w:tcPr>
          <w:p>
            <w:pPr>
              <w:jc w:val="center"/>
              <w:rPr>
                <w:rFonts w:hint="eastAsia" w:ascii="仿宋_GB2312" w:hAnsi="Times New Roman" w:eastAsia="仿宋_GB2312" w:cs="Times New Roman"/>
                <w:color w:val="auto"/>
                <w:sz w:val="28"/>
                <w:szCs w:val="28"/>
              </w:rPr>
            </w:pPr>
          </w:p>
        </w:tc>
        <w:tc>
          <w:tcPr>
            <w:tcW w:w="1373" w:type="dxa"/>
            <w:noWrap w:val="0"/>
            <w:vAlign w:val="center"/>
          </w:tcPr>
          <w:p>
            <w:pPr>
              <w:jc w:val="center"/>
              <w:rPr>
                <w:rFonts w:hint="eastAsia" w:ascii="仿宋_GB2312" w:hAnsi="Times New Roman" w:eastAsia="仿宋_GB2312" w:cs="Times New Roman"/>
                <w:color w:val="auto"/>
                <w:sz w:val="28"/>
                <w:szCs w:val="28"/>
              </w:rPr>
            </w:pPr>
            <w:r>
              <w:rPr>
                <w:rFonts w:hint="eastAsia" w:ascii="仿宋_GB2312" w:hAnsi="Times New Roman" w:eastAsia="仿宋_GB2312" w:cs="Times New Roman"/>
                <w:color w:val="auto"/>
                <w:sz w:val="28"/>
                <w:szCs w:val="28"/>
              </w:rPr>
              <w:t>办公</w:t>
            </w:r>
          </w:p>
        </w:tc>
        <w:tc>
          <w:tcPr>
            <w:tcW w:w="2365" w:type="dxa"/>
            <w:noWrap w:val="0"/>
            <w:vAlign w:val="center"/>
          </w:tcPr>
          <w:p>
            <w:pPr>
              <w:jc w:val="center"/>
              <w:rPr>
                <w:rFonts w:hint="eastAsia" w:ascii="仿宋_GB2312" w:hAnsi="Times New Roman" w:eastAsia="仿宋_GB2312" w:cs="Times New Roman"/>
                <w:color w:val="auto"/>
                <w:sz w:val="28"/>
                <w:szCs w:val="28"/>
              </w:rPr>
            </w:pPr>
            <w:r>
              <w:rPr>
                <w:rFonts w:hint="eastAsia" w:ascii="仿宋_GB2312" w:hAnsi="Times New Roman" w:eastAsia="仿宋_GB2312" w:cs="Times New Roman"/>
                <w:color w:val="auto"/>
                <w:sz w:val="28"/>
                <w:szCs w:val="28"/>
              </w:rPr>
              <w:t>12</w:t>
            </w:r>
          </w:p>
        </w:tc>
        <w:tc>
          <w:tcPr>
            <w:tcW w:w="2804" w:type="dxa"/>
            <w:noWrap w:val="0"/>
            <w:vAlign w:val="center"/>
          </w:tcPr>
          <w:p>
            <w:pPr>
              <w:jc w:val="center"/>
              <w:rPr>
                <w:rFonts w:hint="eastAsia" w:ascii="仿宋_GB2312" w:hAnsi="Times New Roman" w:eastAsia="仿宋_GB2312" w:cs="Times New Roman"/>
                <w:color w:val="auto"/>
                <w:sz w:val="28"/>
                <w:szCs w:val="28"/>
              </w:rPr>
            </w:pPr>
            <w:r>
              <w:rPr>
                <w:rFonts w:hint="eastAsia" w:ascii="仿宋_GB2312" w:hAnsi="Times New Roman" w:eastAsia="仿宋_GB2312" w:cs="Times New Roman"/>
                <w:color w:val="auto"/>
                <w:sz w:val="28"/>
                <w:szCs w:val="28"/>
              </w:rPr>
              <w:t>按征收补偿协议约定</w:t>
            </w:r>
          </w:p>
        </w:tc>
      </w:tr>
    </w:tbl>
    <w:p>
      <w:pPr>
        <w:keepNext w:val="0"/>
        <w:keepLines w:val="0"/>
        <w:pageBreakBefore w:val="0"/>
        <w:widowControl w:val="0"/>
        <w:kinsoku/>
        <w:wordWrap/>
        <w:overflowPunct/>
        <w:topLinePunct w:val="0"/>
        <w:autoSpaceDE/>
        <w:autoSpaceDN/>
        <w:bidi w:val="0"/>
        <w:adjustRightInd/>
        <w:snapToGrid/>
        <w:spacing w:line="600" w:lineRule="exact"/>
        <w:ind w:firstLine="1606" w:firstLineChars="500"/>
        <w:jc w:val="both"/>
        <w:textAlignment w:val="auto"/>
        <w:rPr>
          <w:rFonts w:hint="eastAsia" w:ascii="仿宋_GB2312" w:hAnsi="仿宋_GB2312" w:eastAsia="仿宋_GB2312" w:cs="仿宋_GB2312"/>
          <w:b/>
          <w:bCs/>
          <w:color w:val="auto"/>
          <w:sz w:val="32"/>
          <w:szCs w:val="32"/>
          <w:lang w:val="en-US" w:eastAsia="zh-CN"/>
        </w:rPr>
      </w:pPr>
      <w:r>
        <w:rPr>
          <w:rFonts w:hint="eastAsia" w:ascii="仿宋_GB2312" w:hAnsi="仿宋_GB2312" w:eastAsia="仿宋_GB2312" w:cs="仿宋_GB2312"/>
          <w:b/>
          <w:bCs/>
          <w:color w:val="auto"/>
          <w:sz w:val="32"/>
          <w:szCs w:val="32"/>
          <w:lang w:val="en-US" w:eastAsia="zh-CN"/>
        </w:rPr>
        <w:t>庆元县城严控区范围外临时安置费标准</w:t>
      </w:r>
    </w:p>
    <w:tbl>
      <w:tblPr>
        <w:tblStyle w:val="6"/>
        <w:tblW w:w="82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8"/>
        <w:gridCol w:w="1373"/>
        <w:gridCol w:w="2377"/>
        <w:gridCol w:w="277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0" w:hRule="exact"/>
          <w:jc w:val="center"/>
        </w:trPr>
        <w:tc>
          <w:tcPr>
            <w:tcW w:w="1708" w:type="dxa"/>
            <w:shd w:val="clear" w:color="auto" w:fill="auto"/>
            <w:noWrap w:val="0"/>
            <w:vAlign w:val="center"/>
          </w:tcPr>
          <w:p>
            <w:pPr>
              <w:snapToGrid w:val="0"/>
              <w:spacing w:line="460" w:lineRule="atLeast"/>
              <w:jc w:val="center"/>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补偿方式</w:t>
            </w:r>
          </w:p>
        </w:tc>
        <w:tc>
          <w:tcPr>
            <w:tcW w:w="1373" w:type="dxa"/>
            <w:shd w:val="clear" w:color="auto" w:fill="auto"/>
            <w:noWrap w:val="0"/>
            <w:vAlign w:val="center"/>
          </w:tcPr>
          <w:p>
            <w:pPr>
              <w:jc w:val="center"/>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类别</w:t>
            </w:r>
          </w:p>
        </w:tc>
        <w:tc>
          <w:tcPr>
            <w:tcW w:w="2377" w:type="dxa"/>
            <w:shd w:val="clear" w:color="auto" w:fill="auto"/>
            <w:noWrap w:val="0"/>
            <w:vAlign w:val="center"/>
          </w:tcPr>
          <w:p>
            <w:pPr>
              <w:keepNext w:val="0"/>
              <w:keepLines w:val="0"/>
              <w:pageBreakBefore w:val="0"/>
              <w:widowControl/>
              <w:kinsoku/>
              <w:wordWrap/>
              <w:overflowPunct/>
              <w:topLinePunct w:val="0"/>
              <w:autoSpaceDE/>
              <w:autoSpaceDN/>
              <w:bidi w:val="0"/>
              <w:adjustRightInd/>
              <w:snapToGrid/>
              <w:spacing w:line="360" w:lineRule="exact"/>
              <w:jc w:val="center"/>
              <w:textAlignment w:val="auto"/>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单价</w:t>
            </w:r>
          </w:p>
          <w:p>
            <w:pPr>
              <w:keepNext w:val="0"/>
              <w:keepLines w:val="0"/>
              <w:pageBreakBefore w:val="0"/>
              <w:widowControl/>
              <w:kinsoku/>
              <w:wordWrap/>
              <w:overflowPunct/>
              <w:topLinePunct w:val="0"/>
              <w:autoSpaceDE/>
              <w:autoSpaceDN/>
              <w:bidi w:val="0"/>
              <w:adjustRightInd/>
              <w:snapToGrid/>
              <w:spacing w:line="360" w:lineRule="exact"/>
              <w:jc w:val="center"/>
              <w:textAlignment w:val="auto"/>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（元</w:t>
            </w:r>
            <w:r>
              <w:rPr>
                <w:rFonts w:hint="eastAsia" w:ascii="仿宋_GB2312" w:hAnsi="仿宋_GB2312" w:eastAsia="仿宋_GB2312" w:cs="仿宋_GB2312"/>
                <w:color w:val="auto"/>
                <w:sz w:val="28"/>
                <w:szCs w:val="28"/>
                <w:lang w:val="en-US" w:eastAsia="zh-CN"/>
              </w:rPr>
              <w:t>/</w:t>
            </w:r>
            <w:r>
              <w:rPr>
                <w:rFonts w:hint="eastAsia" w:ascii="仿宋_GB2312" w:hAnsi="仿宋_GB2312" w:eastAsia="仿宋_GB2312" w:cs="仿宋_GB2312"/>
                <w:color w:val="auto"/>
                <w:sz w:val="28"/>
                <w:szCs w:val="28"/>
              </w:rPr>
              <w:t>平方米</w:t>
            </w:r>
            <w:r>
              <w:rPr>
                <w:rFonts w:hint="eastAsia" w:ascii="仿宋_GB2312" w:hAnsi="仿宋_GB2312" w:eastAsia="仿宋_GB2312" w:cs="仿宋_GB2312"/>
                <w:b/>
                <w:bCs/>
                <w:color w:val="auto"/>
                <w:sz w:val="28"/>
                <w:szCs w:val="28"/>
                <w:lang w:val="en-US" w:eastAsia="zh-CN"/>
              </w:rPr>
              <w:t>·</w:t>
            </w:r>
            <w:r>
              <w:rPr>
                <w:rFonts w:hint="eastAsia" w:ascii="仿宋_GB2312" w:hAnsi="仿宋_GB2312" w:eastAsia="仿宋_GB2312" w:cs="仿宋_GB2312"/>
                <w:color w:val="auto"/>
                <w:sz w:val="28"/>
                <w:szCs w:val="28"/>
              </w:rPr>
              <w:t>月）</w:t>
            </w:r>
          </w:p>
        </w:tc>
        <w:tc>
          <w:tcPr>
            <w:tcW w:w="2776" w:type="dxa"/>
            <w:shd w:val="clear" w:color="auto" w:fill="auto"/>
            <w:noWrap w:val="0"/>
            <w:vAlign w:val="center"/>
          </w:tcPr>
          <w:p>
            <w:pPr>
              <w:jc w:val="center"/>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补偿时间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exact"/>
          <w:jc w:val="center"/>
        </w:trPr>
        <w:tc>
          <w:tcPr>
            <w:tcW w:w="1708" w:type="dxa"/>
            <w:vMerge w:val="restart"/>
            <w:shd w:val="clear" w:color="auto" w:fill="auto"/>
            <w:noWrap w:val="0"/>
            <w:vAlign w:val="center"/>
          </w:tcPr>
          <w:p>
            <w:pPr>
              <w:snapToGrid w:val="0"/>
              <w:spacing w:line="460" w:lineRule="atLeast"/>
              <w:jc w:val="center"/>
              <w:rPr>
                <w:rFonts w:hint="eastAsia" w:ascii="仿宋_GB2312" w:hAnsi="仿宋_GB2312" w:eastAsia="仿宋_GB2312" w:cs="仿宋_GB2312"/>
                <w:color w:val="auto"/>
                <w:sz w:val="28"/>
                <w:szCs w:val="28"/>
              </w:rPr>
            </w:pPr>
          </w:p>
          <w:p>
            <w:pPr>
              <w:snapToGrid w:val="0"/>
              <w:spacing w:line="460" w:lineRule="atLeast"/>
              <w:jc w:val="center"/>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货币安置</w:t>
            </w:r>
          </w:p>
          <w:p>
            <w:pPr>
              <w:snapToGrid w:val="0"/>
              <w:spacing w:line="460" w:lineRule="atLeast"/>
              <w:jc w:val="center"/>
              <w:rPr>
                <w:rFonts w:hint="eastAsia" w:ascii="仿宋_GB2312" w:hAnsi="仿宋_GB2312" w:eastAsia="仿宋_GB2312" w:cs="仿宋_GB2312"/>
                <w:color w:val="auto"/>
                <w:sz w:val="28"/>
                <w:szCs w:val="28"/>
              </w:rPr>
            </w:pPr>
          </w:p>
        </w:tc>
        <w:tc>
          <w:tcPr>
            <w:tcW w:w="1373" w:type="dxa"/>
            <w:shd w:val="clear" w:color="auto" w:fill="auto"/>
            <w:noWrap w:val="0"/>
            <w:vAlign w:val="center"/>
          </w:tcPr>
          <w:p>
            <w:pPr>
              <w:jc w:val="center"/>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住宅</w:t>
            </w:r>
          </w:p>
        </w:tc>
        <w:tc>
          <w:tcPr>
            <w:tcW w:w="2377" w:type="dxa"/>
            <w:shd w:val="clear" w:color="auto" w:fill="auto"/>
            <w:noWrap w:val="0"/>
            <w:vAlign w:val="center"/>
          </w:tcPr>
          <w:p>
            <w:pPr>
              <w:jc w:val="center"/>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8</w:t>
            </w:r>
          </w:p>
        </w:tc>
        <w:tc>
          <w:tcPr>
            <w:tcW w:w="2776" w:type="dxa"/>
            <w:shd w:val="clear" w:color="auto" w:fill="auto"/>
            <w:noWrap w:val="0"/>
            <w:vAlign w:val="center"/>
          </w:tcPr>
          <w:p>
            <w:pPr>
              <w:jc w:val="center"/>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lang w:val="en-US" w:eastAsia="zh-CN"/>
              </w:rPr>
              <w:t>6</w:t>
            </w:r>
            <w:r>
              <w:rPr>
                <w:rFonts w:hint="eastAsia" w:ascii="仿宋_GB2312" w:hAnsi="仿宋_GB2312" w:eastAsia="仿宋_GB2312" w:cs="仿宋_GB2312"/>
                <w:color w:val="auto"/>
                <w:sz w:val="28"/>
                <w:szCs w:val="28"/>
              </w:rPr>
              <w:t>个月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exact"/>
          <w:jc w:val="center"/>
        </w:trPr>
        <w:tc>
          <w:tcPr>
            <w:tcW w:w="1708" w:type="dxa"/>
            <w:vMerge w:val="continue"/>
            <w:shd w:val="clear" w:color="auto" w:fill="auto"/>
            <w:noWrap w:val="0"/>
            <w:vAlign w:val="center"/>
          </w:tcPr>
          <w:p>
            <w:pPr>
              <w:snapToGrid w:val="0"/>
              <w:spacing w:line="460" w:lineRule="atLeast"/>
              <w:jc w:val="center"/>
              <w:rPr>
                <w:rFonts w:hint="eastAsia" w:ascii="仿宋_GB2312" w:hAnsi="仿宋_GB2312" w:eastAsia="仿宋_GB2312" w:cs="仿宋_GB2312"/>
                <w:color w:val="auto"/>
                <w:sz w:val="28"/>
                <w:szCs w:val="28"/>
              </w:rPr>
            </w:pPr>
          </w:p>
        </w:tc>
        <w:tc>
          <w:tcPr>
            <w:tcW w:w="1373" w:type="dxa"/>
            <w:shd w:val="clear" w:color="auto" w:fill="auto"/>
            <w:noWrap w:val="0"/>
            <w:vAlign w:val="center"/>
          </w:tcPr>
          <w:p>
            <w:pPr>
              <w:jc w:val="center"/>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厂房</w:t>
            </w:r>
          </w:p>
        </w:tc>
        <w:tc>
          <w:tcPr>
            <w:tcW w:w="2377" w:type="dxa"/>
            <w:shd w:val="clear" w:color="auto" w:fill="auto"/>
            <w:noWrap w:val="0"/>
            <w:vAlign w:val="center"/>
          </w:tcPr>
          <w:p>
            <w:pPr>
              <w:jc w:val="center"/>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8</w:t>
            </w:r>
          </w:p>
        </w:tc>
        <w:tc>
          <w:tcPr>
            <w:tcW w:w="2776" w:type="dxa"/>
            <w:shd w:val="clear" w:color="auto" w:fill="auto"/>
            <w:noWrap w:val="0"/>
            <w:vAlign w:val="center"/>
          </w:tcPr>
          <w:p>
            <w:pPr>
              <w:jc w:val="center"/>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lang w:val="en-US" w:eastAsia="zh-CN"/>
              </w:rPr>
              <w:t>6</w:t>
            </w:r>
            <w:r>
              <w:rPr>
                <w:rFonts w:hint="eastAsia" w:ascii="仿宋_GB2312" w:hAnsi="仿宋_GB2312" w:eastAsia="仿宋_GB2312" w:cs="仿宋_GB2312"/>
                <w:color w:val="auto"/>
                <w:sz w:val="28"/>
                <w:szCs w:val="28"/>
              </w:rPr>
              <w:t>个月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exact"/>
          <w:jc w:val="center"/>
        </w:trPr>
        <w:tc>
          <w:tcPr>
            <w:tcW w:w="1708" w:type="dxa"/>
            <w:vMerge w:val="continue"/>
            <w:shd w:val="clear" w:color="auto" w:fill="auto"/>
            <w:noWrap w:val="0"/>
            <w:vAlign w:val="center"/>
          </w:tcPr>
          <w:p>
            <w:pPr>
              <w:snapToGrid w:val="0"/>
              <w:spacing w:line="460" w:lineRule="atLeast"/>
              <w:jc w:val="center"/>
              <w:rPr>
                <w:rFonts w:hint="eastAsia" w:ascii="仿宋_GB2312" w:hAnsi="仿宋_GB2312" w:eastAsia="仿宋_GB2312" w:cs="仿宋_GB2312"/>
                <w:color w:val="auto"/>
                <w:sz w:val="28"/>
                <w:szCs w:val="28"/>
              </w:rPr>
            </w:pPr>
          </w:p>
        </w:tc>
        <w:tc>
          <w:tcPr>
            <w:tcW w:w="1373" w:type="dxa"/>
            <w:shd w:val="clear" w:color="auto" w:fill="auto"/>
            <w:noWrap w:val="0"/>
            <w:vAlign w:val="center"/>
          </w:tcPr>
          <w:p>
            <w:pPr>
              <w:jc w:val="center"/>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办公</w:t>
            </w:r>
          </w:p>
        </w:tc>
        <w:tc>
          <w:tcPr>
            <w:tcW w:w="2377" w:type="dxa"/>
            <w:shd w:val="clear" w:color="auto" w:fill="auto"/>
            <w:noWrap w:val="0"/>
            <w:vAlign w:val="center"/>
          </w:tcPr>
          <w:p>
            <w:pPr>
              <w:jc w:val="center"/>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8</w:t>
            </w:r>
          </w:p>
        </w:tc>
        <w:tc>
          <w:tcPr>
            <w:tcW w:w="2776" w:type="dxa"/>
            <w:shd w:val="clear" w:color="auto" w:fill="auto"/>
            <w:noWrap w:val="0"/>
            <w:vAlign w:val="center"/>
          </w:tcPr>
          <w:p>
            <w:pPr>
              <w:jc w:val="center"/>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lang w:val="en-US" w:eastAsia="zh-CN"/>
              </w:rPr>
              <w:t>6</w:t>
            </w:r>
            <w:r>
              <w:rPr>
                <w:rFonts w:hint="eastAsia" w:ascii="仿宋_GB2312" w:hAnsi="仿宋_GB2312" w:eastAsia="仿宋_GB2312" w:cs="仿宋_GB2312"/>
                <w:color w:val="auto"/>
                <w:sz w:val="28"/>
                <w:szCs w:val="28"/>
              </w:rPr>
              <w:t>个月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exact"/>
          <w:jc w:val="center"/>
        </w:trPr>
        <w:tc>
          <w:tcPr>
            <w:tcW w:w="1708" w:type="dxa"/>
            <w:vMerge w:val="restart"/>
            <w:shd w:val="clear" w:color="auto" w:fill="auto"/>
            <w:noWrap w:val="0"/>
            <w:vAlign w:val="center"/>
          </w:tcPr>
          <w:p>
            <w:pPr>
              <w:keepNext w:val="0"/>
              <w:keepLines w:val="0"/>
              <w:pageBreakBefore w:val="0"/>
              <w:widowControl/>
              <w:kinsoku/>
              <w:wordWrap/>
              <w:overflowPunct/>
              <w:topLinePunct w:val="0"/>
              <w:autoSpaceDE/>
              <w:autoSpaceDN/>
              <w:bidi w:val="0"/>
              <w:adjustRightInd/>
              <w:snapToGrid w:val="0"/>
              <w:spacing w:line="400" w:lineRule="atLeast"/>
              <w:jc w:val="center"/>
              <w:textAlignment w:val="auto"/>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产权调换、公寓安置</w:t>
            </w:r>
            <w:r>
              <w:rPr>
                <w:rFonts w:hint="eastAsia" w:ascii="仿宋_GB2312" w:hAnsi="仿宋_GB2312" w:eastAsia="仿宋_GB2312" w:cs="仿宋_GB2312"/>
                <w:color w:val="auto"/>
                <w:sz w:val="28"/>
                <w:szCs w:val="28"/>
                <w:lang w:eastAsia="zh-CN"/>
              </w:rPr>
              <w:t>或</w:t>
            </w:r>
            <w:r>
              <w:rPr>
                <w:rFonts w:hint="eastAsia" w:ascii="仿宋_GB2312" w:hAnsi="仿宋_GB2312" w:eastAsia="仿宋_GB2312" w:cs="仿宋_GB2312"/>
                <w:color w:val="auto"/>
                <w:sz w:val="28"/>
                <w:szCs w:val="28"/>
              </w:rPr>
              <w:t>迁建安置</w:t>
            </w:r>
          </w:p>
        </w:tc>
        <w:tc>
          <w:tcPr>
            <w:tcW w:w="1373" w:type="dxa"/>
            <w:shd w:val="clear" w:color="auto" w:fill="auto"/>
            <w:noWrap w:val="0"/>
            <w:vAlign w:val="center"/>
          </w:tcPr>
          <w:p>
            <w:pPr>
              <w:jc w:val="center"/>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住宅</w:t>
            </w:r>
          </w:p>
        </w:tc>
        <w:tc>
          <w:tcPr>
            <w:tcW w:w="2377" w:type="dxa"/>
            <w:shd w:val="clear" w:color="auto" w:fill="auto"/>
            <w:noWrap w:val="0"/>
            <w:vAlign w:val="center"/>
          </w:tcPr>
          <w:p>
            <w:pPr>
              <w:jc w:val="center"/>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8</w:t>
            </w:r>
          </w:p>
        </w:tc>
        <w:tc>
          <w:tcPr>
            <w:tcW w:w="2776" w:type="dxa"/>
            <w:shd w:val="clear" w:color="auto" w:fill="auto"/>
            <w:noWrap w:val="0"/>
            <w:vAlign w:val="center"/>
          </w:tcPr>
          <w:p>
            <w:pPr>
              <w:jc w:val="center"/>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按征收补偿协议约定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exact"/>
          <w:jc w:val="center"/>
        </w:trPr>
        <w:tc>
          <w:tcPr>
            <w:tcW w:w="1708" w:type="dxa"/>
            <w:vMerge w:val="continue"/>
            <w:shd w:val="clear" w:color="auto" w:fill="auto"/>
            <w:noWrap w:val="0"/>
            <w:vAlign w:val="center"/>
          </w:tcPr>
          <w:p>
            <w:pPr>
              <w:snapToGrid w:val="0"/>
              <w:spacing w:line="460" w:lineRule="atLeast"/>
              <w:jc w:val="center"/>
              <w:rPr>
                <w:rFonts w:hint="eastAsia" w:ascii="仿宋_GB2312" w:hAnsi="仿宋_GB2312" w:eastAsia="仿宋_GB2312" w:cs="仿宋_GB2312"/>
                <w:color w:val="auto"/>
                <w:sz w:val="28"/>
                <w:szCs w:val="28"/>
              </w:rPr>
            </w:pPr>
          </w:p>
        </w:tc>
        <w:tc>
          <w:tcPr>
            <w:tcW w:w="1373" w:type="dxa"/>
            <w:shd w:val="clear" w:color="auto" w:fill="auto"/>
            <w:noWrap w:val="0"/>
            <w:vAlign w:val="center"/>
          </w:tcPr>
          <w:p>
            <w:pPr>
              <w:jc w:val="center"/>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厂房</w:t>
            </w:r>
          </w:p>
        </w:tc>
        <w:tc>
          <w:tcPr>
            <w:tcW w:w="2377" w:type="dxa"/>
            <w:shd w:val="clear" w:color="auto" w:fill="auto"/>
            <w:noWrap w:val="0"/>
            <w:vAlign w:val="center"/>
          </w:tcPr>
          <w:p>
            <w:pPr>
              <w:jc w:val="center"/>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8</w:t>
            </w:r>
          </w:p>
        </w:tc>
        <w:tc>
          <w:tcPr>
            <w:tcW w:w="2776" w:type="dxa"/>
            <w:shd w:val="clear" w:color="auto" w:fill="auto"/>
            <w:noWrap w:val="0"/>
            <w:vAlign w:val="center"/>
          </w:tcPr>
          <w:p>
            <w:pPr>
              <w:jc w:val="center"/>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按征收补偿协议约定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exact"/>
          <w:jc w:val="center"/>
        </w:trPr>
        <w:tc>
          <w:tcPr>
            <w:tcW w:w="1708" w:type="dxa"/>
            <w:vMerge w:val="continue"/>
            <w:shd w:val="clear" w:color="auto" w:fill="auto"/>
            <w:noWrap w:val="0"/>
            <w:vAlign w:val="center"/>
          </w:tcPr>
          <w:p>
            <w:pPr>
              <w:snapToGrid w:val="0"/>
              <w:spacing w:line="460" w:lineRule="atLeast"/>
              <w:jc w:val="center"/>
              <w:rPr>
                <w:rFonts w:hint="eastAsia" w:ascii="仿宋_GB2312" w:hAnsi="仿宋_GB2312" w:eastAsia="仿宋_GB2312" w:cs="仿宋_GB2312"/>
                <w:color w:val="auto"/>
                <w:sz w:val="28"/>
                <w:szCs w:val="28"/>
              </w:rPr>
            </w:pPr>
          </w:p>
        </w:tc>
        <w:tc>
          <w:tcPr>
            <w:tcW w:w="1373" w:type="dxa"/>
            <w:shd w:val="clear" w:color="auto" w:fill="auto"/>
            <w:noWrap w:val="0"/>
            <w:vAlign w:val="center"/>
          </w:tcPr>
          <w:p>
            <w:pPr>
              <w:jc w:val="center"/>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办公</w:t>
            </w:r>
          </w:p>
        </w:tc>
        <w:tc>
          <w:tcPr>
            <w:tcW w:w="2377" w:type="dxa"/>
            <w:shd w:val="clear" w:color="auto" w:fill="auto"/>
            <w:noWrap w:val="0"/>
            <w:vAlign w:val="center"/>
          </w:tcPr>
          <w:p>
            <w:pPr>
              <w:jc w:val="center"/>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8</w:t>
            </w:r>
          </w:p>
        </w:tc>
        <w:tc>
          <w:tcPr>
            <w:tcW w:w="2776" w:type="dxa"/>
            <w:shd w:val="clear" w:color="auto" w:fill="auto"/>
            <w:noWrap w:val="0"/>
            <w:vAlign w:val="center"/>
          </w:tcPr>
          <w:p>
            <w:pPr>
              <w:jc w:val="center"/>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按征收补偿协议约定</w:t>
            </w:r>
          </w:p>
        </w:tc>
      </w:tr>
    </w:tbl>
    <w:p>
      <w:pPr>
        <w:keepNext w:val="0"/>
        <w:keepLines w:val="0"/>
        <w:pageBreakBefore w:val="0"/>
        <w:widowControl w:val="0"/>
        <w:kinsoku/>
        <w:wordWrap/>
        <w:overflowPunct/>
        <w:topLinePunct w:val="0"/>
        <w:autoSpaceDE/>
        <w:autoSpaceDN/>
        <w:bidi w:val="0"/>
        <w:adjustRightInd/>
        <w:snapToGrid/>
        <w:spacing w:line="560" w:lineRule="exact"/>
        <w:ind w:firstLine="643" w:firstLineChars="200"/>
        <w:jc w:val="both"/>
        <w:textAlignment w:val="auto"/>
        <w:rPr>
          <w:rFonts w:hint="eastAsia" w:ascii="楷体_GB2312" w:hAnsi="楷体_GB2312" w:eastAsia="楷体_GB2312" w:cs="楷体_GB2312"/>
          <w:b/>
          <w:bCs/>
          <w:color w:val="auto"/>
          <w:sz w:val="32"/>
          <w:szCs w:val="32"/>
          <w:lang w:eastAsia="zh-CN"/>
        </w:rPr>
      </w:pPr>
      <w:r>
        <w:rPr>
          <w:rFonts w:hint="eastAsia" w:ascii="楷体_GB2312" w:hAnsi="楷体_GB2312" w:eastAsia="楷体_GB2312" w:cs="楷体_GB2312"/>
          <w:b/>
          <w:bCs/>
          <w:color w:val="auto"/>
          <w:sz w:val="32"/>
          <w:szCs w:val="32"/>
          <w:lang w:val="en-US" w:eastAsia="zh-CN"/>
        </w:rPr>
        <w:t>2.</w:t>
      </w:r>
      <w:r>
        <w:rPr>
          <w:rFonts w:hint="eastAsia" w:ascii="楷体_GB2312" w:hAnsi="楷体_GB2312" w:eastAsia="楷体_GB2312" w:cs="楷体_GB2312"/>
          <w:b/>
          <w:bCs/>
          <w:color w:val="auto"/>
          <w:sz w:val="32"/>
          <w:szCs w:val="32"/>
          <w:lang w:eastAsia="zh-CN"/>
        </w:rPr>
        <w:t>商业用房临时安置费标准。</w:t>
      </w:r>
      <w:r>
        <w:rPr>
          <w:rFonts w:hint="eastAsia" w:ascii="仿宋_GB2312" w:hAnsi="仿宋_GB2312" w:eastAsia="仿宋_GB2312" w:cs="仿宋_GB2312"/>
          <w:color w:val="auto"/>
          <w:sz w:val="32"/>
          <w:szCs w:val="32"/>
        </w:rPr>
        <w:t>选择期房产权调换的，按被征收房屋</w:t>
      </w:r>
      <w:r>
        <w:rPr>
          <w:rFonts w:hint="eastAsia" w:ascii="仿宋_GB2312" w:hAnsi="仿宋_GB2312" w:eastAsia="仿宋_GB2312" w:cs="仿宋_GB2312"/>
          <w:color w:val="auto"/>
          <w:sz w:val="32"/>
          <w:szCs w:val="32"/>
          <w:lang w:eastAsia="zh-CN"/>
        </w:rPr>
        <w:t>评估价值</w:t>
      </w:r>
      <w:r>
        <w:rPr>
          <w:rFonts w:hint="eastAsia" w:ascii="仿宋_GB2312" w:hAnsi="仿宋_GB2312" w:eastAsia="仿宋_GB2312" w:cs="仿宋_GB2312"/>
          <w:color w:val="auto"/>
          <w:sz w:val="32"/>
          <w:szCs w:val="32"/>
        </w:rPr>
        <w:t>（不包括装修、装璜等费用）</w:t>
      </w:r>
      <w:r>
        <w:rPr>
          <w:rFonts w:hint="eastAsia" w:ascii="仿宋_GB2312" w:hAnsi="仿宋_GB2312" w:eastAsia="仿宋_GB2312" w:cs="仿宋_GB2312"/>
          <w:color w:val="auto"/>
          <w:sz w:val="32"/>
          <w:szCs w:val="32"/>
          <w:lang w:eastAsia="zh-CN"/>
        </w:rPr>
        <w:t>的</w:t>
      </w:r>
      <w:r>
        <w:rPr>
          <w:rFonts w:hint="eastAsia" w:ascii="仿宋_GB2312" w:hAnsi="仿宋_GB2312" w:eastAsia="仿宋_GB2312" w:cs="仿宋_GB2312"/>
          <w:color w:val="auto"/>
          <w:sz w:val="32"/>
          <w:szCs w:val="32"/>
          <w:lang w:val="en-US" w:eastAsia="zh-CN"/>
        </w:rPr>
        <w:t>1</w:t>
      </w: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lang w:eastAsia="zh-CN"/>
        </w:rPr>
        <w:t>予以一次性补偿；</w:t>
      </w:r>
      <w:r>
        <w:rPr>
          <w:rFonts w:hint="eastAsia" w:ascii="仿宋_GB2312" w:hAnsi="仿宋_GB2312" w:eastAsia="仿宋_GB2312" w:cs="仿宋_GB2312"/>
          <w:snapToGrid w:val="0"/>
          <w:color w:val="auto"/>
          <w:kern w:val="0"/>
          <w:sz w:val="32"/>
          <w:szCs w:val="32"/>
        </w:rPr>
        <w:t>超过</w:t>
      </w:r>
      <w:r>
        <w:rPr>
          <w:rFonts w:hint="eastAsia" w:ascii="仿宋_GB2312" w:hAnsi="仿宋_GB2312" w:eastAsia="仿宋_GB2312" w:cs="仿宋_GB2312"/>
          <w:snapToGrid w:val="0"/>
          <w:color w:val="auto"/>
          <w:kern w:val="0"/>
          <w:sz w:val="32"/>
          <w:szCs w:val="32"/>
          <w:lang w:val="en-US" w:eastAsia="zh-CN"/>
        </w:rPr>
        <w:t>十二个月</w:t>
      </w:r>
      <w:r>
        <w:rPr>
          <w:rFonts w:hint="eastAsia" w:ascii="仿宋_GB2312" w:hAnsi="仿宋_GB2312" w:eastAsia="仿宋_GB2312" w:cs="仿宋_GB2312"/>
          <w:snapToGrid w:val="0"/>
          <w:color w:val="auto"/>
          <w:kern w:val="0"/>
          <w:sz w:val="32"/>
          <w:szCs w:val="32"/>
        </w:rPr>
        <w:t>未交付安置用房的</w:t>
      </w:r>
      <w:r>
        <w:rPr>
          <w:rFonts w:hint="eastAsia" w:ascii="仿宋_GB2312" w:hAnsi="仿宋_GB2312" w:eastAsia="仿宋_GB2312" w:cs="仿宋_GB2312"/>
          <w:snapToGrid w:val="0"/>
          <w:color w:val="auto"/>
          <w:kern w:val="0"/>
          <w:sz w:val="32"/>
          <w:szCs w:val="32"/>
          <w:lang w:eastAsia="zh-CN"/>
        </w:rPr>
        <w:t>，自</w:t>
      </w:r>
      <w:r>
        <w:rPr>
          <w:rFonts w:hint="eastAsia" w:ascii="仿宋_GB2312" w:hAnsi="仿宋_GB2312" w:eastAsia="仿宋_GB2312" w:cs="仿宋_GB2312"/>
          <w:snapToGrid w:val="0"/>
          <w:color w:val="auto"/>
          <w:kern w:val="0"/>
          <w:sz w:val="32"/>
          <w:szCs w:val="32"/>
        </w:rPr>
        <w:t>逾期之月起至安置用房交付之月</w:t>
      </w:r>
      <w:r>
        <w:rPr>
          <w:rFonts w:hint="eastAsia" w:ascii="仿宋_GB2312" w:hAnsi="仿宋_GB2312" w:eastAsia="仿宋_GB2312" w:cs="仿宋_GB2312"/>
          <w:snapToGrid w:val="0"/>
          <w:color w:val="auto"/>
          <w:kern w:val="0"/>
          <w:sz w:val="32"/>
          <w:szCs w:val="32"/>
          <w:lang w:eastAsia="zh-CN"/>
        </w:rPr>
        <w:t>，</w:t>
      </w:r>
      <w:r>
        <w:rPr>
          <w:rFonts w:hint="eastAsia" w:ascii="仿宋_GB2312" w:hAnsi="仿宋_GB2312" w:eastAsia="仿宋_GB2312" w:cs="仿宋_GB2312"/>
          <w:color w:val="auto"/>
          <w:sz w:val="32"/>
          <w:szCs w:val="32"/>
        </w:rPr>
        <w:t>每月按被征收房屋</w:t>
      </w:r>
      <w:r>
        <w:rPr>
          <w:rFonts w:hint="eastAsia" w:ascii="仿宋_GB2312" w:hAnsi="仿宋_GB2312" w:eastAsia="仿宋_GB2312" w:cs="仿宋_GB2312"/>
          <w:color w:val="auto"/>
          <w:sz w:val="32"/>
          <w:szCs w:val="32"/>
          <w:lang w:eastAsia="zh-CN"/>
        </w:rPr>
        <w:t>评估价值</w:t>
      </w:r>
      <w:r>
        <w:rPr>
          <w:rFonts w:hint="eastAsia" w:ascii="仿宋_GB2312" w:hAnsi="仿宋_GB2312" w:eastAsia="仿宋_GB2312" w:cs="仿宋_GB2312"/>
          <w:color w:val="auto"/>
          <w:sz w:val="32"/>
          <w:szCs w:val="32"/>
        </w:rPr>
        <w:t>（不包括装修、装璜等费用）的</w:t>
      </w:r>
      <w:r>
        <w:rPr>
          <w:rFonts w:hint="eastAsia" w:ascii="仿宋_GB2312" w:hAnsi="仿宋_GB2312" w:eastAsia="仿宋_GB2312" w:cs="仿宋_GB2312"/>
          <w:color w:val="auto"/>
          <w:sz w:val="32"/>
          <w:szCs w:val="32"/>
          <w:lang w:val="en-US" w:eastAsia="zh-CN"/>
        </w:rPr>
        <w:t>1</w:t>
      </w: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lang w:eastAsia="zh-CN"/>
        </w:rPr>
        <w:t>予以</w:t>
      </w:r>
      <w:r>
        <w:rPr>
          <w:rFonts w:hint="eastAsia" w:ascii="仿宋_GB2312" w:hAnsi="仿宋_GB2312" w:eastAsia="仿宋_GB2312" w:cs="仿宋_GB2312"/>
          <w:color w:val="auto"/>
          <w:sz w:val="32"/>
          <w:szCs w:val="32"/>
        </w:rPr>
        <w:t>补偿。选择现房安置或货币补偿的，按被征收房屋</w:t>
      </w:r>
      <w:r>
        <w:rPr>
          <w:rFonts w:hint="eastAsia" w:ascii="仿宋_GB2312" w:hAnsi="仿宋_GB2312" w:eastAsia="仿宋_GB2312" w:cs="仿宋_GB2312"/>
          <w:color w:val="auto"/>
          <w:sz w:val="32"/>
          <w:szCs w:val="32"/>
          <w:lang w:eastAsia="zh-CN"/>
        </w:rPr>
        <w:t>评估价值</w:t>
      </w:r>
      <w:r>
        <w:rPr>
          <w:rFonts w:hint="eastAsia" w:ascii="仿宋_GB2312" w:hAnsi="仿宋_GB2312" w:eastAsia="仿宋_GB2312" w:cs="仿宋_GB2312"/>
          <w:color w:val="auto"/>
          <w:sz w:val="32"/>
          <w:szCs w:val="32"/>
        </w:rPr>
        <w:t>（不包括装修、装璜等费用）</w:t>
      </w:r>
      <w:r>
        <w:rPr>
          <w:rFonts w:hint="eastAsia" w:ascii="仿宋_GB2312" w:hAnsi="仿宋_GB2312" w:eastAsia="仿宋_GB2312" w:cs="仿宋_GB2312"/>
          <w:color w:val="auto"/>
          <w:sz w:val="32"/>
          <w:szCs w:val="32"/>
          <w:lang w:eastAsia="zh-CN"/>
        </w:rPr>
        <w:t>的</w:t>
      </w:r>
      <w:r>
        <w:rPr>
          <w:rFonts w:hint="eastAsia" w:ascii="仿宋_GB2312" w:hAnsi="仿宋_GB2312" w:eastAsia="仿宋_GB2312" w:cs="仿宋_GB2312"/>
          <w:color w:val="auto"/>
          <w:sz w:val="32"/>
          <w:szCs w:val="32"/>
        </w:rPr>
        <w:t>1%一次性</w:t>
      </w:r>
      <w:r>
        <w:rPr>
          <w:rFonts w:hint="eastAsia" w:ascii="仿宋_GB2312" w:hAnsi="仿宋_GB2312" w:eastAsia="仿宋_GB2312" w:cs="仿宋_GB2312"/>
          <w:color w:val="auto"/>
          <w:sz w:val="32"/>
          <w:szCs w:val="32"/>
          <w:lang w:eastAsia="zh-CN"/>
        </w:rPr>
        <w:t>补偿</w:t>
      </w:r>
      <w:r>
        <w:rPr>
          <w:rFonts w:hint="eastAsia" w:ascii="仿宋_GB2312" w:hAnsi="仿宋_GB2312" w:eastAsia="仿宋_GB2312" w:cs="仿宋_GB2312"/>
          <w:color w:val="auto"/>
          <w:sz w:val="32"/>
          <w:szCs w:val="32"/>
        </w:rPr>
        <w:t>。</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黑体" w:hAnsi="黑体" w:eastAsia="黑体" w:cs="黑体"/>
          <w:b w:val="0"/>
          <w:bCs/>
          <w:color w:val="auto"/>
          <w:sz w:val="32"/>
          <w:szCs w:val="32"/>
          <w:lang w:eastAsia="zh-CN"/>
        </w:rPr>
      </w:pPr>
      <w:r>
        <w:rPr>
          <w:rFonts w:hint="eastAsia" w:ascii="黑体" w:hAnsi="黑体" w:eastAsia="黑体" w:cs="黑体"/>
          <w:b w:val="0"/>
          <w:bCs/>
          <w:color w:val="auto"/>
          <w:sz w:val="32"/>
          <w:szCs w:val="32"/>
        </w:rPr>
        <w:t>搬迁费</w:t>
      </w:r>
      <w:r>
        <w:rPr>
          <w:rFonts w:hint="eastAsia" w:ascii="黑体" w:hAnsi="黑体" w:eastAsia="黑体" w:cs="黑体"/>
          <w:b w:val="0"/>
          <w:bCs/>
          <w:color w:val="auto"/>
          <w:sz w:val="32"/>
          <w:szCs w:val="32"/>
          <w:lang w:eastAsia="zh-CN"/>
        </w:rPr>
        <w:t>标准</w:t>
      </w:r>
    </w:p>
    <w:tbl>
      <w:tblPr>
        <w:tblStyle w:val="6"/>
        <w:tblW w:w="823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15"/>
        <w:gridCol w:w="2715"/>
        <w:gridCol w:w="280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exact"/>
          <w:jc w:val="center"/>
        </w:trPr>
        <w:tc>
          <w:tcPr>
            <w:tcW w:w="2715" w:type="dxa"/>
            <w:noWrap w:val="0"/>
            <w:vAlign w:val="center"/>
          </w:tcPr>
          <w:p>
            <w:pPr>
              <w:jc w:val="center"/>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类别</w:t>
            </w:r>
          </w:p>
        </w:tc>
        <w:tc>
          <w:tcPr>
            <w:tcW w:w="2715" w:type="dxa"/>
            <w:noWrap w:val="0"/>
            <w:vAlign w:val="center"/>
          </w:tcPr>
          <w:p>
            <w:pPr>
              <w:jc w:val="center"/>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单价（元</w:t>
            </w:r>
            <w:r>
              <w:rPr>
                <w:rFonts w:hint="eastAsia" w:ascii="仿宋_GB2312" w:hAnsi="仿宋_GB2312" w:eastAsia="仿宋_GB2312" w:cs="仿宋_GB2312"/>
                <w:color w:val="auto"/>
                <w:sz w:val="28"/>
                <w:szCs w:val="28"/>
                <w:lang w:val="en-US" w:eastAsia="zh-CN"/>
              </w:rPr>
              <w:t>/平方米</w:t>
            </w:r>
            <w:r>
              <w:rPr>
                <w:rFonts w:hint="eastAsia" w:ascii="仿宋_GB2312" w:hAnsi="仿宋_GB2312" w:eastAsia="仿宋_GB2312" w:cs="仿宋_GB2312"/>
                <w:color w:val="auto"/>
                <w:sz w:val="28"/>
                <w:szCs w:val="28"/>
              </w:rPr>
              <w:t>）</w:t>
            </w:r>
          </w:p>
        </w:tc>
        <w:tc>
          <w:tcPr>
            <w:tcW w:w="2806" w:type="dxa"/>
            <w:noWrap w:val="0"/>
            <w:vAlign w:val="center"/>
          </w:tcPr>
          <w:p>
            <w:pPr>
              <w:jc w:val="center"/>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补偿次数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exact"/>
          <w:jc w:val="center"/>
        </w:trPr>
        <w:tc>
          <w:tcPr>
            <w:tcW w:w="2715" w:type="dxa"/>
            <w:noWrap w:val="0"/>
            <w:vAlign w:val="center"/>
          </w:tcPr>
          <w:p>
            <w:pPr>
              <w:jc w:val="center"/>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住宅</w:t>
            </w:r>
          </w:p>
        </w:tc>
        <w:tc>
          <w:tcPr>
            <w:tcW w:w="2715" w:type="dxa"/>
            <w:noWrap w:val="0"/>
            <w:vAlign w:val="center"/>
          </w:tcPr>
          <w:p>
            <w:pPr>
              <w:jc w:val="center"/>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10</w:t>
            </w:r>
          </w:p>
        </w:tc>
        <w:tc>
          <w:tcPr>
            <w:tcW w:w="2806" w:type="dxa"/>
            <w:noWrap w:val="0"/>
            <w:vAlign w:val="center"/>
          </w:tcPr>
          <w:p>
            <w:pPr>
              <w:jc w:val="center"/>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2次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exact"/>
          <w:jc w:val="center"/>
        </w:trPr>
        <w:tc>
          <w:tcPr>
            <w:tcW w:w="2715" w:type="dxa"/>
            <w:noWrap w:val="0"/>
            <w:vAlign w:val="center"/>
          </w:tcPr>
          <w:p>
            <w:pPr>
              <w:jc w:val="center"/>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办公</w:t>
            </w:r>
          </w:p>
        </w:tc>
        <w:tc>
          <w:tcPr>
            <w:tcW w:w="2715" w:type="dxa"/>
            <w:noWrap w:val="0"/>
            <w:vAlign w:val="center"/>
          </w:tcPr>
          <w:p>
            <w:pPr>
              <w:jc w:val="center"/>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10</w:t>
            </w:r>
          </w:p>
        </w:tc>
        <w:tc>
          <w:tcPr>
            <w:tcW w:w="2806" w:type="dxa"/>
            <w:noWrap w:val="0"/>
            <w:vAlign w:val="center"/>
          </w:tcPr>
          <w:p>
            <w:pPr>
              <w:jc w:val="center"/>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2次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exact"/>
          <w:jc w:val="center"/>
        </w:trPr>
        <w:tc>
          <w:tcPr>
            <w:tcW w:w="2715" w:type="dxa"/>
            <w:noWrap w:val="0"/>
            <w:vAlign w:val="center"/>
          </w:tcPr>
          <w:p>
            <w:pPr>
              <w:jc w:val="center"/>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商业</w:t>
            </w:r>
          </w:p>
        </w:tc>
        <w:tc>
          <w:tcPr>
            <w:tcW w:w="2715" w:type="dxa"/>
            <w:noWrap w:val="0"/>
            <w:vAlign w:val="center"/>
          </w:tcPr>
          <w:p>
            <w:pPr>
              <w:jc w:val="center"/>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10</w:t>
            </w:r>
          </w:p>
        </w:tc>
        <w:tc>
          <w:tcPr>
            <w:tcW w:w="2806" w:type="dxa"/>
            <w:noWrap w:val="0"/>
            <w:vAlign w:val="center"/>
          </w:tcPr>
          <w:p>
            <w:pPr>
              <w:jc w:val="center"/>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2次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exact"/>
          <w:jc w:val="center"/>
        </w:trPr>
        <w:tc>
          <w:tcPr>
            <w:tcW w:w="2715" w:type="dxa"/>
            <w:noWrap w:val="0"/>
            <w:vAlign w:val="center"/>
          </w:tcPr>
          <w:p>
            <w:pPr>
              <w:jc w:val="center"/>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工业</w:t>
            </w:r>
          </w:p>
        </w:tc>
        <w:tc>
          <w:tcPr>
            <w:tcW w:w="2715" w:type="dxa"/>
            <w:noWrap w:val="0"/>
            <w:vAlign w:val="center"/>
          </w:tcPr>
          <w:p>
            <w:pPr>
              <w:jc w:val="center"/>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35</w:t>
            </w:r>
          </w:p>
        </w:tc>
        <w:tc>
          <w:tcPr>
            <w:tcW w:w="2806" w:type="dxa"/>
            <w:noWrap w:val="0"/>
            <w:vAlign w:val="center"/>
          </w:tcPr>
          <w:p>
            <w:pPr>
              <w:jc w:val="center"/>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1次</w:t>
            </w:r>
          </w:p>
        </w:tc>
      </w:tr>
    </w:tbl>
    <w:p>
      <w:pPr>
        <w:keepNext w:val="0"/>
        <w:keepLines w:val="0"/>
        <w:pageBreakBefore w:val="0"/>
        <w:widowControl w:val="0"/>
        <w:kinsoku/>
        <w:wordWrap/>
        <w:overflowPunct/>
        <w:topLinePunct w:val="0"/>
        <w:autoSpaceDE/>
        <w:autoSpaceDN/>
        <w:bidi w:val="0"/>
        <w:adjustRightInd/>
        <w:snapToGrid w:val="0"/>
        <w:spacing w:line="560" w:lineRule="exact"/>
        <w:ind w:firstLine="640" w:firstLineChars="200"/>
        <w:jc w:val="both"/>
        <w:textAlignment w:val="auto"/>
        <w:rPr>
          <w:rFonts w:hint="eastAsia" w:ascii="仿宋_GB2312" w:hAnsi="仿宋_GB2312" w:eastAsia="仿宋_GB2312" w:cs="仿宋_GB2312"/>
          <w:color w:val="auto"/>
          <w:sz w:val="32"/>
          <w:szCs w:val="32"/>
          <w:lang w:eastAsia="zh-CN"/>
        </w:rPr>
      </w:pPr>
      <w:r>
        <w:rPr>
          <w:rFonts w:hint="eastAsia" w:ascii="仿宋_GB2312" w:hAnsi="仿宋_GB2312" w:eastAsia="仿宋_GB2312" w:cs="仿宋_GB2312"/>
          <w:color w:val="auto"/>
          <w:sz w:val="32"/>
          <w:szCs w:val="32"/>
        </w:rPr>
        <w:t>搬迁费每户</w:t>
      </w:r>
      <w:r>
        <w:rPr>
          <w:rFonts w:hint="eastAsia" w:ascii="仿宋_GB2312" w:hAnsi="仿宋_GB2312" w:eastAsia="仿宋_GB2312" w:cs="仿宋_GB2312"/>
          <w:color w:val="auto"/>
          <w:sz w:val="32"/>
          <w:szCs w:val="32"/>
          <w:lang w:eastAsia="zh-CN"/>
        </w:rPr>
        <w:t>合计</w:t>
      </w:r>
      <w:r>
        <w:rPr>
          <w:rFonts w:hint="eastAsia" w:ascii="仿宋_GB2312" w:hAnsi="仿宋_GB2312" w:eastAsia="仿宋_GB2312" w:cs="仿宋_GB2312"/>
          <w:color w:val="auto"/>
          <w:sz w:val="32"/>
          <w:szCs w:val="32"/>
        </w:rPr>
        <w:t>不低于</w:t>
      </w:r>
      <w:r>
        <w:rPr>
          <w:rFonts w:hint="eastAsia" w:ascii="仿宋_GB2312" w:hAnsi="仿宋_GB2312" w:eastAsia="仿宋_GB2312" w:cs="仿宋_GB2312"/>
          <w:color w:val="auto"/>
          <w:sz w:val="32"/>
          <w:szCs w:val="32"/>
          <w:lang w:val="en-US" w:eastAsia="zh-CN"/>
        </w:rPr>
        <w:t>20</w:t>
      </w:r>
      <w:r>
        <w:rPr>
          <w:rFonts w:hint="eastAsia" w:ascii="仿宋_GB2312" w:hAnsi="仿宋_GB2312" w:eastAsia="仿宋_GB2312" w:cs="仿宋_GB2312"/>
          <w:color w:val="auto"/>
          <w:sz w:val="32"/>
          <w:szCs w:val="32"/>
        </w:rPr>
        <w:t>00元，共有产权按一户计付</w:t>
      </w:r>
      <w:r>
        <w:rPr>
          <w:rFonts w:hint="eastAsia" w:ascii="仿宋_GB2312" w:hAnsi="仿宋_GB2312" w:eastAsia="仿宋_GB2312" w:cs="仿宋_GB2312"/>
          <w:color w:val="auto"/>
          <w:sz w:val="32"/>
          <w:szCs w:val="32"/>
          <w:lang w:eastAsia="zh-CN"/>
        </w:rPr>
        <w:t>。</w:t>
      </w:r>
    </w:p>
    <w:p>
      <w:pPr>
        <w:keepNext w:val="0"/>
        <w:keepLines w:val="0"/>
        <w:pageBreakBefore w:val="0"/>
        <w:widowControl w:val="0"/>
        <w:kinsoku/>
        <w:wordWrap/>
        <w:overflowPunct/>
        <w:topLinePunct w:val="0"/>
        <w:autoSpaceDE/>
        <w:autoSpaceDN/>
        <w:bidi w:val="0"/>
        <w:adjustRightInd/>
        <w:snapToGrid w:val="0"/>
        <w:spacing w:line="560" w:lineRule="exact"/>
        <w:ind w:firstLine="640" w:firstLineChars="200"/>
        <w:jc w:val="both"/>
        <w:textAlignment w:val="auto"/>
        <w:rPr>
          <w:rFonts w:hint="eastAsia" w:ascii="楷体_GB2312" w:hAnsi="楷体_GB2312" w:eastAsia="楷体_GB2312" w:cs="楷体_GB2312"/>
          <w:b/>
          <w:bCs/>
          <w:color w:val="auto"/>
          <w:sz w:val="32"/>
          <w:szCs w:val="32"/>
          <w:lang w:eastAsia="zh-CN"/>
        </w:rPr>
      </w:pPr>
      <w:r>
        <w:rPr>
          <w:rFonts w:hint="eastAsia" w:ascii="仿宋_GB2312" w:hAnsi="仿宋_GB2312" w:eastAsia="仿宋_GB2312" w:cs="仿宋_GB2312"/>
          <w:color w:val="auto"/>
          <w:sz w:val="32"/>
          <w:szCs w:val="32"/>
        </w:rPr>
        <w:t>工业企业对搬迁费标准有异议的，</w:t>
      </w:r>
      <w:r>
        <w:rPr>
          <w:rFonts w:ascii="仿宋_GB2312" w:hAnsi="宋体" w:eastAsia="仿宋_GB2312" w:cs="仿宋_GB2312"/>
          <w:color w:val="auto"/>
          <w:kern w:val="0"/>
          <w:sz w:val="31"/>
          <w:szCs w:val="31"/>
          <w:lang w:val="en-US" w:eastAsia="zh-CN" w:bidi="ar"/>
        </w:rPr>
        <w:t>可由补偿</w:t>
      </w:r>
      <w:r>
        <w:rPr>
          <w:rFonts w:hint="eastAsia" w:ascii="仿宋_GB2312" w:hAnsi="宋体" w:eastAsia="仿宋_GB2312" w:cs="仿宋_GB2312"/>
          <w:color w:val="auto"/>
          <w:kern w:val="0"/>
          <w:sz w:val="31"/>
          <w:szCs w:val="31"/>
          <w:lang w:val="en-US" w:eastAsia="zh-CN" w:bidi="ar"/>
        </w:rPr>
        <w:t>双方委托评估中介机构进行评估</w:t>
      </w:r>
      <w:r>
        <w:rPr>
          <w:rFonts w:hint="eastAsia" w:ascii="仿宋_GB2312" w:hAnsi="仿宋_GB2312" w:eastAsia="仿宋_GB2312" w:cs="仿宋_GB2312"/>
          <w:color w:val="auto"/>
          <w:sz w:val="32"/>
          <w:szCs w:val="32"/>
        </w:rPr>
        <w:t>。</w:t>
      </w:r>
    </w:p>
    <w:p>
      <w:pPr>
        <w:keepNext w:val="0"/>
        <w:keepLines w:val="0"/>
        <w:pageBreakBefore w:val="0"/>
        <w:widowControl w:val="0"/>
        <w:kinsoku/>
        <w:wordWrap/>
        <w:overflowPunct/>
        <w:topLinePunct w:val="0"/>
        <w:autoSpaceDE/>
        <w:autoSpaceDN/>
        <w:bidi w:val="0"/>
        <w:adjustRightInd/>
        <w:snapToGrid w:val="0"/>
        <w:spacing w:line="560" w:lineRule="exact"/>
        <w:ind w:firstLine="640" w:firstLineChars="200"/>
        <w:jc w:val="both"/>
        <w:textAlignment w:val="auto"/>
        <w:rPr>
          <w:rFonts w:hint="eastAsia" w:ascii="黑体" w:hAnsi="黑体" w:eastAsia="黑体" w:cs="黑体"/>
          <w:b w:val="0"/>
          <w:bCs/>
          <w:color w:val="auto"/>
          <w:sz w:val="32"/>
          <w:szCs w:val="32"/>
          <w:lang w:eastAsia="zh-CN"/>
        </w:rPr>
      </w:pPr>
      <w:r>
        <w:rPr>
          <w:rFonts w:hint="eastAsia" w:ascii="黑体" w:hAnsi="黑体" w:eastAsia="黑体" w:cs="黑体"/>
          <w:b w:val="0"/>
          <w:bCs/>
          <w:color w:val="auto"/>
          <w:sz w:val="32"/>
          <w:szCs w:val="32"/>
        </w:rPr>
        <w:t>停产停业损失</w:t>
      </w:r>
      <w:r>
        <w:rPr>
          <w:rFonts w:hint="eastAsia" w:ascii="黑体" w:hAnsi="黑体" w:eastAsia="黑体" w:cs="黑体"/>
          <w:b w:val="0"/>
          <w:bCs/>
          <w:color w:val="auto"/>
          <w:sz w:val="32"/>
          <w:szCs w:val="32"/>
          <w:lang w:eastAsia="zh-CN"/>
        </w:rPr>
        <w:t>补偿</w:t>
      </w:r>
      <w:r>
        <w:rPr>
          <w:rFonts w:hint="eastAsia" w:ascii="黑体" w:hAnsi="黑体" w:eastAsia="黑体" w:cs="黑体"/>
          <w:b w:val="0"/>
          <w:bCs/>
          <w:color w:val="auto"/>
          <w:sz w:val="32"/>
          <w:szCs w:val="32"/>
        </w:rPr>
        <w:t>费</w:t>
      </w:r>
      <w:r>
        <w:rPr>
          <w:rFonts w:hint="eastAsia" w:ascii="黑体" w:hAnsi="黑体" w:eastAsia="黑体" w:cs="黑体"/>
          <w:b w:val="0"/>
          <w:bCs/>
          <w:color w:val="auto"/>
          <w:sz w:val="32"/>
          <w:szCs w:val="32"/>
          <w:lang w:eastAsia="zh-CN"/>
        </w:rPr>
        <w:t>标准</w:t>
      </w:r>
    </w:p>
    <w:p>
      <w:pPr>
        <w:keepNext w:val="0"/>
        <w:keepLines w:val="0"/>
        <w:pageBreakBefore w:val="0"/>
        <w:widowControl w:val="0"/>
        <w:kinsoku/>
        <w:wordWrap/>
        <w:overflowPunct/>
        <w:topLinePunct w:val="0"/>
        <w:autoSpaceDE/>
        <w:autoSpaceDN/>
        <w:bidi w:val="0"/>
        <w:adjustRightInd/>
        <w:snapToGrid w:val="0"/>
        <w:spacing w:line="560" w:lineRule="exact"/>
        <w:ind w:firstLine="640" w:firstLineChars="200"/>
        <w:jc w:val="both"/>
        <w:textAlignment w:val="auto"/>
        <w:rPr>
          <w:rFonts w:hint="eastAsia" w:ascii="仿宋_GB2312" w:hAnsi="仿宋_GB2312" w:eastAsia="仿宋_GB2312" w:cs="仿宋_GB2312"/>
          <w:color w:val="auto"/>
          <w:sz w:val="32"/>
          <w:szCs w:val="32"/>
        </w:rPr>
      </w:pPr>
      <w:r>
        <w:rPr>
          <w:rFonts w:hint="eastAsia" w:ascii="楷体_GB2312" w:hAnsi="楷体_GB2312" w:eastAsia="楷体_GB2312" w:cs="楷体_GB2312"/>
          <w:b w:val="0"/>
          <w:bCs w:val="0"/>
          <w:color w:val="auto"/>
          <w:sz w:val="32"/>
          <w:szCs w:val="32"/>
          <w:lang w:val="en-US" w:eastAsia="zh-CN"/>
        </w:rPr>
        <w:t>1.</w:t>
      </w:r>
      <w:r>
        <w:rPr>
          <w:rFonts w:hint="eastAsia" w:ascii="仿宋_GB2312" w:hAnsi="仿宋_GB2312" w:eastAsia="仿宋_GB2312" w:cs="仿宋_GB2312"/>
          <w:color w:val="auto"/>
          <w:sz w:val="32"/>
          <w:szCs w:val="32"/>
          <w:lang w:eastAsia="zh-CN"/>
        </w:rPr>
        <w:t>商业用房停产停业损失</w:t>
      </w:r>
      <w:r>
        <w:rPr>
          <w:rFonts w:hint="eastAsia" w:ascii="仿宋_GB2312" w:hAnsi="仿宋_GB2312" w:eastAsia="仿宋_GB2312" w:cs="仿宋_GB2312"/>
          <w:color w:val="auto"/>
          <w:sz w:val="32"/>
          <w:szCs w:val="32"/>
        </w:rPr>
        <w:t>按被征收房屋</w:t>
      </w:r>
      <w:r>
        <w:rPr>
          <w:rFonts w:hint="eastAsia" w:ascii="仿宋_GB2312" w:hAnsi="仿宋_GB2312" w:eastAsia="仿宋_GB2312" w:cs="仿宋_GB2312"/>
          <w:color w:val="auto"/>
          <w:sz w:val="32"/>
          <w:szCs w:val="32"/>
          <w:lang w:eastAsia="zh-CN"/>
        </w:rPr>
        <w:t>评估价值的</w:t>
      </w:r>
      <w:r>
        <w:rPr>
          <w:rFonts w:hint="eastAsia" w:ascii="仿宋_GB2312" w:hAnsi="仿宋_GB2312" w:eastAsia="仿宋_GB2312" w:cs="仿宋_GB2312"/>
          <w:color w:val="auto"/>
          <w:sz w:val="32"/>
          <w:szCs w:val="32"/>
        </w:rPr>
        <w:t>5%予以一次性</w:t>
      </w:r>
      <w:r>
        <w:rPr>
          <w:rFonts w:hint="eastAsia" w:ascii="仿宋_GB2312" w:hAnsi="仿宋_GB2312" w:eastAsia="仿宋_GB2312" w:cs="仿宋_GB2312"/>
          <w:color w:val="auto"/>
          <w:sz w:val="32"/>
          <w:szCs w:val="32"/>
          <w:lang w:eastAsia="zh-CN"/>
        </w:rPr>
        <w:t>补偿</w:t>
      </w:r>
      <w:r>
        <w:rPr>
          <w:rFonts w:hint="eastAsia" w:ascii="仿宋_GB2312" w:hAnsi="仿宋_GB2312" w:eastAsia="仿宋_GB2312" w:cs="仿宋_GB2312"/>
          <w:color w:val="auto"/>
          <w:sz w:val="32"/>
          <w:szCs w:val="32"/>
        </w:rPr>
        <w:t>。</w:t>
      </w:r>
    </w:p>
    <w:p>
      <w:pPr>
        <w:keepNext w:val="0"/>
        <w:keepLines w:val="0"/>
        <w:pageBreakBefore w:val="0"/>
        <w:widowControl w:val="0"/>
        <w:kinsoku/>
        <w:wordWrap/>
        <w:overflowPunct/>
        <w:topLinePunct w:val="0"/>
        <w:autoSpaceDE/>
        <w:autoSpaceDN/>
        <w:bidi w:val="0"/>
        <w:adjustRightInd/>
        <w:snapToGrid w:val="0"/>
        <w:spacing w:line="560" w:lineRule="exact"/>
        <w:ind w:firstLine="640" w:firstLineChars="200"/>
        <w:jc w:val="both"/>
        <w:textAlignment w:val="auto"/>
        <w:rPr>
          <w:rFonts w:hint="eastAsia" w:ascii="仿宋_GB2312" w:hAnsi="仿宋_GB2312" w:eastAsia="仿宋_GB2312" w:cs="仿宋_GB2312"/>
          <w:color w:val="auto"/>
          <w:sz w:val="32"/>
          <w:szCs w:val="32"/>
        </w:rPr>
      </w:pPr>
      <w:r>
        <w:rPr>
          <w:rFonts w:hint="eastAsia" w:ascii="楷体_GB2312" w:hAnsi="楷体_GB2312" w:eastAsia="楷体_GB2312" w:cs="楷体_GB2312"/>
          <w:b w:val="0"/>
          <w:bCs w:val="0"/>
          <w:color w:val="auto"/>
          <w:sz w:val="32"/>
          <w:szCs w:val="32"/>
          <w:lang w:val="en-US" w:eastAsia="zh-CN"/>
        </w:rPr>
        <w:t>2.</w:t>
      </w:r>
      <w:r>
        <w:rPr>
          <w:rFonts w:hint="eastAsia" w:ascii="仿宋_GB2312" w:hAnsi="仿宋_GB2312" w:eastAsia="仿宋_GB2312" w:cs="仿宋_GB2312"/>
          <w:color w:val="auto"/>
          <w:sz w:val="32"/>
          <w:szCs w:val="32"/>
          <w:lang w:eastAsia="zh-CN"/>
        </w:rPr>
        <w:t>工业（生产）用房停产停业损失按被征收工业（生产）用房评估价值</w:t>
      </w:r>
      <w:r>
        <w:rPr>
          <w:rFonts w:hint="eastAsia" w:ascii="仿宋_GB2312" w:hAnsi="仿宋_GB2312" w:eastAsia="仿宋_GB2312" w:cs="仿宋_GB2312"/>
          <w:color w:val="auto"/>
          <w:sz w:val="32"/>
          <w:szCs w:val="32"/>
        </w:rPr>
        <w:t>的5%予以一次性</w:t>
      </w:r>
      <w:r>
        <w:rPr>
          <w:rFonts w:hint="eastAsia" w:ascii="仿宋_GB2312" w:hAnsi="仿宋_GB2312" w:eastAsia="仿宋_GB2312" w:cs="仿宋_GB2312"/>
          <w:color w:val="auto"/>
          <w:sz w:val="32"/>
          <w:szCs w:val="32"/>
          <w:lang w:eastAsia="zh-CN"/>
        </w:rPr>
        <w:t>补偿</w:t>
      </w:r>
      <w:r>
        <w:rPr>
          <w:rFonts w:hint="eastAsia" w:ascii="仿宋_GB2312" w:hAnsi="仿宋_GB2312" w:eastAsia="仿宋_GB2312" w:cs="仿宋_GB2312"/>
          <w:color w:val="auto"/>
          <w:sz w:val="32"/>
          <w:szCs w:val="32"/>
        </w:rPr>
        <w:t>。</w:t>
      </w:r>
    </w:p>
    <w:p>
      <w:pPr>
        <w:keepNext w:val="0"/>
        <w:keepLines w:val="0"/>
        <w:pageBreakBefore w:val="0"/>
        <w:widowControl w:val="0"/>
        <w:kinsoku/>
        <w:wordWrap/>
        <w:overflowPunct/>
        <w:topLinePunct w:val="0"/>
        <w:autoSpaceDE/>
        <w:autoSpaceDN/>
        <w:bidi w:val="0"/>
        <w:adjustRightInd/>
        <w:spacing w:line="560" w:lineRule="exact"/>
        <w:ind w:firstLine="640" w:firstLineChars="200"/>
        <w:jc w:val="both"/>
        <w:textAlignment w:val="auto"/>
        <w:rPr>
          <w:rFonts w:hint="eastAsia" w:ascii="黑体" w:hAnsi="黑体" w:eastAsia="黑体" w:cs="黑体"/>
          <w:b w:val="0"/>
          <w:bCs/>
          <w:color w:val="auto"/>
          <w:sz w:val="32"/>
          <w:szCs w:val="32"/>
        </w:rPr>
      </w:pPr>
      <w:bookmarkStart w:id="0" w:name="OLE_LINK2"/>
      <w:r>
        <w:rPr>
          <w:rFonts w:hint="eastAsia" w:ascii="黑体" w:hAnsi="黑体" w:eastAsia="黑体" w:cs="黑体"/>
          <w:b w:val="0"/>
          <w:bCs/>
          <w:color w:val="auto"/>
          <w:sz w:val="32"/>
          <w:szCs w:val="32"/>
        </w:rPr>
        <w:t>房屋改变用途补贴标准</w:t>
      </w:r>
      <w:bookmarkEnd w:id="0"/>
    </w:p>
    <w:p>
      <w:pPr>
        <w:keepNext w:val="0"/>
        <w:keepLines w:val="0"/>
        <w:pageBreakBefore w:val="0"/>
        <w:widowControl w:val="0"/>
        <w:kinsoku/>
        <w:wordWrap/>
        <w:overflowPunct/>
        <w:topLinePunct w:val="0"/>
        <w:autoSpaceDE/>
        <w:autoSpaceDN/>
        <w:bidi w:val="0"/>
        <w:adjustRightInd/>
        <w:spacing w:line="560" w:lineRule="exact"/>
        <w:ind w:firstLine="640" w:firstLineChars="200"/>
        <w:jc w:val="both"/>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rPr>
        <w:t>1990年4月1日《中华人民共和国城市规划法》实施以后，</w:t>
      </w:r>
      <w:r>
        <w:rPr>
          <w:rFonts w:hint="eastAsia" w:ascii="仿宋_GB2312" w:hAnsi="仿宋_GB2312" w:eastAsia="仿宋_GB2312" w:cs="仿宋_GB2312"/>
          <w:color w:val="auto"/>
          <w:sz w:val="32"/>
          <w:szCs w:val="32"/>
          <w:lang w:eastAsia="zh-CN"/>
        </w:rPr>
        <w:t>房屋</w:t>
      </w:r>
      <w:r>
        <w:rPr>
          <w:rFonts w:hint="eastAsia" w:ascii="仿宋_GB2312" w:hAnsi="仿宋_GB2312" w:eastAsia="仿宋_GB2312" w:cs="仿宋_GB2312"/>
          <w:color w:val="auto"/>
          <w:sz w:val="32"/>
          <w:szCs w:val="32"/>
        </w:rPr>
        <w:t>改变用途为商业营业用房并连续使用至今，凭营业执照、税务登记证、纳税发票</w:t>
      </w:r>
      <w:r>
        <w:rPr>
          <w:rFonts w:hint="eastAsia" w:ascii="仿宋_GB2312" w:hAnsi="仿宋_GB2312" w:eastAsia="仿宋_GB2312" w:cs="仿宋_GB2312"/>
          <w:color w:val="auto"/>
          <w:sz w:val="32"/>
          <w:szCs w:val="32"/>
          <w:lang w:eastAsia="zh-CN"/>
        </w:rPr>
        <w:t>认定为</w:t>
      </w:r>
      <w:r>
        <w:rPr>
          <w:rFonts w:hint="eastAsia" w:ascii="仿宋_GB2312" w:hAnsi="仿宋_GB2312" w:eastAsia="仿宋_GB2312" w:cs="仿宋_GB2312"/>
          <w:color w:val="auto"/>
          <w:sz w:val="32"/>
          <w:szCs w:val="32"/>
        </w:rPr>
        <w:t>实际用于营业的房屋，按被征收房屋原法定用途补偿后</w:t>
      </w:r>
      <w:r>
        <w:rPr>
          <w:rFonts w:hint="eastAsia" w:ascii="仿宋_GB2312" w:hAnsi="仿宋_GB2312" w:eastAsia="仿宋_GB2312" w:cs="仿宋_GB2312"/>
          <w:color w:val="auto"/>
          <w:sz w:val="32"/>
          <w:szCs w:val="32"/>
          <w:lang w:eastAsia="zh-CN"/>
        </w:rPr>
        <w:t>另给予</w:t>
      </w:r>
      <w:r>
        <w:rPr>
          <w:rFonts w:hint="eastAsia" w:ascii="仿宋_GB2312" w:hAnsi="仿宋_GB2312" w:eastAsia="仿宋_GB2312" w:cs="仿宋_GB2312"/>
          <w:color w:val="auto"/>
          <w:sz w:val="32"/>
          <w:szCs w:val="32"/>
        </w:rPr>
        <w:t>商业</w:t>
      </w:r>
      <w:r>
        <w:rPr>
          <w:rFonts w:hint="eastAsia" w:ascii="仿宋_GB2312" w:hAnsi="仿宋_GB2312" w:eastAsia="仿宋_GB2312" w:cs="仿宋_GB2312"/>
          <w:color w:val="auto"/>
          <w:sz w:val="32"/>
          <w:szCs w:val="32"/>
          <w:lang w:eastAsia="zh-CN"/>
        </w:rPr>
        <w:t>用途</w:t>
      </w:r>
      <w:r>
        <w:rPr>
          <w:rFonts w:hint="eastAsia" w:ascii="仿宋_GB2312" w:hAnsi="仿宋_GB2312" w:eastAsia="仿宋_GB2312" w:cs="仿宋_GB2312"/>
          <w:color w:val="auto"/>
          <w:sz w:val="32"/>
          <w:szCs w:val="32"/>
        </w:rPr>
        <w:t>与原</w:t>
      </w:r>
      <w:r>
        <w:rPr>
          <w:rFonts w:hint="eastAsia" w:ascii="仿宋_GB2312" w:hAnsi="仿宋_GB2312" w:eastAsia="仿宋_GB2312" w:cs="仿宋_GB2312"/>
          <w:color w:val="auto"/>
          <w:sz w:val="32"/>
          <w:szCs w:val="32"/>
          <w:lang w:eastAsia="zh-CN"/>
        </w:rPr>
        <w:t>用途</w:t>
      </w:r>
      <w:r>
        <w:rPr>
          <w:rFonts w:hint="eastAsia" w:ascii="仿宋_GB2312" w:hAnsi="仿宋_GB2312" w:eastAsia="仿宋_GB2312" w:cs="仿宋_GB2312"/>
          <w:color w:val="auto"/>
          <w:sz w:val="32"/>
          <w:szCs w:val="32"/>
        </w:rPr>
        <w:t>市场评估价</w:t>
      </w:r>
      <w:r>
        <w:rPr>
          <w:rFonts w:hint="eastAsia" w:ascii="仿宋_GB2312" w:hAnsi="仿宋_GB2312" w:eastAsia="仿宋_GB2312" w:cs="仿宋_GB2312"/>
          <w:color w:val="auto"/>
          <w:sz w:val="32"/>
          <w:szCs w:val="32"/>
          <w:lang w:eastAsia="zh-CN"/>
        </w:rPr>
        <w:t>的差价</w:t>
      </w:r>
      <w:r>
        <w:rPr>
          <w:rFonts w:hint="eastAsia" w:ascii="仿宋_GB2312" w:hAnsi="仿宋_GB2312" w:eastAsia="仿宋_GB2312" w:cs="仿宋_GB2312"/>
          <w:color w:val="auto"/>
          <w:sz w:val="32"/>
          <w:szCs w:val="32"/>
        </w:rPr>
        <w:t>补偿</w:t>
      </w:r>
      <w:r>
        <w:rPr>
          <w:rFonts w:hint="eastAsia" w:ascii="仿宋_GB2312" w:hAnsi="仿宋_GB2312" w:eastAsia="仿宋_GB2312" w:cs="仿宋_GB2312"/>
          <w:color w:val="auto"/>
          <w:sz w:val="32"/>
          <w:szCs w:val="32"/>
          <w:lang w:val="en-US" w:eastAsia="zh-CN"/>
        </w:rPr>
        <w:t>。</w:t>
      </w:r>
    </w:p>
    <w:p>
      <w:pPr>
        <w:keepNext w:val="0"/>
        <w:keepLines w:val="0"/>
        <w:pageBreakBefore w:val="0"/>
        <w:widowControl w:val="0"/>
        <w:kinsoku/>
        <w:wordWrap/>
        <w:overflowPunct/>
        <w:topLinePunct w:val="0"/>
        <w:autoSpaceDE/>
        <w:autoSpaceDN/>
        <w:bidi w:val="0"/>
        <w:adjustRightInd/>
        <w:spacing w:line="540" w:lineRule="exact"/>
        <w:ind w:firstLine="640" w:firstLineChars="200"/>
        <w:jc w:val="both"/>
        <w:textAlignment w:val="auto"/>
        <w:rPr>
          <w:rFonts w:hint="eastAsia" w:ascii="仿宋_GB2312" w:hAnsi="仿宋_GB2312" w:eastAsia="仿宋_GB2312" w:cs="仿宋_GB2312"/>
          <w:color w:val="auto"/>
          <w:sz w:val="32"/>
          <w:szCs w:val="32"/>
          <w:lang w:eastAsia="zh-CN"/>
        </w:rPr>
      </w:pPr>
      <w:r>
        <w:rPr>
          <w:rFonts w:hint="eastAsia" w:ascii="仿宋_GB2312" w:hAnsi="仿宋_GB2312" w:eastAsia="仿宋_GB2312" w:cs="仿宋_GB2312"/>
          <w:color w:val="auto"/>
          <w:sz w:val="32"/>
          <w:szCs w:val="32"/>
          <w:lang w:eastAsia="zh-CN"/>
        </w:rPr>
        <w:t>差价</w:t>
      </w:r>
      <w:r>
        <w:rPr>
          <w:rFonts w:hint="eastAsia" w:ascii="仿宋_GB2312" w:hAnsi="仿宋_GB2312" w:eastAsia="仿宋_GB2312" w:cs="仿宋_GB2312"/>
          <w:color w:val="auto"/>
          <w:sz w:val="32"/>
          <w:szCs w:val="32"/>
        </w:rPr>
        <w:t>补偿计算公式</w:t>
      </w:r>
      <w:r>
        <w:rPr>
          <w:rFonts w:hint="eastAsia" w:ascii="仿宋_GB2312" w:hAnsi="仿宋_GB2312" w:eastAsia="仿宋_GB2312" w:cs="仿宋_GB2312"/>
          <w:color w:val="auto"/>
          <w:sz w:val="32"/>
          <w:szCs w:val="32"/>
          <w:lang w:eastAsia="zh-CN"/>
        </w:rPr>
        <w:t>为</w:t>
      </w:r>
      <w:r>
        <w:rPr>
          <w:rFonts w:hint="eastAsia" w:ascii="仿宋_GB2312" w:hAnsi="仿宋_GB2312" w:eastAsia="仿宋_GB2312" w:cs="仿宋_GB2312"/>
          <w:color w:val="auto"/>
          <w:sz w:val="32"/>
          <w:szCs w:val="32"/>
        </w:rPr>
        <w:t>：[(商业用房评估</w:t>
      </w:r>
      <w:r>
        <w:rPr>
          <w:rFonts w:hint="eastAsia" w:ascii="仿宋_GB2312" w:hAnsi="仿宋_GB2312" w:eastAsia="仿宋_GB2312" w:cs="仿宋_GB2312"/>
          <w:color w:val="auto"/>
          <w:sz w:val="32"/>
          <w:szCs w:val="32"/>
          <w:lang w:eastAsia="zh-CN"/>
        </w:rPr>
        <w:t>单</w:t>
      </w:r>
      <w:r>
        <w:rPr>
          <w:rFonts w:hint="eastAsia" w:ascii="仿宋_GB2312" w:hAnsi="仿宋_GB2312" w:eastAsia="仿宋_GB2312" w:cs="仿宋_GB2312"/>
          <w:color w:val="auto"/>
          <w:sz w:val="32"/>
          <w:szCs w:val="32"/>
        </w:rPr>
        <w:t>价－原法定用途</w:t>
      </w:r>
      <w:r>
        <w:rPr>
          <w:rFonts w:hint="eastAsia" w:ascii="仿宋_GB2312" w:hAnsi="仿宋_GB2312" w:eastAsia="仿宋_GB2312" w:cs="仿宋_GB2312"/>
          <w:color w:val="auto"/>
          <w:sz w:val="32"/>
          <w:szCs w:val="32"/>
          <w:lang w:eastAsia="zh-CN"/>
        </w:rPr>
        <w:t>房屋</w:t>
      </w:r>
      <w:r>
        <w:rPr>
          <w:rFonts w:hint="eastAsia" w:ascii="仿宋_GB2312" w:hAnsi="仿宋_GB2312" w:eastAsia="仿宋_GB2312" w:cs="仿宋_GB2312"/>
          <w:color w:val="auto"/>
          <w:sz w:val="32"/>
          <w:szCs w:val="32"/>
        </w:rPr>
        <w:t>评估</w:t>
      </w:r>
      <w:r>
        <w:rPr>
          <w:rFonts w:hint="eastAsia" w:ascii="仿宋_GB2312" w:hAnsi="仿宋_GB2312" w:eastAsia="仿宋_GB2312" w:cs="仿宋_GB2312"/>
          <w:color w:val="auto"/>
          <w:sz w:val="32"/>
          <w:szCs w:val="32"/>
          <w:lang w:eastAsia="zh-CN"/>
        </w:rPr>
        <w:t>单</w:t>
      </w:r>
      <w:r>
        <w:rPr>
          <w:rFonts w:hint="eastAsia" w:ascii="仿宋_GB2312" w:hAnsi="仿宋_GB2312" w:eastAsia="仿宋_GB2312" w:cs="仿宋_GB2312"/>
          <w:color w:val="auto"/>
          <w:sz w:val="32"/>
          <w:szCs w:val="32"/>
        </w:rPr>
        <w:t>价－土地收益金或者出让金</w:t>
      </w:r>
      <w:r>
        <w:rPr>
          <w:rFonts w:hint="eastAsia" w:ascii="仿宋_GB2312" w:hAnsi="仿宋_GB2312" w:eastAsia="仿宋_GB2312" w:cs="仿宋_GB2312"/>
          <w:color w:val="auto"/>
          <w:sz w:val="32"/>
          <w:szCs w:val="32"/>
          <w:lang w:eastAsia="zh-CN"/>
        </w:rPr>
        <w:t>单价</w:t>
      </w:r>
      <w:r>
        <w:rPr>
          <w:rFonts w:hint="eastAsia" w:ascii="仿宋_GB2312" w:hAnsi="仿宋_GB2312" w:eastAsia="仿宋_GB2312" w:cs="仿宋_GB2312"/>
          <w:color w:val="auto"/>
          <w:sz w:val="32"/>
          <w:szCs w:val="32"/>
        </w:rPr>
        <w:t>) ×（经营年限÷</w:t>
      </w:r>
      <w:r>
        <w:rPr>
          <w:rFonts w:hint="eastAsia" w:ascii="仿宋_GB2312" w:hAnsi="仿宋_GB2312" w:eastAsia="仿宋_GB2312" w:cs="仿宋_GB2312"/>
          <w:color w:val="auto"/>
          <w:sz w:val="32"/>
          <w:szCs w:val="32"/>
          <w:lang w:eastAsia="zh-CN"/>
        </w:rPr>
        <w:t>基准</w:t>
      </w:r>
      <w:r>
        <w:rPr>
          <w:rFonts w:hint="eastAsia" w:ascii="仿宋_GB2312" w:hAnsi="仿宋_GB2312" w:eastAsia="仿宋_GB2312" w:cs="仿宋_GB2312"/>
          <w:color w:val="auto"/>
          <w:sz w:val="32"/>
          <w:szCs w:val="32"/>
        </w:rPr>
        <w:t>年限）]×</w:t>
      </w:r>
      <w:r>
        <w:rPr>
          <w:rFonts w:hint="eastAsia" w:ascii="仿宋_GB2312" w:hAnsi="仿宋_GB2312" w:eastAsia="仿宋_GB2312" w:cs="仿宋_GB2312"/>
          <w:color w:val="auto"/>
          <w:sz w:val="32"/>
          <w:szCs w:val="32"/>
          <w:lang w:eastAsia="zh-CN"/>
        </w:rPr>
        <w:t>认定面积。</w:t>
      </w:r>
    </w:p>
    <w:p>
      <w:pPr>
        <w:keepNext w:val="0"/>
        <w:keepLines w:val="0"/>
        <w:pageBreakBefore w:val="0"/>
        <w:widowControl w:val="0"/>
        <w:kinsoku/>
        <w:wordWrap/>
        <w:overflowPunct/>
        <w:topLinePunct w:val="0"/>
        <w:autoSpaceDE/>
        <w:autoSpaceDN/>
        <w:bidi w:val="0"/>
        <w:adjustRightInd/>
        <w:spacing w:line="560" w:lineRule="exact"/>
        <w:ind w:firstLine="640" w:firstLineChars="200"/>
        <w:jc w:val="both"/>
        <w:textAlignment w:val="auto"/>
        <w:rPr>
          <w:rFonts w:hint="eastAsia" w:ascii="黑体" w:hAnsi="黑体" w:eastAsia="黑体" w:cs="黑体"/>
          <w:b w:val="0"/>
          <w:bCs w:val="0"/>
          <w:kern w:val="2"/>
          <w:sz w:val="32"/>
          <w:szCs w:val="32"/>
          <w:lang w:val="en-US" w:eastAsia="zh-CN" w:bidi="ar-SA"/>
        </w:rPr>
      </w:pPr>
      <w:r>
        <w:rPr>
          <w:rFonts w:hint="eastAsia" w:ascii="仿宋_GB2312" w:hAnsi="仿宋_GB2312" w:eastAsia="仿宋_GB2312" w:cs="仿宋_GB2312"/>
          <w:color w:val="auto"/>
          <w:sz w:val="32"/>
          <w:szCs w:val="32"/>
          <w:lang w:eastAsia="zh-CN"/>
        </w:rPr>
        <w:t>计算公式中的经营</w:t>
      </w:r>
      <w:r>
        <w:rPr>
          <w:rFonts w:hint="eastAsia" w:ascii="仿宋_GB2312" w:hAnsi="仿宋_GB2312" w:eastAsia="仿宋_GB2312" w:cs="仿宋_GB2312"/>
          <w:color w:val="auto"/>
          <w:sz w:val="32"/>
          <w:szCs w:val="32"/>
        </w:rPr>
        <w:t>年限</w:t>
      </w:r>
      <w:r>
        <w:rPr>
          <w:rFonts w:hint="eastAsia" w:ascii="仿宋_GB2312" w:hAnsi="仿宋_GB2312" w:eastAsia="仿宋_GB2312" w:cs="仿宋_GB2312"/>
          <w:color w:val="auto"/>
          <w:sz w:val="32"/>
          <w:szCs w:val="32"/>
          <w:lang w:eastAsia="zh-CN"/>
        </w:rPr>
        <w:t>是</w:t>
      </w:r>
      <w:r>
        <w:rPr>
          <w:rFonts w:hint="eastAsia" w:ascii="仿宋_GB2312" w:hAnsi="仿宋_GB2312" w:eastAsia="仿宋_GB2312" w:cs="仿宋_GB2312"/>
          <w:color w:val="auto"/>
          <w:sz w:val="32"/>
          <w:szCs w:val="32"/>
          <w:lang w:val="en-US" w:eastAsia="zh-CN"/>
        </w:rPr>
        <w:t>指</w:t>
      </w:r>
      <w:r>
        <w:rPr>
          <w:rFonts w:hint="eastAsia" w:ascii="仿宋_GB2312" w:hAnsi="仿宋_GB2312" w:eastAsia="仿宋_GB2312" w:cs="仿宋_GB2312"/>
          <w:color w:val="auto"/>
          <w:sz w:val="32"/>
          <w:szCs w:val="32"/>
        </w:rPr>
        <w:t>征收公告发布之日</w:t>
      </w:r>
      <w:r>
        <w:rPr>
          <w:rFonts w:hint="eastAsia" w:ascii="仿宋_GB2312" w:hAnsi="仿宋_GB2312" w:eastAsia="仿宋_GB2312" w:cs="仿宋_GB2312"/>
          <w:color w:val="auto"/>
          <w:sz w:val="32"/>
          <w:szCs w:val="32"/>
          <w:lang w:val="en-US" w:eastAsia="zh-CN"/>
        </w:rPr>
        <w:t>减去</w:t>
      </w:r>
      <w:r>
        <w:rPr>
          <w:rFonts w:hint="eastAsia" w:ascii="仿宋_GB2312" w:hAnsi="仿宋_GB2312" w:eastAsia="仿宋_GB2312" w:cs="仿宋_GB2312"/>
          <w:color w:val="auto"/>
          <w:sz w:val="32"/>
          <w:szCs w:val="32"/>
        </w:rPr>
        <w:t>合法经营起</w:t>
      </w:r>
      <w:r>
        <w:rPr>
          <w:rFonts w:hint="eastAsia" w:ascii="仿宋_GB2312" w:hAnsi="仿宋_GB2312" w:eastAsia="仿宋_GB2312" w:cs="仿宋_GB2312"/>
          <w:color w:val="auto"/>
          <w:sz w:val="32"/>
          <w:szCs w:val="32"/>
          <w:lang w:eastAsia="zh-CN"/>
        </w:rPr>
        <w:t>之日</w:t>
      </w:r>
      <w:r>
        <w:rPr>
          <w:rFonts w:hint="eastAsia" w:ascii="仿宋_GB2312" w:hAnsi="仿宋_GB2312" w:eastAsia="仿宋_GB2312" w:cs="仿宋_GB2312"/>
          <w:color w:val="auto"/>
          <w:sz w:val="32"/>
          <w:szCs w:val="32"/>
          <w:lang w:val="en-US" w:eastAsia="zh-CN"/>
        </w:rPr>
        <w:t>的年限，基准年限是指</w:t>
      </w:r>
      <w:r>
        <w:rPr>
          <w:rFonts w:hint="eastAsia" w:ascii="仿宋_GB2312" w:hAnsi="仿宋_GB2312" w:eastAsia="仿宋_GB2312" w:cs="仿宋_GB2312"/>
          <w:color w:val="auto"/>
          <w:sz w:val="32"/>
          <w:szCs w:val="32"/>
        </w:rPr>
        <w:t>征收公告发布之日</w:t>
      </w:r>
      <w:r>
        <w:rPr>
          <w:rFonts w:hint="eastAsia" w:ascii="仿宋_GB2312" w:hAnsi="仿宋_GB2312" w:eastAsia="仿宋_GB2312" w:cs="仿宋_GB2312"/>
          <w:color w:val="auto"/>
          <w:sz w:val="32"/>
          <w:szCs w:val="32"/>
          <w:lang w:val="en-US" w:eastAsia="zh-CN"/>
        </w:rPr>
        <w:t>减去1990年4月1日的年限</w:t>
      </w:r>
      <w:r>
        <w:rPr>
          <w:rFonts w:hint="eastAsia" w:ascii="仿宋_GB2312" w:hAnsi="仿宋_GB2312" w:eastAsia="仿宋_GB2312" w:cs="仿宋_GB2312"/>
          <w:color w:val="auto"/>
          <w:sz w:val="32"/>
          <w:szCs w:val="32"/>
          <w:lang w:eastAsia="zh-CN"/>
        </w:rPr>
        <w:t>，以年为单位，不足一年按一年计算。</w:t>
      </w:r>
    </w:p>
    <w:p>
      <w:pPr>
        <w:keepNext w:val="0"/>
        <w:keepLines w:val="0"/>
        <w:pageBreakBefore w:val="0"/>
        <w:widowControl w:val="0"/>
        <w:kinsoku/>
        <w:wordWrap/>
        <w:overflowPunct/>
        <w:topLinePunct w:val="0"/>
        <w:autoSpaceDE/>
        <w:autoSpaceDN/>
        <w:bidi w:val="0"/>
        <w:adjustRightInd/>
        <w:spacing w:line="560" w:lineRule="exact"/>
        <w:ind w:firstLine="640" w:firstLineChars="200"/>
        <w:jc w:val="both"/>
        <w:textAlignment w:val="auto"/>
        <w:rPr>
          <w:rFonts w:hint="eastAsia" w:ascii="黑体" w:hAnsi="黑体" w:eastAsia="黑体" w:cs="黑体"/>
          <w:b w:val="0"/>
          <w:bCs w:val="0"/>
          <w:kern w:val="2"/>
          <w:sz w:val="32"/>
          <w:szCs w:val="32"/>
          <w:lang w:val="en-US" w:eastAsia="zh-CN" w:bidi="ar-SA"/>
        </w:rPr>
      </w:pPr>
      <w:r>
        <w:rPr>
          <w:rFonts w:hint="eastAsia" w:ascii="黑体" w:hAnsi="黑体" w:eastAsia="黑体" w:cs="黑体"/>
          <w:b w:val="0"/>
          <w:bCs w:val="0"/>
          <w:kern w:val="2"/>
          <w:sz w:val="32"/>
          <w:szCs w:val="32"/>
          <w:lang w:val="en-US" w:eastAsia="zh-CN" w:bidi="ar-SA"/>
        </w:rPr>
        <w:t>四、适用对象</w:t>
      </w:r>
    </w:p>
    <w:p>
      <w:pPr>
        <w:keepNext w:val="0"/>
        <w:keepLines w:val="0"/>
        <w:pageBreakBefore w:val="0"/>
        <w:widowControl w:val="0"/>
        <w:kinsoku/>
        <w:wordWrap/>
        <w:overflowPunct/>
        <w:topLinePunct w:val="0"/>
        <w:autoSpaceDE/>
        <w:autoSpaceDN/>
        <w:bidi w:val="0"/>
        <w:adjustRightInd/>
        <w:spacing w:line="560" w:lineRule="exact"/>
        <w:ind w:firstLine="640" w:firstLineChars="200"/>
        <w:jc w:val="both"/>
        <w:textAlignment w:val="auto"/>
        <w:rPr>
          <w:rFonts w:hint="eastAsia" w:ascii="仿宋_GB2312" w:hAnsi="仿宋_GB2312" w:eastAsia="仿宋_GB2312" w:cs="仿宋_GB2312"/>
          <w:b w:val="0"/>
          <w:bCs w:val="0"/>
          <w:kern w:val="2"/>
          <w:sz w:val="32"/>
          <w:szCs w:val="32"/>
          <w:lang w:val="en-US" w:eastAsia="zh-CN" w:bidi="ar-SA"/>
        </w:rPr>
      </w:pPr>
      <w:r>
        <w:rPr>
          <w:rFonts w:hint="eastAsia" w:ascii="仿宋_GB2312" w:hAnsi="仿宋_GB2312" w:eastAsia="仿宋_GB2312" w:cs="仿宋_GB2312"/>
          <w:b w:val="0"/>
          <w:bCs w:val="0"/>
          <w:kern w:val="2"/>
          <w:sz w:val="32"/>
          <w:szCs w:val="32"/>
          <w:lang w:val="en-US" w:eastAsia="zh-CN" w:bidi="ar-SA"/>
        </w:rPr>
        <w:t>本文件适用于庆元县范围内的房屋征收项目。</w:t>
      </w:r>
    </w:p>
    <w:p>
      <w:pPr>
        <w:pStyle w:val="3"/>
        <w:keepNext/>
        <w:keepLines/>
        <w:pageBreakBefore w:val="0"/>
        <w:widowControl w:val="0"/>
        <w:numPr>
          <w:ilvl w:val="0"/>
          <w:numId w:val="0"/>
        </w:numPr>
        <w:kinsoku/>
        <w:wordWrap/>
        <w:overflowPunct/>
        <w:topLinePunct w:val="0"/>
        <w:autoSpaceDE w:val="0"/>
        <w:autoSpaceDN w:val="0"/>
        <w:bidi w:val="0"/>
        <w:adjustRightInd/>
        <w:snapToGrid/>
        <w:spacing w:before="0" w:line="560" w:lineRule="exact"/>
        <w:ind w:leftChars="0" w:right="0" w:rightChars="0" w:firstLine="640" w:firstLineChars="200"/>
        <w:jc w:val="both"/>
        <w:textAlignment w:val="auto"/>
        <w:rPr>
          <w:rFonts w:hint="eastAsia" w:ascii="仿宋_GB2312" w:hAnsi="仿宋_GB2312" w:eastAsia="仿宋_GB2312" w:cs="仿宋_GB2312"/>
          <w:color w:val="000000"/>
          <w:sz w:val="32"/>
          <w:szCs w:val="32"/>
          <w:lang w:val="en-US" w:eastAsia="zh-CN"/>
        </w:rPr>
      </w:pPr>
      <w:bookmarkStart w:id="1" w:name="OLE_LINK1"/>
      <w:r>
        <w:rPr>
          <w:rFonts w:hint="eastAsia" w:ascii="黑体" w:hAnsi="黑体" w:eastAsia="黑体" w:cs="黑体"/>
          <w:b w:val="0"/>
          <w:bCs w:val="0"/>
          <w:kern w:val="2"/>
          <w:sz w:val="32"/>
          <w:szCs w:val="32"/>
          <w:lang w:val="en-US" w:eastAsia="zh-CN" w:bidi="ar-SA"/>
        </w:rPr>
        <w:t>五、注意事项</w:t>
      </w:r>
      <w:bookmarkEnd w:id="1"/>
    </w:p>
    <w:p>
      <w:pPr>
        <w:keepNext w:val="0"/>
        <w:keepLines w:val="0"/>
        <w:pageBreakBefore w:val="0"/>
        <w:widowControl w:val="0"/>
        <w:kinsoku/>
        <w:wordWrap/>
        <w:overflowPunct/>
        <w:topLinePunct w:val="0"/>
        <w:autoSpaceDE/>
        <w:autoSpaceDN/>
        <w:bidi w:val="0"/>
        <w:adjustRightInd/>
        <w:spacing w:line="560" w:lineRule="exact"/>
        <w:ind w:firstLine="640" w:firstLineChars="200"/>
        <w:jc w:val="both"/>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本文件施行前启动实施的房屋征收项目按该项目补偿安置方案相关规定执行。</w:t>
      </w:r>
    </w:p>
    <w:p>
      <w:pPr>
        <w:keepNext w:val="0"/>
        <w:keepLines w:val="0"/>
        <w:pageBreakBefore w:val="0"/>
        <w:widowControl w:val="0"/>
        <w:kinsoku/>
        <w:wordWrap/>
        <w:overflowPunct/>
        <w:topLinePunct w:val="0"/>
        <w:autoSpaceDE/>
        <w:autoSpaceDN/>
        <w:bidi w:val="0"/>
        <w:adjustRightInd/>
        <w:spacing w:line="560" w:lineRule="exact"/>
        <w:ind w:firstLine="640" w:firstLineChars="200"/>
        <w:jc w:val="both"/>
        <w:textAlignment w:val="auto"/>
        <w:rPr>
          <w:rFonts w:hint="eastAsia" w:ascii="仿宋_GB2312" w:hAnsi="仿宋_GB2312" w:eastAsia="仿宋_GB2312" w:cs="仿宋_GB2312"/>
          <w:b w:val="0"/>
          <w:bCs w:val="0"/>
          <w:kern w:val="2"/>
          <w:sz w:val="32"/>
          <w:szCs w:val="32"/>
          <w:lang w:val="en-US" w:eastAsia="zh-CN" w:bidi="ar-SA"/>
        </w:rPr>
      </w:pPr>
      <w:r>
        <w:rPr>
          <w:rFonts w:hint="eastAsia" w:ascii="黑体" w:hAnsi="黑体" w:eastAsia="黑体" w:cs="黑体"/>
          <w:b w:val="0"/>
          <w:bCs w:val="0"/>
          <w:kern w:val="2"/>
          <w:sz w:val="32"/>
          <w:szCs w:val="32"/>
          <w:lang w:val="en-US" w:eastAsia="zh-CN" w:bidi="ar-SA"/>
        </w:rPr>
        <w:t>六、关键词解释</w:t>
      </w:r>
    </w:p>
    <w:p>
      <w:pPr>
        <w:keepNext w:val="0"/>
        <w:keepLines w:val="0"/>
        <w:pageBreakBefore w:val="0"/>
        <w:widowControl w:val="0"/>
        <w:kinsoku/>
        <w:wordWrap/>
        <w:overflowPunct/>
        <w:topLinePunct w:val="0"/>
        <w:autoSpaceDE/>
        <w:autoSpaceDN/>
        <w:bidi w:val="0"/>
        <w:adjustRightInd/>
        <w:spacing w:line="560" w:lineRule="exact"/>
        <w:ind w:firstLine="640" w:firstLineChars="200"/>
        <w:jc w:val="both"/>
        <w:textAlignment w:val="auto"/>
        <w:rPr>
          <w:rFonts w:hint="eastAsia" w:ascii="仿宋_GB2312" w:hAnsi="仿宋_GB2312" w:eastAsia="仿宋_GB2312" w:cs="仿宋_GB2312"/>
          <w:b w:val="0"/>
          <w:bCs w:val="0"/>
          <w:kern w:val="2"/>
          <w:sz w:val="32"/>
          <w:szCs w:val="32"/>
          <w:lang w:val="en-US" w:eastAsia="zh-CN" w:bidi="ar-SA"/>
        </w:rPr>
      </w:pPr>
      <w:r>
        <w:rPr>
          <w:rFonts w:hint="eastAsia" w:ascii="仿宋_GB2312" w:hAnsi="仿宋_GB2312" w:eastAsia="仿宋_GB2312" w:cs="仿宋_GB2312"/>
          <w:b w:val="0"/>
          <w:bCs w:val="0"/>
          <w:kern w:val="2"/>
          <w:sz w:val="32"/>
          <w:szCs w:val="32"/>
          <w:lang w:val="en-US" w:eastAsia="zh-CN" w:bidi="ar-SA"/>
        </w:rPr>
        <w:t>临时安置费：按照租赁与被征收房屋面积、地段相当的住宅所需费用的平均价格确定，且不低于保障被征收人基本居住条件所需费用。具体标准由设区的市、县（市）人民政府根据当地物价水平规定，每两年公布一次。</w:t>
      </w:r>
    </w:p>
    <w:p>
      <w:pPr>
        <w:keepNext w:val="0"/>
        <w:keepLines w:val="0"/>
        <w:pageBreakBefore w:val="0"/>
        <w:widowControl w:val="0"/>
        <w:kinsoku/>
        <w:wordWrap/>
        <w:overflowPunct/>
        <w:topLinePunct w:val="0"/>
        <w:autoSpaceDE/>
        <w:autoSpaceDN/>
        <w:bidi w:val="0"/>
        <w:adjustRightInd/>
        <w:spacing w:line="560" w:lineRule="exact"/>
        <w:ind w:firstLine="640" w:firstLineChars="200"/>
        <w:jc w:val="both"/>
        <w:textAlignment w:val="auto"/>
        <w:rPr>
          <w:rFonts w:hint="eastAsia" w:ascii="仿宋_GB2312" w:hAnsi="仿宋_GB2312" w:eastAsia="仿宋_GB2312" w:cs="仿宋_GB2312"/>
          <w:b w:val="0"/>
          <w:bCs w:val="0"/>
          <w:kern w:val="2"/>
          <w:sz w:val="32"/>
          <w:szCs w:val="32"/>
          <w:lang w:val="en-US" w:eastAsia="zh-CN" w:bidi="ar-SA"/>
        </w:rPr>
      </w:pPr>
      <w:bookmarkStart w:id="2" w:name="_GoBack"/>
      <w:r>
        <w:rPr>
          <w:rFonts w:hint="eastAsia" w:ascii="仿宋_GB2312" w:hAnsi="仿宋_GB2312" w:eastAsia="仿宋_GB2312" w:cs="仿宋_GB2312"/>
          <w:b w:val="0"/>
          <w:bCs w:val="0"/>
          <w:kern w:val="2"/>
          <w:sz w:val="32"/>
          <w:szCs w:val="32"/>
          <w:lang w:val="en-US" w:eastAsia="zh-CN" w:bidi="ar-SA"/>
        </w:rPr>
        <w:t>搬迁费：用于补偿被征收人（被补偿人）因搬家和固定电话、网络、有线电视、空调、管道煤气等迁移造成的损失。搬迁费的具体标准由设区的市、县（市）人民政府根据当地物价水平规定，每两年公布一次。</w:t>
      </w:r>
    </w:p>
    <w:bookmarkEnd w:id="2"/>
    <w:p>
      <w:pPr>
        <w:keepNext w:val="0"/>
        <w:keepLines w:val="0"/>
        <w:pageBreakBefore w:val="0"/>
        <w:widowControl w:val="0"/>
        <w:kinsoku/>
        <w:wordWrap/>
        <w:overflowPunct/>
        <w:topLinePunct w:val="0"/>
        <w:autoSpaceDE/>
        <w:autoSpaceDN/>
        <w:bidi w:val="0"/>
        <w:adjustRightInd/>
        <w:spacing w:line="560" w:lineRule="exact"/>
        <w:ind w:firstLine="640" w:firstLineChars="200"/>
        <w:jc w:val="both"/>
        <w:textAlignment w:val="auto"/>
        <w:rPr>
          <w:rFonts w:hint="eastAsia" w:ascii="黑体" w:hAnsi="黑体" w:eastAsia="黑体" w:cs="黑体"/>
          <w:b w:val="0"/>
          <w:bCs w:val="0"/>
          <w:kern w:val="2"/>
          <w:sz w:val="32"/>
          <w:szCs w:val="32"/>
          <w:lang w:val="en-US" w:eastAsia="zh-CN" w:bidi="ar-SA"/>
        </w:rPr>
      </w:pPr>
      <w:r>
        <w:rPr>
          <w:rFonts w:hint="eastAsia" w:ascii="黑体" w:hAnsi="黑体" w:eastAsia="黑体" w:cs="黑体"/>
          <w:b w:val="0"/>
          <w:bCs w:val="0"/>
          <w:kern w:val="2"/>
          <w:sz w:val="32"/>
          <w:szCs w:val="32"/>
          <w:lang w:val="en-US" w:eastAsia="zh-CN" w:bidi="ar-SA"/>
        </w:rPr>
        <w:t>七、新旧政策差异</w:t>
      </w:r>
    </w:p>
    <w:p>
      <w:pPr>
        <w:keepNext w:val="0"/>
        <w:keepLines w:val="0"/>
        <w:pageBreakBefore w:val="0"/>
        <w:widowControl w:val="0"/>
        <w:kinsoku/>
        <w:wordWrap/>
        <w:overflowPunct/>
        <w:topLinePunct w:val="0"/>
        <w:autoSpaceDE/>
        <w:autoSpaceDN/>
        <w:bidi w:val="0"/>
        <w:adjustRightInd/>
        <w:spacing w:line="560" w:lineRule="exact"/>
        <w:ind w:firstLine="640" w:firstLineChars="200"/>
        <w:jc w:val="both"/>
        <w:textAlignment w:val="auto"/>
        <w:rPr>
          <w:rFonts w:hint="eastAsia" w:ascii="仿宋_GB2312" w:hAnsi="仿宋_GB2312" w:eastAsia="仿宋_GB2312" w:cs="仿宋_GB2312"/>
          <w:b w:val="0"/>
          <w:bCs w:val="0"/>
          <w:kern w:val="2"/>
          <w:sz w:val="32"/>
          <w:szCs w:val="32"/>
          <w:lang w:val="en-US" w:eastAsia="zh-CN" w:bidi="ar-SA"/>
        </w:rPr>
      </w:pPr>
      <w:r>
        <w:rPr>
          <w:rFonts w:hint="eastAsia" w:ascii="仿宋_GB2312" w:hAnsi="仿宋_GB2312" w:eastAsia="仿宋_GB2312" w:cs="仿宋_GB2312"/>
          <w:b w:val="0"/>
          <w:bCs w:val="0"/>
          <w:kern w:val="2"/>
          <w:sz w:val="32"/>
          <w:szCs w:val="32"/>
          <w:lang w:val="en-US" w:eastAsia="zh-CN" w:bidi="ar-SA"/>
        </w:rPr>
        <w:t>（一）搬迁费最低标准由“每户合计不低于1500元”调整为“每户合计不低于2000元”。</w:t>
      </w:r>
    </w:p>
    <w:p>
      <w:pPr>
        <w:keepNext w:val="0"/>
        <w:keepLines w:val="0"/>
        <w:pageBreakBefore w:val="0"/>
        <w:widowControl w:val="0"/>
        <w:kinsoku/>
        <w:wordWrap/>
        <w:overflowPunct/>
        <w:topLinePunct w:val="0"/>
        <w:autoSpaceDE/>
        <w:autoSpaceDN/>
        <w:bidi w:val="0"/>
        <w:adjustRightInd/>
        <w:spacing w:line="560" w:lineRule="exact"/>
        <w:ind w:firstLine="640" w:firstLineChars="200"/>
        <w:jc w:val="both"/>
        <w:textAlignment w:val="auto"/>
        <w:rPr>
          <w:rFonts w:hint="eastAsia" w:ascii="仿宋_GB2312" w:hAnsi="仿宋_GB2312" w:eastAsia="仿宋_GB2312" w:cs="仿宋_GB2312"/>
          <w:b w:val="0"/>
          <w:bCs w:val="0"/>
          <w:kern w:val="2"/>
          <w:sz w:val="32"/>
          <w:szCs w:val="32"/>
          <w:lang w:val="en-US" w:eastAsia="zh-CN" w:bidi="ar-SA"/>
        </w:rPr>
      </w:pPr>
      <w:r>
        <w:rPr>
          <w:rFonts w:hint="eastAsia" w:ascii="仿宋_GB2312" w:hAnsi="仿宋_GB2312" w:eastAsia="仿宋_GB2312" w:cs="仿宋_GB2312"/>
          <w:b w:val="0"/>
          <w:bCs w:val="0"/>
          <w:kern w:val="2"/>
          <w:sz w:val="32"/>
          <w:szCs w:val="32"/>
          <w:lang w:val="en-US" w:eastAsia="zh-CN" w:bidi="ar-SA"/>
        </w:rPr>
        <w:t>（二）工业企业对搬迁费标准有异议的，由“房屋征收部门委托评估中介机构进行搬迁费评估”改为“补偿双方委托评估中介机构进行评估”。</w:t>
      </w:r>
    </w:p>
    <w:p>
      <w:pPr>
        <w:keepNext w:val="0"/>
        <w:keepLines w:val="0"/>
        <w:pageBreakBefore w:val="0"/>
        <w:widowControl w:val="0"/>
        <w:kinsoku/>
        <w:wordWrap/>
        <w:overflowPunct/>
        <w:topLinePunct w:val="0"/>
        <w:autoSpaceDE/>
        <w:autoSpaceDN/>
        <w:bidi w:val="0"/>
        <w:adjustRightInd/>
        <w:spacing w:line="560" w:lineRule="exact"/>
        <w:ind w:firstLine="640" w:firstLineChars="200"/>
        <w:jc w:val="both"/>
        <w:textAlignment w:val="auto"/>
        <w:rPr>
          <w:rFonts w:hint="eastAsia" w:ascii="黑体" w:hAnsi="黑体" w:eastAsia="黑体" w:cs="黑体"/>
          <w:b w:val="0"/>
          <w:bCs w:val="0"/>
          <w:kern w:val="2"/>
          <w:sz w:val="32"/>
          <w:szCs w:val="32"/>
          <w:lang w:val="en-US" w:eastAsia="zh-CN" w:bidi="ar-SA"/>
        </w:rPr>
      </w:pPr>
      <w:r>
        <w:rPr>
          <w:rFonts w:hint="eastAsia" w:ascii="黑体" w:hAnsi="黑体" w:eastAsia="黑体" w:cs="黑体"/>
          <w:b w:val="0"/>
          <w:bCs w:val="0"/>
          <w:kern w:val="2"/>
          <w:sz w:val="32"/>
          <w:szCs w:val="32"/>
          <w:lang w:val="en-US" w:eastAsia="zh-CN" w:bidi="ar-SA"/>
        </w:rPr>
        <w:t>八、政策实行时间</w:t>
      </w:r>
    </w:p>
    <w:p>
      <w:pPr>
        <w:pStyle w:val="3"/>
        <w:keepNext/>
        <w:keepLines/>
        <w:pageBreakBefore w:val="0"/>
        <w:widowControl w:val="0"/>
        <w:numPr>
          <w:ilvl w:val="0"/>
          <w:numId w:val="0"/>
        </w:numPr>
        <w:kinsoku/>
        <w:wordWrap/>
        <w:overflowPunct/>
        <w:topLinePunct w:val="0"/>
        <w:autoSpaceDE w:val="0"/>
        <w:autoSpaceDN w:val="0"/>
        <w:bidi w:val="0"/>
        <w:adjustRightInd/>
        <w:snapToGrid/>
        <w:spacing w:before="0" w:line="560" w:lineRule="exact"/>
        <w:ind w:leftChars="0" w:right="0" w:rightChars="0" w:firstLine="640" w:firstLineChars="200"/>
        <w:jc w:val="both"/>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eastAsia="zh-CN"/>
        </w:rPr>
        <w:t>本文件自</w:t>
      </w:r>
      <w:r>
        <w:rPr>
          <w:rFonts w:hint="eastAsia" w:ascii="仿宋_GB2312" w:hAnsi="仿宋_GB2312" w:eastAsia="仿宋_GB2312" w:cs="仿宋_GB2312"/>
          <w:color w:val="auto"/>
          <w:sz w:val="32"/>
          <w:szCs w:val="32"/>
          <w:lang w:val="en-US" w:eastAsia="zh-CN"/>
        </w:rPr>
        <w:t>2025年2月15日起施行。</w:t>
      </w:r>
    </w:p>
    <w:p>
      <w:pPr>
        <w:pStyle w:val="3"/>
        <w:keepNext/>
        <w:keepLines/>
        <w:pageBreakBefore w:val="0"/>
        <w:widowControl w:val="0"/>
        <w:numPr>
          <w:ilvl w:val="0"/>
          <w:numId w:val="0"/>
        </w:numPr>
        <w:kinsoku/>
        <w:wordWrap/>
        <w:overflowPunct/>
        <w:topLinePunct w:val="0"/>
        <w:autoSpaceDE w:val="0"/>
        <w:autoSpaceDN w:val="0"/>
        <w:bidi w:val="0"/>
        <w:adjustRightInd/>
        <w:snapToGrid/>
        <w:spacing w:before="0" w:line="560" w:lineRule="exact"/>
        <w:ind w:leftChars="0" w:right="0" w:rightChars="0" w:firstLine="640" w:firstLineChars="200"/>
        <w:jc w:val="both"/>
        <w:textAlignment w:val="auto"/>
        <w:rPr>
          <w:rFonts w:hint="eastAsia" w:ascii="黑体" w:hAnsi="黑体" w:eastAsia="黑体" w:cs="黑体"/>
          <w:b w:val="0"/>
          <w:bCs w:val="0"/>
          <w:kern w:val="2"/>
          <w:sz w:val="32"/>
          <w:szCs w:val="32"/>
          <w:lang w:val="en-US" w:eastAsia="zh-CN" w:bidi="ar-SA"/>
        </w:rPr>
      </w:pPr>
      <w:r>
        <w:rPr>
          <w:rFonts w:hint="eastAsia" w:ascii="黑体" w:hAnsi="黑体" w:eastAsia="黑体" w:cs="黑体"/>
          <w:b w:val="0"/>
          <w:bCs w:val="0"/>
          <w:kern w:val="2"/>
          <w:sz w:val="32"/>
          <w:szCs w:val="32"/>
          <w:lang w:val="en-US" w:eastAsia="zh-CN" w:bidi="ar-SA"/>
        </w:rPr>
        <w:t>九、解读机关</w:t>
      </w:r>
    </w:p>
    <w:p>
      <w:pPr>
        <w:pStyle w:val="3"/>
        <w:keepNext/>
        <w:keepLines/>
        <w:pageBreakBefore w:val="0"/>
        <w:widowControl w:val="0"/>
        <w:numPr>
          <w:ilvl w:val="0"/>
          <w:numId w:val="0"/>
        </w:numPr>
        <w:kinsoku/>
        <w:wordWrap/>
        <w:overflowPunct/>
        <w:topLinePunct w:val="0"/>
        <w:autoSpaceDE w:val="0"/>
        <w:autoSpaceDN w:val="0"/>
        <w:bidi w:val="0"/>
        <w:adjustRightInd/>
        <w:snapToGrid/>
        <w:spacing w:before="0" w:line="560" w:lineRule="exact"/>
        <w:ind w:leftChars="0" w:right="0" w:rightChars="0" w:firstLine="640" w:firstLineChars="200"/>
        <w:jc w:val="both"/>
        <w:textAlignment w:val="auto"/>
        <w:rPr>
          <w:rFonts w:hint="eastAsia" w:ascii="仿宋_GB2312" w:hAnsi="仿宋_GB2312" w:eastAsia="仿宋_GB2312" w:cs="仿宋_GB2312"/>
          <w:b w:val="0"/>
          <w:bCs w:val="0"/>
          <w:kern w:val="2"/>
          <w:sz w:val="32"/>
          <w:szCs w:val="32"/>
          <w:lang w:val="en-US" w:eastAsia="zh-CN" w:bidi="ar-SA"/>
        </w:rPr>
      </w:pPr>
      <w:r>
        <w:rPr>
          <w:rFonts w:hint="eastAsia" w:ascii="仿宋_GB2312" w:hAnsi="仿宋_GB2312" w:eastAsia="仿宋_GB2312" w:cs="仿宋_GB2312"/>
          <w:b w:val="0"/>
          <w:bCs w:val="0"/>
          <w:kern w:val="2"/>
          <w:sz w:val="32"/>
          <w:szCs w:val="32"/>
          <w:lang w:val="en-US" w:eastAsia="zh-CN" w:bidi="ar-SA"/>
        </w:rPr>
        <w:t>解读机关：庆元县土地和房屋征收工作指导中心；</w:t>
      </w:r>
    </w:p>
    <w:p>
      <w:pPr>
        <w:pStyle w:val="3"/>
        <w:keepNext/>
        <w:keepLines/>
        <w:pageBreakBefore w:val="0"/>
        <w:widowControl w:val="0"/>
        <w:numPr>
          <w:ilvl w:val="0"/>
          <w:numId w:val="0"/>
        </w:numPr>
        <w:kinsoku/>
        <w:wordWrap/>
        <w:overflowPunct/>
        <w:topLinePunct w:val="0"/>
        <w:autoSpaceDE w:val="0"/>
        <w:autoSpaceDN w:val="0"/>
        <w:bidi w:val="0"/>
        <w:adjustRightInd/>
        <w:snapToGrid/>
        <w:spacing w:before="0" w:line="560" w:lineRule="exact"/>
        <w:ind w:leftChars="0" w:right="0" w:rightChars="0" w:firstLine="640" w:firstLineChars="200"/>
        <w:jc w:val="both"/>
        <w:textAlignment w:val="auto"/>
        <w:rPr>
          <w:rFonts w:hint="eastAsia" w:ascii="仿宋_GB2312" w:hAnsi="仿宋_GB2312" w:eastAsia="仿宋_GB2312" w:cs="仿宋_GB2312"/>
          <w:b w:val="0"/>
          <w:bCs w:val="0"/>
          <w:kern w:val="2"/>
          <w:sz w:val="32"/>
          <w:szCs w:val="32"/>
          <w:lang w:val="en-US" w:eastAsia="zh-CN" w:bidi="ar-SA"/>
        </w:rPr>
      </w:pPr>
      <w:r>
        <w:rPr>
          <w:rFonts w:hint="eastAsia" w:ascii="仿宋_GB2312" w:hAnsi="仿宋_GB2312" w:eastAsia="仿宋_GB2312" w:cs="仿宋_GB2312"/>
          <w:b w:val="0"/>
          <w:bCs w:val="0"/>
          <w:kern w:val="2"/>
          <w:sz w:val="32"/>
          <w:szCs w:val="32"/>
          <w:lang w:val="en-US" w:eastAsia="zh-CN" w:bidi="ar-SA"/>
        </w:rPr>
        <w:t xml:space="preserve">解读人：王兴华 ；       </w:t>
      </w:r>
    </w:p>
    <w:p>
      <w:pPr>
        <w:pStyle w:val="3"/>
        <w:keepNext/>
        <w:keepLines/>
        <w:pageBreakBefore w:val="0"/>
        <w:widowControl w:val="0"/>
        <w:numPr>
          <w:ilvl w:val="0"/>
          <w:numId w:val="0"/>
        </w:numPr>
        <w:kinsoku/>
        <w:wordWrap/>
        <w:overflowPunct/>
        <w:topLinePunct w:val="0"/>
        <w:autoSpaceDE w:val="0"/>
        <w:autoSpaceDN w:val="0"/>
        <w:bidi w:val="0"/>
        <w:adjustRightInd/>
        <w:snapToGrid/>
        <w:spacing w:before="0" w:line="560" w:lineRule="exact"/>
        <w:ind w:leftChars="0" w:right="0" w:rightChars="0" w:firstLine="640" w:firstLineChars="200"/>
        <w:jc w:val="both"/>
        <w:textAlignment w:val="auto"/>
        <w:rPr>
          <w:rFonts w:hint="eastAsia" w:ascii="仿宋_GB2312" w:hAnsi="仿宋_GB2312" w:eastAsia="仿宋_GB2312" w:cs="仿宋_GB2312"/>
          <w:b w:val="0"/>
          <w:bCs w:val="0"/>
          <w:kern w:val="2"/>
          <w:sz w:val="32"/>
          <w:szCs w:val="32"/>
          <w:lang w:val="en-US" w:eastAsia="zh-CN" w:bidi="ar-SA"/>
        </w:rPr>
      </w:pPr>
      <w:r>
        <w:rPr>
          <w:rFonts w:hint="eastAsia" w:ascii="仿宋_GB2312" w:hAnsi="仿宋_GB2312" w:eastAsia="仿宋_GB2312" w:cs="仿宋_GB2312"/>
          <w:b w:val="0"/>
          <w:bCs w:val="0"/>
          <w:kern w:val="2"/>
          <w:sz w:val="32"/>
          <w:szCs w:val="32"/>
          <w:lang w:val="en-US" w:eastAsia="zh-CN" w:bidi="ar-SA"/>
        </w:rPr>
        <w:t>地址：庆元县濛洲街道银泰商铺35号；</w:t>
      </w:r>
    </w:p>
    <w:p>
      <w:pPr>
        <w:pStyle w:val="3"/>
        <w:keepNext/>
        <w:keepLines/>
        <w:pageBreakBefore w:val="0"/>
        <w:widowControl w:val="0"/>
        <w:numPr>
          <w:ilvl w:val="0"/>
          <w:numId w:val="0"/>
        </w:numPr>
        <w:kinsoku/>
        <w:wordWrap/>
        <w:overflowPunct/>
        <w:topLinePunct w:val="0"/>
        <w:autoSpaceDE w:val="0"/>
        <w:autoSpaceDN w:val="0"/>
        <w:bidi w:val="0"/>
        <w:adjustRightInd/>
        <w:snapToGrid/>
        <w:spacing w:before="0" w:line="560" w:lineRule="exact"/>
        <w:ind w:leftChars="0" w:right="0" w:rightChars="0" w:firstLine="640" w:firstLineChars="200"/>
        <w:jc w:val="both"/>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b w:val="0"/>
          <w:bCs w:val="0"/>
          <w:kern w:val="2"/>
          <w:sz w:val="32"/>
          <w:szCs w:val="32"/>
          <w:lang w:val="en-US" w:eastAsia="zh-CN" w:bidi="ar-SA"/>
        </w:rPr>
        <w:t>咨询电话：</w:t>
      </w:r>
      <w:r>
        <w:rPr>
          <w:rFonts w:hint="eastAsia" w:ascii="仿宋_GB2312" w:hAnsi="仿宋_GB2312" w:eastAsia="仿宋_GB2312" w:cs="仿宋_GB2312"/>
          <w:sz w:val="32"/>
          <w:szCs w:val="32"/>
          <w:lang w:val="en-US" w:eastAsia="zh-CN"/>
        </w:rPr>
        <w:t>0578--6059823</w:t>
      </w:r>
      <w:r>
        <w:rPr>
          <w:rFonts w:hint="eastAsia" w:ascii="仿宋_GB2312" w:hAnsi="仿宋_GB2312" w:eastAsia="仿宋_GB2312" w:cs="仿宋_GB2312"/>
          <w:b w:val="0"/>
          <w:bCs w:val="0"/>
          <w:kern w:val="2"/>
          <w:sz w:val="32"/>
          <w:szCs w:val="32"/>
          <w:lang w:val="en-US" w:eastAsia="zh-CN" w:bidi="ar-SA"/>
        </w:rPr>
        <w:t>。</w:t>
      </w:r>
    </w:p>
    <w:p>
      <w:pPr>
        <w:pStyle w:val="2"/>
        <w:rPr>
          <w:rFonts w:hint="eastAsia"/>
          <w:lang w:val="en-US" w:eastAsia="zh-CN"/>
        </w:rPr>
      </w:pPr>
    </w:p>
    <w:p>
      <w:pPr>
        <w:keepNext w:val="0"/>
        <w:keepLines w:val="0"/>
        <w:pageBreakBefore w:val="0"/>
        <w:widowControl w:val="0"/>
        <w:kinsoku/>
        <w:wordWrap/>
        <w:overflowPunct/>
        <w:topLinePunct w:val="0"/>
        <w:autoSpaceDE/>
        <w:autoSpaceDN/>
        <w:bidi w:val="0"/>
        <w:adjustRightInd/>
        <w:snapToGrid w:val="0"/>
        <w:spacing w:line="560" w:lineRule="exact"/>
        <w:ind w:firstLine="640" w:firstLineChars="200"/>
        <w:jc w:val="both"/>
        <w:textAlignment w:val="auto"/>
        <w:rPr>
          <w:rFonts w:hint="eastAsia" w:ascii="仿宋_GB2312" w:hAnsi="仿宋_GB2312" w:eastAsia="仿宋_GB2312" w:cs="仿宋_GB2312"/>
          <w:color w:val="auto"/>
          <w:sz w:val="32"/>
          <w:szCs w:val="32"/>
        </w:rPr>
      </w:pPr>
    </w:p>
    <w:p>
      <w:pPr>
        <w:pStyle w:val="2"/>
        <w:rPr>
          <w:rFonts w:hint="eastAsia"/>
          <w:lang w:val="en-US" w:eastAsia="zh-CN"/>
        </w:rPr>
      </w:pPr>
    </w:p>
    <w:sectPr>
      <w:footerReference r:id="rId3" w:type="default"/>
      <w:pgSz w:w="11906" w:h="16838"/>
      <w:pgMar w:top="2098" w:right="1474" w:bottom="1984" w:left="1587" w:header="851" w:footer="992"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Arial Unicode MS">
    <w:altName w:val="宋体"/>
    <w:panose1 w:val="020B0604020202020204"/>
    <w:charset w:val="86"/>
    <w:family w:val="auto"/>
    <w:pitch w:val="default"/>
    <w:sig w:usb0="00000000" w:usb1="00000000" w:usb2="0000003F" w:usb3="00000000" w:csb0="603F01FF" w:csb1="FFFF0000"/>
  </w:font>
  <w:font w:name="方正小标宋简体">
    <w:panose1 w:val="03000509000000000000"/>
    <w:charset w:val="86"/>
    <w:family w:val="auto"/>
    <w:pitch w:val="default"/>
    <w:sig w:usb0="00000001" w:usb1="080E0000" w:usb2="00000000" w:usb3="00000000" w:csb0="00040000" w:csb1="00000000"/>
  </w:font>
  <w:font w:name="仿宋_GB2312">
    <w:panose1 w:val="02010609030101010101"/>
    <w:charset w:val="86"/>
    <w:family w:val="auto"/>
    <w:pitch w:val="default"/>
    <w:sig w:usb0="00000001" w:usb1="080E0000" w:usb2="00000000" w:usb3="00000000" w:csb0="00040000" w:csb1="00000000"/>
  </w:font>
  <w:font w:name="楷体_GB2312">
    <w:panose1 w:val="02010609030101010101"/>
    <w:charset w:val="86"/>
    <w:family w:val="auto"/>
    <w:pitch w:val="default"/>
    <w:sig w:usb0="00000001" w:usb1="080E0000" w:usb2="00000000" w:usb3="00000000" w:csb0="00040000" w:csb1="00000000"/>
  </w:font>
  <w:font w:name="Arial">
    <w:panose1 w:val="020B0604020202020204"/>
    <w:charset w:val="00"/>
    <w:family w:val="auto"/>
    <w:pitch w:val="default"/>
    <w:sig w:usb0="E0002A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inside</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4"/>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inside;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pPr>
                      <w:pStyle w:val="4"/>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C5F6CE7"/>
    <w:rsid w:val="2D7A46FD"/>
    <w:rsid w:val="4184716B"/>
    <w:rsid w:val="4EDB5B30"/>
    <w:rsid w:val="6F412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Plain Text"/>
    <w:basedOn w:val="1"/>
    <w:qFormat/>
    <w:uiPriority w:val="0"/>
    <w:pPr>
      <w:widowControl/>
      <w:spacing w:before="100" w:beforeLines="0" w:beforeAutospacing="1" w:after="100" w:afterLines="0" w:afterAutospacing="1"/>
      <w:jc w:val="left"/>
    </w:pPr>
    <w:rPr>
      <w:rFonts w:ascii="Arial Unicode MS" w:hAnsi="Arial Unicode MS" w:eastAsia="Arial Unicode MS" w:cs="Arial Unicode MS"/>
      <w:kern w:val="0"/>
      <w:sz w:val="24"/>
      <w:szCs w:val="24"/>
    </w:rPr>
  </w:style>
  <w:style w:type="paragraph" w:styleId="3">
    <w:name w:val="Body Text"/>
    <w:basedOn w:val="1"/>
    <w:qFormat/>
    <w:uiPriority w:val="1"/>
    <w:pPr>
      <w:spacing w:before="190"/>
      <w:ind w:left="166"/>
    </w:pPr>
    <w:rPr>
      <w:rFonts w:ascii="宋体" w:hAnsi="宋体" w:eastAsia="宋体" w:cs="宋体"/>
      <w:sz w:val="32"/>
      <w:szCs w:val="32"/>
    </w:r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43</TotalTime>
  <ScaleCrop>false</ScaleCrop>
  <LinksUpToDate>false</LinksUpToDate>
  <CharactersWithSpaces>0</CharactersWithSpaces>
  <Application>WPS Office_11.8.2.12309_F1E327BC-269C-435d-A152-05C5408002CA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2024-12-18T01:33:00Z</dcterms:created>
  <dc:creator>Administrator</dc:creator>
  <cp:lastModifiedBy>王兴华</cp:lastModifiedBy>
  <dcterms:modified xsi:type="dcterms:W3CDTF">2024-12-19T06:55:37Z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2052-11.8.2.12309</vt:lpwstr>
  </property>
  <property fmtid="{D5CDD505-2E9C-101B-9397-08002B2CF9AE}" pid="3" name="ICV">
    <vt:lpwstr>465B4EBA6A22448BAD4EDAE4F2491F34</vt:lpwstr>
  </property>
</Properties>
</file>