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公文小标宋" w:hAnsi="方正公文小标宋" w:eastAsia="方正公文小标宋" w:cs="方正公文小标宋"/>
          <w:b w:val="0"/>
          <w:bCs w:val="0"/>
          <w:color w:val="auto"/>
          <w:sz w:val="44"/>
          <w:szCs w:val="44"/>
          <w:highlight w:val="none"/>
          <w:lang w:val="en-US" w:eastAsia="zh-CN"/>
        </w:rPr>
      </w:pPr>
      <w:r>
        <w:rPr>
          <w:rFonts w:hint="eastAsia" w:ascii="方正公文小标宋" w:hAnsi="方正公文小标宋" w:eastAsia="方正公文小标宋" w:cs="方正公文小标宋"/>
          <w:b w:val="0"/>
          <w:bCs w:val="0"/>
          <w:color w:val="auto"/>
          <w:sz w:val="44"/>
          <w:szCs w:val="44"/>
          <w:highlight w:val="none"/>
          <w:lang w:val="en-US" w:eastAsia="zh-CN"/>
        </w:rPr>
        <w:t>永嘉县泵阀产业关键共性技术协同攻关项目揭榜挂帅实施方案（试行）</w:t>
      </w:r>
    </w:p>
    <w:p>
      <w:pPr>
        <w:keepNext w:val="0"/>
        <w:keepLines w:val="0"/>
        <w:pageBreakBefore w:val="0"/>
        <w:widowControl w:val="0"/>
        <w:kinsoku/>
        <w:wordWrap/>
        <w:overflowPunct/>
        <w:topLinePunct w:val="0"/>
        <w:autoSpaceDE/>
        <w:autoSpaceDN/>
        <w:bidi w:val="0"/>
        <w:adjustRightInd/>
        <w:snapToGrid/>
        <w:spacing w:line="560" w:lineRule="exact"/>
        <w:ind w:left="0" w:leftChars="0"/>
        <w:jc w:val="center"/>
        <w:textAlignment w:val="auto"/>
        <w:rPr>
          <w:rFonts w:hint="eastAsia" w:ascii="方正公文小标宋" w:hAnsi="方正公文小标宋" w:eastAsia="方正公文小标宋" w:cs="方正公文小标宋"/>
          <w:b w:val="0"/>
          <w:bCs w:val="0"/>
          <w:color w:val="auto"/>
          <w:sz w:val="44"/>
          <w:szCs w:val="44"/>
          <w:highlight w:val="none"/>
          <w:lang w:val="en-US" w:eastAsia="zh-CN"/>
        </w:rPr>
      </w:pPr>
      <w:r>
        <w:rPr>
          <w:rFonts w:hint="eastAsia" w:ascii="方正公文小标宋" w:hAnsi="方正公文小标宋" w:eastAsia="方正公文小标宋" w:cs="方正公文小标宋"/>
          <w:b w:val="0"/>
          <w:bCs w:val="0"/>
          <w:color w:val="auto"/>
          <w:sz w:val="44"/>
          <w:szCs w:val="44"/>
          <w:highlight w:val="none"/>
          <w:lang w:val="en-US" w:eastAsia="zh-CN"/>
        </w:rPr>
        <w:t>（征求意见稿）</w:t>
      </w:r>
    </w:p>
    <w:p>
      <w:pPr>
        <w:pStyle w:val="2"/>
        <w:keepNext w:val="0"/>
        <w:keepLines w:val="0"/>
        <w:pageBreakBefore w:val="0"/>
        <w:kinsoku/>
        <w:wordWrap/>
        <w:overflowPunct/>
        <w:topLinePunct w:val="0"/>
        <w:autoSpaceDE/>
        <w:autoSpaceDN/>
        <w:bidi w:val="0"/>
        <w:adjustRightInd/>
        <w:snapToGrid/>
        <w:spacing w:after="0" w:line="560" w:lineRule="exact"/>
        <w:ind w:left="0" w:leftChars="0"/>
        <w:textAlignment w:val="auto"/>
        <w:rPr>
          <w:rFonts w:hint="eastAsia"/>
          <w:highlight w:val="none"/>
          <w:lang w:val="en-US" w:eastAsia="zh-CN"/>
        </w:rPr>
      </w:pP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left="0" w:leftChars="0" w:right="0" w:firstLine="640"/>
        <w:jc w:val="both"/>
        <w:textAlignment w:val="auto"/>
        <w:rPr>
          <w:rFonts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kern w:val="0"/>
          <w:sz w:val="32"/>
          <w:szCs w:val="32"/>
          <w:highlight w:val="none"/>
          <w:lang w:val="en-US" w:eastAsia="zh-CN" w:bidi="ar"/>
        </w:rPr>
        <w:t>为深入贯彻落实党中央、国务院和省委、省政府关于大力发展先进制造业的重大战略部署，加快推进我县新</w:t>
      </w:r>
      <w:bookmarkStart w:id="4" w:name="_GoBack"/>
      <w:bookmarkEnd w:id="4"/>
      <w:r>
        <w:rPr>
          <w:rFonts w:hint="eastAsia" w:ascii="仿宋_GB2312" w:hAnsi="仿宋_GB2312" w:eastAsia="仿宋_GB2312" w:cs="仿宋_GB2312"/>
          <w:color w:val="auto"/>
          <w:kern w:val="0"/>
          <w:sz w:val="32"/>
          <w:szCs w:val="32"/>
          <w:highlight w:val="none"/>
          <w:lang w:val="en-US" w:eastAsia="zh-CN" w:bidi="ar"/>
        </w:rPr>
        <w:t>型工业化，聚力推动泵阀产业强链补链延链，助推“3+3”产业集群发展壮大，强化制造业高质量发展基础，依托“科技特派团”</w:t>
      </w:r>
      <w:r>
        <w:rPr>
          <w:rFonts w:hint="default" w:ascii="仿宋_GB2312" w:hAnsi="仿宋_GB2312" w:eastAsia="仿宋_GB2312" w:cs="仿宋_GB2312"/>
          <w:color w:val="auto"/>
          <w:kern w:val="0"/>
          <w:sz w:val="32"/>
          <w:szCs w:val="32"/>
          <w:highlight w:val="none"/>
          <w:lang w:eastAsia="zh-CN" w:bidi="ar"/>
        </w:rPr>
        <w:t>、“科技副总”</w:t>
      </w:r>
      <w:r>
        <w:rPr>
          <w:rFonts w:hint="eastAsia" w:ascii="仿宋_GB2312" w:hAnsi="仿宋_GB2312" w:eastAsia="仿宋_GB2312" w:cs="仿宋_GB2312"/>
          <w:color w:val="auto"/>
          <w:kern w:val="0"/>
          <w:sz w:val="32"/>
          <w:szCs w:val="32"/>
          <w:highlight w:val="none"/>
          <w:lang w:val="en-US" w:eastAsia="zh-CN" w:bidi="ar"/>
        </w:rPr>
        <w:t>等优势科技资源，充分调动全社会力量攻克制约泵阀产业发展的关键核心技术难题，取得一批标志性成果和战略性产品，助推我县</w:t>
      </w:r>
      <w:r>
        <w:rPr>
          <w:rFonts w:hint="default" w:ascii="仿宋_GB2312" w:hAnsi="仿宋_GB2312" w:eastAsia="仿宋_GB2312" w:cs="仿宋_GB2312"/>
          <w:color w:val="auto"/>
          <w:kern w:val="0"/>
          <w:sz w:val="32"/>
          <w:szCs w:val="32"/>
          <w:highlight w:val="none"/>
          <w:lang w:eastAsia="zh-CN" w:bidi="ar"/>
        </w:rPr>
        <w:t>泵阀</w:t>
      </w:r>
      <w:r>
        <w:rPr>
          <w:rFonts w:hint="eastAsia" w:ascii="仿宋_GB2312" w:hAnsi="仿宋_GB2312" w:eastAsia="仿宋_GB2312" w:cs="仿宋_GB2312"/>
          <w:color w:val="auto"/>
          <w:kern w:val="0"/>
          <w:sz w:val="32"/>
          <w:szCs w:val="32"/>
          <w:highlight w:val="none"/>
          <w:lang w:val="en-US" w:eastAsia="zh-CN" w:bidi="ar"/>
        </w:rPr>
        <w:t>产业高质量发展。根据永嘉县人民政府办公室《关于印发永嘉县泵阀产业强链补链延链专项扶持政策的通知》（永政办发〔2024〕2号）文件精神，特制定县泵阀产业关键共性技术协同攻关项目“揭榜挂帅”实施方案。</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黑体" w:hAnsi="黑体" w:eastAsia="黑体" w:cs="黑体"/>
          <w:b/>
          <w:bCs w:val="0"/>
          <w:color w:val="auto"/>
          <w:kern w:val="0"/>
          <w:sz w:val="32"/>
          <w:szCs w:val="32"/>
          <w:highlight w:val="none"/>
          <w:lang w:val="en-US" w:eastAsia="zh-CN" w:bidi="ar"/>
        </w:rPr>
      </w:pPr>
      <w:r>
        <w:rPr>
          <w:rFonts w:hint="eastAsia" w:ascii="黑体" w:hAnsi="黑体" w:eastAsia="黑体" w:cs="黑体"/>
          <w:b/>
          <w:bCs/>
          <w:color w:val="auto"/>
          <w:kern w:val="0"/>
          <w:sz w:val="32"/>
          <w:szCs w:val="32"/>
          <w:highlight w:val="none"/>
          <w:lang w:val="en-US" w:eastAsia="zh-CN" w:bidi="ar"/>
        </w:rPr>
        <w:t>一、</w:t>
      </w:r>
      <w:r>
        <w:rPr>
          <w:rFonts w:hint="eastAsia" w:ascii="黑体" w:hAnsi="黑体" w:eastAsia="黑体" w:cs="黑体"/>
          <w:b/>
          <w:bCs w:val="0"/>
          <w:color w:val="auto"/>
          <w:kern w:val="0"/>
          <w:sz w:val="32"/>
          <w:szCs w:val="32"/>
          <w:highlight w:val="none"/>
          <w:lang w:val="en-US" w:eastAsia="zh-CN" w:bidi="ar"/>
        </w:rPr>
        <w:t>支持原则</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（一）坚持“技术标准”。</w:t>
      </w:r>
      <w:r>
        <w:rPr>
          <w:rFonts w:hint="eastAsia" w:ascii="仿宋_GB2312" w:hAnsi="仿宋_GB2312" w:eastAsia="仿宋_GB2312" w:cs="仿宋_GB2312"/>
          <w:color w:val="auto"/>
          <w:kern w:val="2"/>
          <w:sz w:val="32"/>
          <w:szCs w:val="32"/>
          <w:highlight w:val="none"/>
          <w:lang w:val="en-US" w:eastAsia="zh-CN" w:bidi="ar-SA"/>
        </w:rPr>
        <w:t>即精准突破基础软硬件、基础零部件、关键基础材料等</w:t>
      </w:r>
      <w:r>
        <w:rPr>
          <w:rFonts w:hint="default" w:ascii="仿宋_GB2312" w:hAnsi="仿宋_GB2312" w:eastAsia="仿宋_GB2312" w:cs="仿宋_GB2312"/>
          <w:color w:val="auto"/>
          <w:kern w:val="2"/>
          <w:sz w:val="32"/>
          <w:szCs w:val="32"/>
          <w:highlight w:val="none"/>
          <w:lang w:eastAsia="zh-CN" w:bidi="ar-SA"/>
        </w:rPr>
        <w:t>瓶颈</w:t>
      </w:r>
      <w:r>
        <w:rPr>
          <w:rFonts w:hint="eastAsia" w:ascii="仿宋_GB2312" w:hAnsi="仿宋_GB2312" w:eastAsia="仿宋_GB2312" w:cs="仿宋_GB2312"/>
          <w:color w:val="auto"/>
          <w:kern w:val="2"/>
          <w:sz w:val="32"/>
          <w:szCs w:val="32"/>
          <w:highlight w:val="none"/>
          <w:lang w:val="en-US" w:eastAsia="zh-CN" w:bidi="ar-SA"/>
        </w:rPr>
        <w:t>，技术指标达到国内外领先水平；</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（二）坚持“产品标准”。</w:t>
      </w:r>
      <w:r>
        <w:rPr>
          <w:rFonts w:hint="eastAsia" w:ascii="仿宋_GB2312" w:hAnsi="仿宋_GB2312" w:eastAsia="仿宋_GB2312" w:cs="仿宋_GB2312"/>
          <w:color w:val="auto"/>
          <w:kern w:val="2"/>
          <w:sz w:val="32"/>
          <w:szCs w:val="32"/>
          <w:highlight w:val="none"/>
          <w:lang w:val="en-US" w:eastAsia="zh-CN" w:bidi="ar-SA"/>
        </w:rPr>
        <w:t>即自主研发生产的产品，性能参数达到国内外同类产品先进水平，实现国产化替代；</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楷体_GB2312" w:hAnsi="楷体_GB2312" w:eastAsia="楷体_GB2312" w:cs="楷体_GB2312"/>
          <w:b/>
          <w:bCs/>
          <w:color w:val="auto"/>
          <w:kern w:val="2"/>
          <w:sz w:val="32"/>
          <w:szCs w:val="32"/>
          <w:highlight w:val="none"/>
          <w:lang w:val="en-US" w:eastAsia="zh-CN" w:bidi="ar-SA"/>
        </w:rPr>
        <w:t>（三）坚持“产业标准”。</w:t>
      </w:r>
      <w:r>
        <w:rPr>
          <w:rFonts w:hint="eastAsia" w:ascii="仿宋_GB2312" w:hAnsi="仿宋_GB2312" w:eastAsia="仿宋_GB2312" w:cs="仿宋_GB2312"/>
          <w:color w:val="auto"/>
          <w:kern w:val="2"/>
          <w:sz w:val="32"/>
          <w:szCs w:val="32"/>
          <w:highlight w:val="none"/>
          <w:lang w:val="en-US" w:eastAsia="zh-CN" w:bidi="ar-SA"/>
        </w:rPr>
        <w:t>即通过企业应用实现落地转化和产业化，加快拓展市场应用空间，推动产业迭代升级和培育未来硬核指标。</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黑体" w:hAnsi="黑体" w:eastAsia="黑体" w:cs="黑体"/>
          <w:b/>
          <w:color w:val="auto"/>
          <w:kern w:val="0"/>
          <w:sz w:val="32"/>
          <w:szCs w:val="32"/>
          <w:highlight w:val="none"/>
          <w:lang w:val="en-US" w:eastAsia="zh-CN" w:bidi="ar"/>
        </w:rPr>
      </w:pPr>
      <w:r>
        <w:rPr>
          <w:rFonts w:hint="eastAsia" w:ascii="黑体" w:hAnsi="黑体" w:eastAsia="黑体" w:cs="黑体"/>
          <w:b/>
          <w:bCs/>
          <w:color w:val="auto"/>
          <w:kern w:val="0"/>
          <w:sz w:val="32"/>
          <w:szCs w:val="32"/>
          <w:highlight w:val="none"/>
          <w:lang w:val="en-US" w:eastAsia="zh-CN" w:bidi="ar"/>
        </w:rPr>
        <w:t>二、</w:t>
      </w:r>
      <w:r>
        <w:rPr>
          <w:rFonts w:hint="eastAsia" w:ascii="黑体" w:hAnsi="黑体" w:eastAsia="黑体" w:cs="黑体"/>
          <w:b/>
          <w:color w:val="auto"/>
          <w:kern w:val="0"/>
          <w:sz w:val="32"/>
          <w:szCs w:val="32"/>
          <w:highlight w:val="none"/>
          <w:lang w:val="en-US" w:eastAsia="zh-CN" w:bidi="ar"/>
        </w:rPr>
        <w:t>工作安排</w:t>
      </w: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right="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突出问题导向、目标导向、结果导向和应用导向，聚焦我县泵阀产业高质量发展的必要性，每年征集一批需求并遴选、编制和发布不超过5项最紧迫“卡脖子”重大</w:t>
      </w:r>
      <w:r>
        <w:rPr>
          <w:rFonts w:hint="eastAsia" w:ascii="仿宋_GB2312" w:hAnsi="仿宋_GB2312" w:eastAsia="仿宋_GB2312" w:cs="仿宋_GB2312"/>
          <w:color w:val="auto"/>
          <w:kern w:val="0"/>
          <w:sz w:val="32"/>
          <w:szCs w:val="32"/>
          <w:highlight w:val="none"/>
          <w:lang w:val="en-US" w:eastAsia="zh-CN" w:bidi="ar"/>
        </w:rPr>
        <w:t>共性</w:t>
      </w:r>
      <w:r>
        <w:rPr>
          <w:rFonts w:hint="eastAsia" w:ascii="仿宋_GB2312" w:hAnsi="仿宋_GB2312" w:eastAsia="仿宋_GB2312" w:cs="仿宋_GB2312"/>
          <w:color w:val="auto"/>
          <w:kern w:val="2"/>
          <w:sz w:val="32"/>
          <w:szCs w:val="32"/>
          <w:highlight w:val="none"/>
          <w:lang w:val="en-US" w:eastAsia="zh-CN" w:bidi="ar-SA"/>
        </w:rPr>
        <w:t>技术难题需求榜单，通过“揭榜挂帅”方式，立项支持关键</w:t>
      </w:r>
      <w:r>
        <w:rPr>
          <w:rFonts w:hint="eastAsia" w:ascii="仿宋_GB2312" w:hAnsi="仿宋_GB2312" w:eastAsia="仿宋_GB2312" w:cs="仿宋_GB2312"/>
          <w:color w:val="auto"/>
          <w:kern w:val="0"/>
          <w:sz w:val="32"/>
          <w:szCs w:val="32"/>
          <w:highlight w:val="none"/>
          <w:lang w:val="en-US" w:eastAsia="zh-CN" w:bidi="ar"/>
        </w:rPr>
        <w:t>共性</w:t>
      </w:r>
      <w:r>
        <w:rPr>
          <w:rFonts w:hint="eastAsia" w:ascii="仿宋_GB2312" w:hAnsi="仿宋_GB2312" w:eastAsia="仿宋_GB2312" w:cs="仿宋_GB2312"/>
          <w:color w:val="auto"/>
          <w:kern w:val="2"/>
          <w:sz w:val="32"/>
          <w:szCs w:val="32"/>
          <w:highlight w:val="none"/>
          <w:lang w:val="en-US" w:eastAsia="zh-CN" w:bidi="ar-SA"/>
        </w:rPr>
        <w:t>技术协同攻关项目，加快推进泵阀产业优化升级和发展。</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黑体" w:hAnsi="黑体" w:eastAsia="黑体" w:cs="黑体"/>
          <w:b/>
          <w:color w:val="auto"/>
          <w:kern w:val="0"/>
          <w:sz w:val="32"/>
          <w:szCs w:val="32"/>
          <w:highlight w:val="none"/>
          <w:lang w:val="en-US" w:eastAsia="zh-CN" w:bidi="ar"/>
        </w:rPr>
      </w:pPr>
      <w:r>
        <w:rPr>
          <w:rFonts w:hint="eastAsia" w:ascii="黑体" w:hAnsi="黑体" w:eastAsia="黑体" w:cs="黑体"/>
          <w:b/>
          <w:bCs/>
          <w:color w:val="auto"/>
          <w:kern w:val="0"/>
          <w:sz w:val="32"/>
          <w:szCs w:val="32"/>
          <w:highlight w:val="none"/>
          <w:lang w:val="en-US" w:eastAsia="zh-CN" w:bidi="ar"/>
        </w:rPr>
        <w:t>三、</w:t>
      </w:r>
      <w:r>
        <w:rPr>
          <w:rFonts w:hint="eastAsia" w:ascii="黑体" w:hAnsi="黑体" w:eastAsia="黑体" w:cs="黑体"/>
          <w:b/>
          <w:color w:val="auto"/>
          <w:kern w:val="0"/>
          <w:sz w:val="32"/>
          <w:szCs w:val="32"/>
          <w:highlight w:val="none"/>
          <w:lang w:val="en-US" w:eastAsia="zh-CN" w:bidi="ar"/>
        </w:rPr>
        <w:t>支持对象</w:t>
      </w: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right="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支持在县内具有独立法人资格的企业、科研院所、高能级平台，不包括政府机关。项目申报单位和参与单位应具有相应的研发投入和研发能力，原则上其上年研发经费占营业收入比重一般不应低于3%或研发经费不低于300万元。项目负责人及承担单位应具有相应的研发能力，无不良科研信用记录。</w:t>
      </w: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left="0" w:leftChars="0" w:right="0" w:firstLine="78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符合以下条件之一的，同等条件下给予重点支持：</w:t>
      </w:r>
    </w:p>
    <w:p>
      <w:pPr>
        <w:pStyle w:val="17"/>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before="0" w:after="0" w:line="560" w:lineRule="exact"/>
        <w:ind w:left="0" w:leftChars="0" w:right="0" w:firstLine="78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头部企业、产业链“链主”企业与“科技特派团”</w:t>
      </w:r>
      <w:r>
        <w:rPr>
          <w:rFonts w:hint="eastAsia" w:ascii="仿宋_GB2312" w:hAnsi="仿宋_GB2312" w:eastAsia="仿宋_GB2312" w:cs="仿宋_GB2312"/>
          <w:color w:val="auto"/>
          <w:kern w:val="2"/>
          <w:sz w:val="32"/>
          <w:szCs w:val="32"/>
          <w:highlight w:val="none"/>
          <w:lang w:eastAsia="zh-CN" w:bidi="ar-SA"/>
        </w:rPr>
        <w:t>或</w:t>
      </w:r>
      <w:r>
        <w:rPr>
          <w:rFonts w:hint="eastAsia" w:ascii="仿宋_GB2312" w:hAnsi="仿宋_GB2312" w:eastAsia="仿宋_GB2312" w:cs="仿宋_GB2312"/>
          <w:color w:val="auto"/>
          <w:kern w:val="2"/>
          <w:sz w:val="32"/>
          <w:szCs w:val="32"/>
          <w:highlight w:val="none"/>
          <w:lang w:val="en-US" w:eastAsia="zh-CN" w:bidi="ar-SA"/>
        </w:rPr>
        <w:t>“科技副总”联合申报的项目；</w:t>
      </w:r>
    </w:p>
    <w:p>
      <w:pPr>
        <w:pStyle w:val="17"/>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before="0" w:after="0" w:line="560" w:lineRule="exact"/>
        <w:ind w:left="0" w:leftChars="0" w:right="0" w:firstLine="78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重大创新平台载体、高层次人才团队的依托单位牵头开展研发攻关的项目；</w:t>
      </w:r>
    </w:p>
    <w:p>
      <w:pPr>
        <w:pStyle w:val="17"/>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before="0" w:after="0" w:line="560" w:lineRule="exact"/>
        <w:ind w:left="0" w:leftChars="0" w:right="0" w:firstLine="78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申报单位上年研发经费占营业收入比例超过4%</w:t>
      </w:r>
      <w:r>
        <w:rPr>
          <w:rFonts w:hint="default" w:ascii="仿宋_GB2312" w:hAnsi="仿宋_GB2312" w:eastAsia="仿宋_GB2312" w:cs="仿宋_GB2312"/>
          <w:color w:val="auto"/>
          <w:kern w:val="2"/>
          <w:sz w:val="32"/>
          <w:szCs w:val="32"/>
          <w:highlight w:val="none"/>
          <w:lang w:eastAsia="zh-CN" w:bidi="ar-SA"/>
        </w:rPr>
        <w:t>。</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黑体" w:hAnsi="黑体" w:eastAsia="黑体" w:cs="黑体"/>
          <w:b/>
          <w:color w:val="auto"/>
          <w:kern w:val="0"/>
          <w:sz w:val="32"/>
          <w:szCs w:val="32"/>
          <w:highlight w:val="none"/>
          <w:lang w:val="en-US" w:eastAsia="zh-CN" w:bidi="ar"/>
        </w:rPr>
      </w:pPr>
      <w:r>
        <w:rPr>
          <w:rFonts w:hint="eastAsia" w:ascii="黑体" w:hAnsi="黑体" w:eastAsia="黑体" w:cs="黑体"/>
          <w:b/>
          <w:bCs/>
          <w:color w:val="auto"/>
          <w:kern w:val="0"/>
          <w:sz w:val="32"/>
          <w:szCs w:val="32"/>
          <w:highlight w:val="none"/>
          <w:lang w:val="en-US" w:eastAsia="zh-CN" w:bidi="ar"/>
        </w:rPr>
        <w:t>四、</w:t>
      </w:r>
      <w:r>
        <w:rPr>
          <w:rFonts w:hint="eastAsia" w:ascii="黑体" w:hAnsi="黑体" w:eastAsia="黑体" w:cs="黑体"/>
          <w:b/>
          <w:color w:val="auto"/>
          <w:kern w:val="0"/>
          <w:sz w:val="32"/>
          <w:szCs w:val="32"/>
          <w:highlight w:val="none"/>
          <w:lang w:val="en-US" w:eastAsia="zh-CN" w:bidi="ar"/>
        </w:rPr>
        <w:t>工作步骤</w:t>
      </w:r>
    </w:p>
    <w:p>
      <w:pPr>
        <w:keepNext w:val="0"/>
        <w:keepLines w:val="0"/>
        <w:pageBreakBefore w:val="0"/>
        <w:widowControl w:val="0"/>
        <w:numPr>
          <w:ilvl w:val="0"/>
          <w:numId w:val="0"/>
        </w:numPr>
        <w:suppressLineNumbers w:val="0"/>
        <w:shd w:val="clear" w:color="auto" w:fill="auto"/>
        <w:kinsoku/>
        <w:wordWrap/>
        <w:overflowPunct/>
        <w:topLinePunct w:val="0"/>
        <w:autoSpaceDE/>
        <w:autoSpaceDN/>
        <w:bidi w:val="0"/>
        <w:adjustRightInd/>
        <w:snapToGrid/>
        <w:spacing w:before="0" w:beforeAutospacing="0" w:after="0" w:afterAutospacing="0" w:line="560" w:lineRule="exact"/>
        <w:ind w:left="0" w:leftChars="0" w:right="0" w:rightChars="0" w:firstLine="780" w:firstLineChars="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（一）需求征集。</w:t>
      </w:r>
      <w:r>
        <w:rPr>
          <w:rFonts w:hint="eastAsia" w:ascii="仿宋_GB2312" w:hAnsi="仿宋_GB2312" w:eastAsia="仿宋_GB2312" w:cs="仿宋_GB2312"/>
          <w:color w:val="auto"/>
          <w:kern w:val="2"/>
          <w:sz w:val="32"/>
          <w:szCs w:val="32"/>
          <w:highlight w:val="none"/>
          <w:lang w:val="en-US" w:eastAsia="zh-CN" w:bidi="ar-SA"/>
        </w:rPr>
        <w:t>全面开展服务活动，摸排征集企业关键技术难题攻关需求</w:t>
      </w:r>
      <w:r>
        <w:rPr>
          <w:rFonts w:hint="default" w:ascii="仿宋_GB2312" w:hAnsi="仿宋_GB2312" w:eastAsia="仿宋_GB2312" w:cs="仿宋_GB2312"/>
          <w:color w:val="auto"/>
          <w:kern w:val="2"/>
          <w:sz w:val="32"/>
          <w:szCs w:val="32"/>
          <w:highlight w:val="none"/>
          <w:lang w:eastAsia="zh-CN" w:bidi="ar-SA"/>
        </w:rPr>
        <w:t>。</w:t>
      </w:r>
      <w:r>
        <w:rPr>
          <w:rFonts w:hint="eastAsia" w:ascii="仿宋_GB2312" w:hAnsi="仿宋_GB2312" w:eastAsia="仿宋_GB2312" w:cs="仿宋_GB2312"/>
          <w:color w:val="auto"/>
          <w:kern w:val="2"/>
          <w:sz w:val="32"/>
          <w:szCs w:val="32"/>
          <w:highlight w:val="none"/>
          <w:lang w:val="en-US" w:eastAsia="zh-CN" w:bidi="ar-SA"/>
        </w:rPr>
        <w:t>线上依托科企通平台（</w:t>
      </w:r>
      <w:r>
        <w:rPr>
          <w:rFonts w:hint="default" w:ascii="Times New Roman" w:hAnsi="Times New Roman" w:eastAsia="宋体" w:cs="Times New Roman"/>
          <w:kern w:val="2"/>
          <w:sz w:val="21"/>
          <w:szCs w:val="21"/>
          <w:highlight w:val="none"/>
          <w:lang w:val="en-US" w:eastAsia="zh-CN" w:bidi="ar"/>
        </w:rPr>
        <w:fldChar w:fldCharType="begin"/>
      </w:r>
      <w:r>
        <w:rPr>
          <w:rFonts w:hint="default" w:ascii="Times New Roman" w:hAnsi="Times New Roman" w:eastAsia="宋体" w:cs="Times New Roman"/>
          <w:kern w:val="2"/>
          <w:sz w:val="21"/>
          <w:szCs w:val="21"/>
          <w:highlight w:val="none"/>
          <w:lang w:val="en-US" w:eastAsia="zh-CN" w:bidi="ar"/>
        </w:rPr>
        <w:instrText xml:space="preserve"> HYPERLINK "https://kjdn.wenzhou.gov.cn/officeHall.html" </w:instrText>
      </w:r>
      <w:r>
        <w:rPr>
          <w:rFonts w:hint="default" w:ascii="Times New Roman" w:hAnsi="Times New Roman" w:eastAsia="宋体" w:cs="Times New Roman"/>
          <w:kern w:val="2"/>
          <w:sz w:val="21"/>
          <w:szCs w:val="21"/>
          <w:highlight w:val="none"/>
          <w:lang w:val="en-US" w:eastAsia="zh-CN" w:bidi="ar"/>
        </w:rPr>
        <w:fldChar w:fldCharType="separate"/>
      </w:r>
      <w:r>
        <w:rPr>
          <w:rStyle w:val="14"/>
          <w:rFonts w:hint="default" w:ascii="Times New Roman" w:hAnsi="Times New Roman" w:eastAsia="仿宋_GB2312" w:cs="Times New Roman"/>
          <w:color w:val="0000FF"/>
          <w:sz w:val="32"/>
          <w:szCs w:val="32"/>
          <w:highlight w:val="none"/>
          <w:u w:val="single"/>
        </w:rPr>
        <w:t>https://kjdn.wenzhou.gov.cn/officeHall.html</w:t>
      </w:r>
      <w:r>
        <w:rPr>
          <w:rFonts w:hint="default" w:ascii="Times New Roman" w:hAnsi="Times New Roman" w:eastAsia="宋体" w:cs="Times New Roman"/>
          <w:kern w:val="2"/>
          <w:sz w:val="21"/>
          <w:szCs w:val="21"/>
          <w:highlight w:val="none"/>
          <w:lang w:val="en-US" w:eastAsia="zh-CN" w:bidi="ar"/>
        </w:rPr>
        <w:fldChar w:fldCharType="end"/>
      </w:r>
      <w:r>
        <w:rPr>
          <w:rFonts w:hint="eastAsia" w:ascii="仿宋_GB2312" w:hAnsi="仿宋_GB2312" w:eastAsia="仿宋_GB2312" w:cs="仿宋_GB2312"/>
          <w:color w:val="auto"/>
          <w:kern w:val="2"/>
          <w:sz w:val="32"/>
          <w:szCs w:val="32"/>
          <w:highlight w:val="none"/>
          <w:lang w:val="en-US" w:eastAsia="zh-CN" w:bidi="ar-SA"/>
        </w:rPr>
        <w:t>）进行需求填报，采取常年征集、集中汇总凝练的方式建立研发攻关需求清单。</w:t>
      </w:r>
      <w:bookmarkStart w:id="0" w:name="bookmark18"/>
    </w:p>
    <w:bookmarkEnd w:id="0"/>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780" w:firstLineChars="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（二）榜单编制。</w:t>
      </w:r>
      <w:r>
        <w:rPr>
          <w:rFonts w:hint="eastAsia" w:ascii="仿宋_GB2312" w:hAnsi="仿宋_GB2312" w:eastAsia="仿宋_GB2312" w:cs="仿宋_GB2312"/>
          <w:color w:val="auto"/>
          <w:kern w:val="2"/>
          <w:sz w:val="32"/>
          <w:szCs w:val="32"/>
          <w:highlight w:val="none"/>
          <w:lang w:val="en-US" w:eastAsia="zh-CN" w:bidi="ar-SA"/>
        </w:rPr>
        <w:t>在完成集中需求征集的基础上，围绕战略需求、规划需求、市场需求，对标技术标准、产品标准、产业标准，广泛征求技术专家、企业专家等各方建议，牵头凝练研发攻关任务，形成研发攻关任务榜单。</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ascii="Times New Roman" w:hAnsi="Times New Roman" w:eastAsia="仿宋_GB2312"/>
          <w:color w:val="auto"/>
          <w:kern w:val="0"/>
          <w:sz w:val="32"/>
          <w:szCs w:val="32"/>
          <w:highlight w:val="none"/>
        </w:rPr>
        <w:t>榜单</w:t>
      </w:r>
      <w:r>
        <w:rPr>
          <w:rFonts w:ascii="Times New Roman" w:hAnsi="Times New Roman" w:eastAsia="仿宋_GB2312"/>
          <w:color w:val="auto"/>
          <w:sz w:val="32"/>
          <w:szCs w:val="32"/>
          <w:highlight w:val="none"/>
        </w:rPr>
        <w:t>原则上</w:t>
      </w:r>
      <w:r>
        <w:rPr>
          <w:rFonts w:ascii="Times New Roman" w:hAnsi="Times New Roman" w:eastAsia="仿宋_GB2312"/>
          <w:color w:val="auto"/>
          <w:kern w:val="0"/>
          <w:sz w:val="32"/>
          <w:szCs w:val="32"/>
          <w:highlight w:val="none"/>
        </w:rPr>
        <w:t>应包括详细明确的需求目标、清晰严格的时间节点和直接有力的奖惩措施，具体要求如下：</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1</w:t>
      </w:r>
      <w:r>
        <w:rPr>
          <w:rFonts w:hint="eastAsia" w:ascii="仿宋_GB2312" w:hAnsi="仿宋_GB2312" w:eastAsia="仿宋_GB2312" w:cs="仿宋_GB2312"/>
          <w:b/>
          <w:bCs/>
          <w:color w:val="auto"/>
          <w:kern w:val="2"/>
          <w:sz w:val="32"/>
          <w:szCs w:val="32"/>
          <w:highlight w:val="none"/>
          <w:lang w:val="en-US" w:eastAsia="zh-CN" w:bidi="ar-SA"/>
        </w:rPr>
        <w:t>、需求目标。</w:t>
      </w:r>
      <w:r>
        <w:rPr>
          <w:rFonts w:hint="eastAsia" w:ascii="仿宋_GB2312" w:hAnsi="仿宋_GB2312" w:eastAsia="仿宋_GB2312" w:cs="仿宋_GB2312"/>
          <w:color w:val="auto"/>
          <w:kern w:val="2"/>
          <w:sz w:val="32"/>
          <w:szCs w:val="32"/>
          <w:highlight w:val="none"/>
          <w:lang w:val="en-US" w:eastAsia="zh-CN" w:bidi="ar-SA"/>
        </w:rPr>
        <w:t>要充分描述工况环境、使用寿命、上下游技术接口等实际应用需求，具体技术参数或产品性能指标可量化、可考核，可包含技术成熟度要求；</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2</w:t>
      </w:r>
      <w:r>
        <w:rPr>
          <w:rFonts w:hint="eastAsia" w:ascii="仿宋_GB2312" w:hAnsi="仿宋_GB2312" w:eastAsia="仿宋_GB2312" w:cs="仿宋_GB2312"/>
          <w:b/>
          <w:bCs/>
          <w:color w:val="auto"/>
          <w:kern w:val="2"/>
          <w:sz w:val="32"/>
          <w:szCs w:val="32"/>
          <w:highlight w:val="none"/>
          <w:lang w:val="en-US" w:eastAsia="zh-CN" w:bidi="ar-SA"/>
        </w:rPr>
        <w:t>、时间节点和考核要求。</w:t>
      </w:r>
      <w:r>
        <w:rPr>
          <w:rFonts w:hint="eastAsia" w:ascii="仿宋_GB2312" w:hAnsi="仿宋_GB2312" w:eastAsia="仿宋_GB2312" w:cs="仿宋_GB2312"/>
          <w:color w:val="auto"/>
          <w:kern w:val="2"/>
          <w:sz w:val="32"/>
          <w:szCs w:val="32"/>
          <w:highlight w:val="none"/>
          <w:lang w:val="en-US" w:eastAsia="zh-CN" w:bidi="ar-SA"/>
        </w:rPr>
        <w:t>项目攻关实施时限一般不超过2年。要明确关键节点和任务完成的总时限要求，并按关键节点提出“里程碑”考核指标；</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3</w:t>
      </w:r>
      <w:r>
        <w:rPr>
          <w:rFonts w:hint="eastAsia" w:ascii="仿宋_GB2312" w:hAnsi="仿宋_GB2312" w:eastAsia="仿宋_GB2312" w:cs="仿宋_GB2312"/>
          <w:b/>
          <w:bCs/>
          <w:color w:val="auto"/>
          <w:kern w:val="2"/>
          <w:sz w:val="32"/>
          <w:szCs w:val="32"/>
          <w:highlight w:val="none"/>
          <w:lang w:val="en-US" w:eastAsia="zh-CN" w:bidi="ar-SA"/>
        </w:rPr>
        <w:t>、奖惩措施。</w:t>
      </w:r>
      <w:r>
        <w:rPr>
          <w:rFonts w:hint="eastAsia" w:ascii="仿宋_GB2312" w:hAnsi="仿宋_GB2312" w:eastAsia="仿宋_GB2312" w:cs="仿宋_GB2312"/>
          <w:color w:val="auto"/>
          <w:kern w:val="2"/>
          <w:sz w:val="32"/>
          <w:szCs w:val="32"/>
          <w:highlight w:val="none"/>
          <w:lang w:val="en-US" w:eastAsia="zh-CN" w:bidi="ar-SA"/>
        </w:rPr>
        <w:t>按照攻关成败与否，明确后续项目申报、人才称号评选、创新团队资助、科技奖励申报等方面的奖励和惩罚措施；</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（三）榜单发布。</w:t>
      </w:r>
      <w:r>
        <w:rPr>
          <w:rFonts w:hint="eastAsia" w:ascii="仿宋_GB2312" w:hAnsi="仿宋_GB2312" w:eastAsia="仿宋_GB2312" w:cs="仿宋_GB2312"/>
          <w:color w:val="auto"/>
          <w:kern w:val="2"/>
          <w:sz w:val="32"/>
          <w:szCs w:val="32"/>
          <w:highlight w:val="none"/>
          <w:lang w:val="en-US" w:eastAsia="zh-CN" w:bidi="ar-SA"/>
        </w:rPr>
        <w:t>榜单经县科技局审核确定后，依托永嘉县政府门户网发布榜单公告。</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eastAsia" w:ascii="楷体_GB2312" w:hAnsi="楷体_GB2312" w:eastAsia="楷体_GB2312" w:cs="楷体_GB2312"/>
          <w:b/>
          <w:bCs/>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（四）申报揭榜。</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1、项目申报。</w:t>
      </w:r>
      <w:r>
        <w:rPr>
          <w:rFonts w:hint="eastAsia" w:ascii="仿宋_GB2312" w:hAnsi="仿宋_GB2312" w:eastAsia="仿宋_GB2312" w:cs="仿宋_GB2312"/>
          <w:color w:val="auto"/>
          <w:kern w:val="2"/>
          <w:sz w:val="32"/>
          <w:szCs w:val="32"/>
          <w:highlight w:val="none"/>
          <w:lang w:val="en-US" w:eastAsia="zh-CN" w:bidi="ar-SA"/>
        </w:rPr>
        <w:t>采用申报单位直接申报的方式。申报单位需要对照榜单中明确的榜单名称、研发内容和目标进行申报，符合各榜单的具体申报条件。申报项目的可行性报告中应严格回避项目申报单位、参与单位及项目组成员的相关信息，以确保专家评审的公正性。申报材料和相关证明材料不得包含法律禁止公开的秘密内容或申请人要求保密的内容，如涉密需脱密后提交。</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2、形式审查。</w:t>
      </w:r>
      <w:r>
        <w:rPr>
          <w:rFonts w:hint="eastAsia" w:ascii="仿宋_GB2312" w:hAnsi="仿宋_GB2312" w:eastAsia="仿宋_GB2312" w:cs="仿宋_GB2312"/>
          <w:color w:val="auto"/>
          <w:kern w:val="2"/>
          <w:sz w:val="32"/>
          <w:szCs w:val="32"/>
          <w:highlight w:val="none"/>
          <w:lang w:val="en-US" w:eastAsia="zh-CN" w:bidi="ar-SA"/>
        </w:rPr>
        <w:t>对申报单位和申请人是否具有良好的信用、是否符合榜单的基本要求、相关证明材料及附件是否齐全和符合规范进行形式审查。必要时组织专家对项目进行初评，严格对照榜单的研究内容、绩效目标覆盖情况、条件要求进行论证。通过形式审查的项目，进入专业评审；未通过形式审查的项目，取消后续评审立项资格。</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3、专业评审。</w:t>
      </w:r>
      <w:r>
        <w:rPr>
          <w:rFonts w:hint="eastAsia" w:ascii="仿宋_GB2312" w:hAnsi="仿宋_GB2312" w:eastAsia="仿宋_GB2312" w:cs="仿宋_GB2312"/>
          <w:color w:val="auto"/>
          <w:kern w:val="2"/>
          <w:sz w:val="32"/>
          <w:szCs w:val="32"/>
          <w:highlight w:val="none"/>
          <w:lang w:val="en-US" w:eastAsia="zh-CN" w:bidi="ar-SA"/>
        </w:rPr>
        <w:t>专业评审并行开展网络评审和会议评审或现场考察评审，总分100分，其中网络评审和会议评审</w:t>
      </w:r>
      <w:r>
        <w:rPr>
          <w:rFonts w:hint="default" w:ascii="仿宋_GB2312" w:hAnsi="仿宋_GB2312" w:eastAsia="仿宋_GB2312" w:cs="仿宋_GB2312"/>
          <w:color w:val="auto"/>
          <w:kern w:val="2"/>
          <w:sz w:val="32"/>
          <w:szCs w:val="32"/>
          <w:highlight w:val="none"/>
          <w:lang w:eastAsia="zh-CN" w:bidi="ar-SA"/>
        </w:rPr>
        <w:t>或现场考察评审</w:t>
      </w:r>
      <w:r>
        <w:rPr>
          <w:rFonts w:hint="eastAsia" w:ascii="仿宋_GB2312" w:hAnsi="仿宋_GB2312" w:eastAsia="仿宋_GB2312" w:cs="仿宋_GB2312"/>
          <w:color w:val="auto"/>
          <w:kern w:val="2"/>
          <w:sz w:val="32"/>
          <w:szCs w:val="32"/>
          <w:highlight w:val="none"/>
          <w:lang w:val="en-US" w:eastAsia="zh-CN" w:bidi="ar-SA"/>
        </w:rPr>
        <w:t>各50分。评审专家应为活跃在科研和生产一线、真懂此行业此项目的专业人士，专家履职应严格遵守相关制度。</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①网络评审。由县科技局组织实施，主要围绕申报单位和研发团队现有条件和基础、申报项目榜单契合度、技术先进性、技术路线可行性与实施方案合理性，以及绩效目标的覆盖度、有效性、合理性和可实现性等对项目进行评分。</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网络评审所需专家按照市级科技专家库管理的相关规定选取和使用，由不少于5名技术专家对项目进行评分。</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 xml:space="preserve">②会议评审或现场考察评审。重点围绕项目实施是否符合目标要求、突破关键核心技术的可行性、技术路线是否切实可行、申报单位研发能力和研发投入、是否具备相应的创新条件和能力、是否具备符合攻关项目自筹经费能力，以及项目经费投入预算是否合理等对项目进行论证评分。 </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会议评审或现场考察评审所需专家按照市科技专家库管理的相关规定选取和使用，由不少于5名技术专家和1名财务专家对项目进行评审，并对预算编制合理性提出意见。根据需要，可邀请最终用户、企业专家等非在库专家作为特邀专家参与评审，特邀专家由县科技局确定。</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b/>
          <w:bCs/>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4、立项决策</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①综合评估推荐。县科技局相关业务科室根据专业评审结果和年度经费预算情况，进行审核统筹，提出推荐立项及经费安排建议。</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②立项决策。县科技局从拟立项项目与县委县政府中心工作的一致性、评审程序的规范性等方面，对拟立项项目进行审议，作出项目立项决策。</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③项目公示。拟立项项目在县政府门户网站进行不少于7天的公示。对公示有异议的项目，经核实后提出处理意见。根据公示和处理结果，确定立项项目并由县科技局下达立项文件。</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780" w:firstLineChars="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（五）合同签订。</w:t>
      </w:r>
      <w:r>
        <w:rPr>
          <w:rFonts w:hint="eastAsia" w:ascii="仿宋_GB2312" w:hAnsi="仿宋_GB2312" w:eastAsia="仿宋_GB2312" w:cs="仿宋_GB2312"/>
          <w:color w:val="auto"/>
          <w:kern w:val="2"/>
          <w:sz w:val="32"/>
          <w:szCs w:val="32"/>
          <w:highlight w:val="none"/>
          <w:lang w:val="en-US" w:eastAsia="zh-CN" w:bidi="ar-SA"/>
        </w:rPr>
        <w:t>县重大科技攻关项目实行合同制管理，申报单位和县科技局签订项目合同书，无正当理由未在规定时间内签订的视为自动放弃项目承担资格。</w:t>
      </w:r>
      <w:r>
        <w:rPr>
          <w:rFonts w:hint="eastAsia" w:ascii="仿宋_GB2312" w:hAnsi="仿宋_GB2312" w:eastAsia="仿宋_GB2312" w:cs="仿宋_GB2312"/>
          <w:color w:val="auto"/>
          <w:kern w:val="2"/>
          <w:sz w:val="32"/>
          <w:szCs w:val="32"/>
          <w:highlight w:val="none"/>
          <w:u w:val="none"/>
          <w:lang w:val="en-US" w:eastAsia="zh-CN" w:bidi="ar-SA"/>
        </w:rPr>
        <w:t>项目申报后，研发主要指标和项目总经费原则上不予调整。</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u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（六）资金拨付</w:t>
      </w:r>
      <w:r>
        <w:rPr>
          <w:rFonts w:hint="eastAsia" w:ascii="仿宋_GB2312" w:hAnsi="仿宋_GB2312" w:eastAsia="仿宋_GB2312" w:cs="仿宋_GB2312"/>
          <w:color w:val="auto"/>
          <w:kern w:val="2"/>
          <w:sz w:val="32"/>
          <w:szCs w:val="32"/>
          <w:highlight w:val="none"/>
          <w:u w:val="none"/>
          <w:lang w:val="en-US" w:eastAsia="zh-CN" w:bidi="ar-SA"/>
        </w:rPr>
        <w:t>。对单个项目，按其实际投入总额的50%给予财政奖励，奖励金额最高不超过100万元</w:t>
      </w:r>
      <w:r>
        <w:rPr>
          <w:rFonts w:hint="default" w:ascii="仿宋_GB2312" w:hAnsi="仿宋_GB2312" w:eastAsia="仿宋_GB2312" w:cs="仿宋_GB2312"/>
          <w:color w:val="auto"/>
          <w:kern w:val="2"/>
          <w:sz w:val="32"/>
          <w:szCs w:val="32"/>
          <w:highlight w:val="none"/>
          <w:u w:val="none"/>
          <w:lang w:eastAsia="zh-CN" w:bidi="ar-SA"/>
        </w:rPr>
        <w:t>。</w:t>
      </w:r>
      <w:r>
        <w:rPr>
          <w:rFonts w:hint="eastAsia" w:ascii="仿宋_GB2312" w:hAnsi="仿宋_GB2312" w:eastAsia="仿宋_GB2312" w:cs="仿宋_GB2312"/>
          <w:color w:val="auto"/>
          <w:kern w:val="2"/>
          <w:sz w:val="32"/>
          <w:szCs w:val="32"/>
          <w:highlight w:val="none"/>
          <w:u w:val="none"/>
          <w:lang w:val="en-US" w:eastAsia="zh-CN" w:bidi="ar-SA"/>
        </w:rPr>
        <w:t>项目财政奖励资金在项目验收通过后一次性拨付给项目</w:t>
      </w:r>
      <w:r>
        <w:rPr>
          <w:rFonts w:hint="default" w:ascii="仿宋_GB2312" w:hAnsi="仿宋_GB2312" w:eastAsia="仿宋_GB2312" w:cs="仿宋_GB2312"/>
          <w:color w:val="auto"/>
          <w:kern w:val="2"/>
          <w:sz w:val="32"/>
          <w:szCs w:val="32"/>
          <w:highlight w:val="none"/>
          <w:u w:val="none"/>
          <w:lang w:eastAsia="zh-CN" w:bidi="ar-SA"/>
        </w:rPr>
        <w:t>承担单位</w:t>
      </w:r>
      <w:r>
        <w:rPr>
          <w:rFonts w:hint="eastAsia" w:ascii="仿宋_GB2312" w:hAnsi="仿宋_GB2312" w:eastAsia="仿宋_GB2312" w:cs="仿宋_GB2312"/>
          <w:color w:val="auto"/>
          <w:kern w:val="2"/>
          <w:sz w:val="32"/>
          <w:szCs w:val="32"/>
          <w:highlight w:val="none"/>
          <w:u w:val="none"/>
          <w:lang w:val="en-US" w:eastAsia="zh-CN" w:bidi="ar-SA"/>
        </w:rPr>
        <w:t>。</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b/>
          <w:bCs/>
          <w:color w:val="auto"/>
          <w:kern w:val="2"/>
          <w:sz w:val="32"/>
          <w:szCs w:val="32"/>
          <w:highlight w:val="none"/>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（七）实施与验收管理</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1</w:t>
      </w:r>
      <w:r>
        <w:rPr>
          <w:rFonts w:hint="eastAsia" w:ascii="仿宋_GB2312" w:hAnsi="仿宋_GB2312" w:eastAsia="仿宋_GB2312" w:cs="仿宋_GB2312"/>
          <w:b/>
          <w:bCs/>
          <w:color w:val="auto"/>
          <w:kern w:val="2"/>
          <w:sz w:val="32"/>
          <w:szCs w:val="32"/>
          <w:highlight w:val="none"/>
          <w:lang w:val="en-US" w:eastAsia="zh-CN" w:bidi="ar-SA"/>
        </w:rPr>
        <w:t>、合同履约。</w:t>
      </w:r>
      <w:r>
        <w:rPr>
          <w:rFonts w:hint="eastAsia" w:ascii="仿宋_GB2312" w:hAnsi="仿宋_GB2312" w:eastAsia="仿宋_GB2312" w:cs="仿宋_GB2312"/>
          <w:color w:val="auto"/>
          <w:kern w:val="2"/>
          <w:sz w:val="32"/>
          <w:szCs w:val="32"/>
          <w:highlight w:val="none"/>
          <w:lang w:val="en-US" w:eastAsia="zh-CN" w:bidi="ar-SA"/>
        </w:rPr>
        <w:t>项目承担单位和项目负责人应根据合同书约定的目标任务，履行责任和义务。</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2</w:t>
      </w:r>
      <w:r>
        <w:rPr>
          <w:rFonts w:hint="eastAsia" w:ascii="仿宋_GB2312" w:hAnsi="仿宋_GB2312" w:eastAsia="仿宋_GB2312" w:cs="仿宋_GB2312"/>
          <w:b/>
          <w:bCs/>
          <w:color w:val="auto"/>
          <w:kern w:val="2"/>
          <w:sz w:val="32"/>
          <w:szCs w:val="32"/>
          <w:highlight w:val="none"/>
          <w:lang w:val="en-US" w:eastAsia="zh-CN" w:bidi="ar-SA"/>
        </w:rPr>
        <w:t>、实施过程检查。</w:t>
      </w:r>
      <w:r>
        <w:rPr>
          <w:rFonts w:hint="eastAsia" w:ascii="仿宋_GB2312" w:hAnsi="仿宋_GB2312" w:eastAsia="仿宋_GB2312" w:cs="仿宋_GB2312"/>
          <w:color w:val="auto"/>
          <w:kern w:val="2"/>
          <w:sz w:val="32"/>
          <w:szCs w:val="32"/>
          <w:highlight w:val="none"/>
          <w:lang w:val="en-US" w:eastAsia="zh-CN" w:bidi="ar-SA"/>
        </w:rPr>
        <w:t>由县科技局负责或委托专业机构组织开展中期检查。</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3</w:t>
      </w:r>
      <w:r>
        <w:rPr>
          <w:rFonts w:hint="eastAsia" w:ascii="仿宋_GB2312" w:hAnsi="仿宋_GB2312" w:eastAsia="仿宋_GB2312" w:cs="仿宋_GB2312"/>
          <w:b/>
          <w:bCs/>
          <w:color w:val="auto"/>
          <w:kern w:val="2"/>
          <w:sz w:val="32"/>
          <w:szCs w:val="32"/>
          <w:highlight w:val="none"/>
          <w:lang w:val="en-US" w:eastAsia="zh-CN" w:bidi="ar-SA"/>
        </w:rPr>
        <w:t>、重大事项报告。</w:t>
      </w:r>
      <w:r>
        <w:rPr>
          <w:rFonts w:hint="eastAsia" w:ascii="仿宋_GB2312" w:hAnsi="仿宋_GB2312" w:eastAsia="仿宋_GB2312" w:cs="仿宋_GB2312"/>
          <w:color w:val="auto"/>
          <w:kern w:val="2"/>
          <w:sz w:val="32"/>
          <w:szCs w:val="32"/>
          <w:highlight w:val="none"/>
          <w:lang w:val="en-US" w:eastAsia="zh-CN" w:bidi="ar-SA"/>
        </w:rPr>
        <w:t>项目承担单位应当及时向县科技局报告以下重要事项：项目取得的重大进展；重大调整事项、如项目承担单位、项目参与单位、项目负责人、目标任务、绩效指标变更等；出现重大问题，无法继续履约实施项目的情况。</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4</w:t>
      </w:r>
      <w:r>
        <w:rPr>
          <w:rFonts w:hint="eastAsia" w:ascii="仿宋_GB2312" w:hAnsi="仿宋_GB2312" w:eastAsia="仿宋_GB2312" w:cs="仿宋_GB2312"/>
          <w:b/>
          <w:bCs/>
          <w:color w:val="auto"/>
          <w:kern w:val="2"/>
          <w:sz w:val="32"/>
          <w:szCs w:val="32"/>
          <w:highlight w:val="none"/>
          <w:lang w:val="en-US" w:eastAsia="zh-CN" w:bidi="ar-SA"/>
        </w:rPr>
        <w:t>、项目终止。</w:t>
      </w:r>
      <w:r>
        <w:rPr>
          <w:rFonts w:hint="eastAsia" w:ascii="仿宋_GB2312" w:hAnsi="仿宋_GB2312" w:eastAsia="仿宋_GB2312" w:cs="仿宋_GB2312"/>
          <w:color w:val="auto"/>
          <w:kern w:val="2"/>
          <w:sz w:val="32"/>
          <w:szCs w:val="32"/>
          <w:highlight w:val="none"/>
          <w:lang w:val="en-US" w:eastAsia="zh-CN" w:bidi="ar-SA"/>
        </w:rPr>
        <w:t>项目实施中发现重大风险，无法继续履约实施或逾期未完成项目实施的，县科技局可直接终止项目。对于因非正当理由导致项目终止的，项目负责人及</w:t>
      </w:r>
      <w:r>
        <w:rPr>
          <w:rFonts w:hint="default" w:ascii="仿宋_GB2312" w:hAnsi="仿宋_GB2312" w:eastAsia="仿宋_GB2312" w:cs="仿宋_GB2312"/>
          <w:color w:val="auto"/>
          <w:kern w:val="2"/>
          <w:sz w:val="32"/>
          <w:szCs w:val="32"/>
          <w:highlight w:val="none"/>
          <w:lang w:eastAsia="zh-CN" w:bidi="ar-SA"/>
        </w:rPr>
        <w:t>承担单位</w:t>
      </w:r>
      <w:r>
        <w:rPr>
          <w:rFonts w:hint="eastAsia" w:ascii="仿宋_GB2312" w:hAnsi="仿宋_GB2312" w:eastAsia="仿宋_GB2312" w:cs="仿宋_GB2312"/>
          <w:color w:val="auto"/>
          <w:kern w:val="2"/>
          <w:sz w:val="32"/>
          <w:szCs w:val="32"/>
          <w:highlight w:val="none"/>
          <w:lang w:val="en-US" w:eastAsia="zh-CN" w:bidi="ar-SA"/>
        </w:rPr>
        <w:t>依规纳入科研诚信记录。</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5</w:t>
      </w:r>
      <w:r>
        <w:rPr>
          <w:rFonts w:hint="eastAsia" w:ascii="仿宋_GB2312" w:hAnsi="仿宋_GB2312" w:eastAsia="仿宋_GB2312" w:cs="仿宋_GB2312"/>
          <w:b/>
          <w:bCs/>
          <w:color w:val="auto"/>
          <w:kern w:val="2"/>
          <w:sz w:val="32"/>
          <w:szCs w:val="32"/>
          <w:highlight w:val="none"/>
          <w:lang w:val="en-US" w:eastAsia="zh-CN" w:bidi="ar-SA"/>
        </w:rPr>
        <w:t>、项目验收。</w:t>
      </w:r>
      <w:r>
        <w:rPr>
          <w:rFonts w:hint="eastAsia" w:ascii="仿宋_GB2312" w:hAnsi="仿宋_GB2312" w:eastAsia="仿宋_GB2312" w:cs="仿宋_GB2312"/>
          <w:color w:val="auto"/>
          <w:kern w:val="2"/>
          <w:sz w:val="32"/>
          <w:szCs w:val="32"/>
          <w:highlight w:val="none"/>
          <w:lang w:val="en-US" w:eastAsia="zh-CN" w:bidi="ar-SA"/>
        </w:rPr>
        <w:t>县科技局负责或委托专业机构组织开展项目验收工作，项目验收以合同书为主要依据，通过现场验收、会议验收、用户和第三方测评等方式，对约定的绩效目标实施情况、资金使用情况等进行综合评价。</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①全面完成约定目标、资金使用合理的，为验收通过。</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②未完成约定目标或资金使用不合理的，为验收不通过。</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③因不可抗力因素等非主观原因未完成约定目标的，按结题处理。</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④对按约定达成目标、绩效突出的，可滚动支持，并在人才推荐、平台建设等方面给予重点支持。</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⑤对主观不努力等因素导致攻关失败的，原则上对项目负责人暂停两年内省、市、县三级科技计划申报资格，并依规纳入科研诚信记录。</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0" w:leftChars="0" w:right="0" w:rightChars="0" w:firstLine="642" w:firstLineChars="200"/>
        <w:jc w:val="both"/>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b/>
          <w:bCs/>
          <w:color w:val="auto"/>
          <w:kern w:val="2"/>
          <w:sz w:val="32"/>
          <w:szCs w:val="32"/>
          <w:highlight w:val="none"/>
          <w:lang w:val="en-US" w:eastAsia="zh-CN" w:bidi="ar-SA"/>
        </w:rPr>
        <w:t>6.</w:t>
      </w:r>
      <w:r>
        <w:rPr>
          <w:rFonts w:hint="eastAsia" w:ascii="仿宋_GB2312" w:hAnsi="仿宋_GB2312" w:eastAsia="仿宋_GB2312" w:cs="仿宋_GB2312"/>
          <w:b/>
          <w:bCs/>
          <w:color w:val="auto"/>
          <w:kern w:val="2"/>
          <w:sz w:val="32"/>
          <w:szCs w:val="32"/>
          <w:highlight w:val="none"/>
          <w:lang w:val="en-US" w:eastAsia="zh-CN" w:bidi="ar-SA"/>
        </w:rPr>
        <w:t>绩效跟踪评价。</w:t>
      </w:r>
      <w:r>
        <w:rPr>
          <w:rFonts w:hint="eastAsia" w:ascii="仿宋_GB2312" w:hAnsi="仿宋_GB2312" w:eastAsia="仿宋_GB2312" w:cs="仿宋_GB2312"/>
          <w:color w:val="auto"/>
          <w:kern w:val="2"/>
          <w:sz w:val="32"/>
          <w:szCs w:val="32"/>
          <w:highlight w:val="none"/>
          <w:lang w:val="en-US" w:eastAsia="zh-CN" w:bidi="ar-SA"/>
        </w:rPr>
        <w:t>项目实施后2年内，项目负责人应当及时在线填报后续研究进展和成果应用绩效。绩效填报情况作为后续项目申报的必要条件。</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default" w:ascii="黑体" w:hAnsi="黑体" w:eastAsia="黑体" w:cs="黑体"/>
          <w:b/>
          <w:color w:val="auto"/>
          <w:kern w:val="0"/>
          <w:sz w:val="32"/>
          <w:szCs w:val="32"/>
          <w:highlight w:val="none"/>
          <w:lang w:val="en-US" w:eastAsia="zh-CN" w:bidi="ar"/>
        </w:rPr>
      </w:pPr>
      <w:r>
        <w:rPr>
          <w:rFonts w:hint="eastAsia" w:ascii="黑体" w:hAnsi="黑体" w:eastAsia="黑体" w:cs="黑体"/>
          <w:b/>
          <w:bCs/>
          <w:color w:val="auto"/>
          <w:kern w:val="0"/>
          <w:sz w:val="32"/>
          <w:szCs w:val="32"/>
          <w:highlight w:val="none"/>
          <w:lang w:val="en-US" w:eastAsia="zh-CN" w:bidi="ar"/>
        </w:rPr>
        <w:t>五、</w:t>
      </w:r>
      <w:r>
        <w:rPr>
          <w:rFonts w:hint="eastAsia" w:ascii="黑体" w:hAnsi="黑体" w:eastAsia="黑体" w:cs="黑体"/>
          <w:b/>
          <w:color w:val="auto"/>
          <w:kern w:val="0"/>
          <w:sz w:val="32"/>
          <w:szCs w:val="32"/>
          <w:highlight w:val="none"/>
          <w:lang w:val="en-US" w:eastAsia="zh-CN" w:bidi="ar"/>
        </w:rPr>
        <w:t>其他事项</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（一）</w:t>
      </w:r>
      <w:r>
        <w:rPr>
          <w:rFonts w:hint="eastAsia" w:ascii="仿宋_GB2312" w:hAnsi="仿宋_GB2312" w:eastAsia="仿宋_GB2312" w:cs="仿宋_GB2312"/>
          <w:color w:val="auto"/>
          <w:kern w:val="2"/>
          <w:sz w:val="32"/>
          <w:szCs w:val="32"/>
          <w:highlight w:val="none"/>
          <w:lang w:val="en-US" w:eastAsia="zh-CN" w:bidi="ar-SA"/>
        </w:rPr>
        <w:t>申报单位对申报材料的真实性负责，不得夸大自身实力与技术、经济指标，项目一经立项，无正当合理的理由不予修改调整。评审专家对出具意见的客观公正性负责。对重复申报、弄虚作假，骗取资金的，予以撤销项目并纳入科研诚信管理；情节严重的，将依法追究相关单位和人员责任。</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（二）</w:t>
      </w:r>
      <w:r>
        <w:rPr>
          <w:rFonts w:hint="eastAsia" w:ascii="仿宋_GB2312" w:hAnsi="仿宋_GB2312" w:eastAsia="仿宋_GB2312" w:cs="仿宋_GB2312"/>
          <w:color w:val="auto"/>
          <w:kern w:val="2"/>
          <w:sz w:val="32"/>
          <w:szCs w:val="32"/>
          <w:highlight w:val="none"/>
          <w:lang w:val="en-US" w:eastAsia="zh-CN" w:bidi="ar-SA"/>
        </w:rPr>
        <w:t>申报单位承担在研县级项目一般为1项。</w:t>
      </w:r>
      <w:r>
        <w:rPr>
          <w:rFonts w:hint="default" w:ascii="仿宋_GB2312" w:hAnsi="仿宋_GB2312" w:eastAsia="仿宋_GB2312" w:cs="仿宋_GB2312"/>
          <w:color w:val="auto"/>
          <w:kern w:val="2"/>
          <w:sz w:val="32"/>
          <w:szCs w:val="32"/>
          <w:highlight w:val="none"/>
          <w:lang w:eastAsia="zh-CN" w:bidi="ar-SA"/>
        </w:rPr>
        <w:t>申报单位</w:t>
      </w:r>
      <w:r>
        <w:rPr>
          <w:rFonts w:hint="eastAsia" w:ascii="仿宋_GB2312" w:hAnsi="仿宋_GB2312" w:eastAsia="仿宋_GB2312" w:cs="仿宋_GB2312"/>
          <w:color w:val="auto"/>
          <w:kern w:val="2"/>
          <w:sz w:val="32"/>
          <w:szCs w:val="32"/>
          <w:highlight w:val="none"/>
          <w:lang w:val="en-US" w:eastAsia="zh-CN" w:bidi="ar-SA"/>
        </w:rPr>
        <w:t>有在研县级科研项目未验收的，不得参与揭榜。</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（三）</w:t>
      </w:r>
      <w:r>
        <w:rPr>
          <w:rFonts w:hint="eastAsia" w:ascii="仿宋_GB2312" w:hAnsi="仿宋_GB2312" w:eastAsia="仿宋_GB2312" w:cs="仿宋_GB2312"/>
          <w:color w:val="auto"/>
          <w:kern w:val="2"/>
          <w:sz w:val="32"/>
          <w:szCs w:val="32"/>
          <w:highlight w:val="none"/>
          <w:lang w:val="en-US" w:eastAsia="zh-CN" w:bidi="ar-SA"/>
        </w:rPr>
        <w:t>申报单位应严格履行项目申报、实施管理和科研伦理、诚信建设的主体责任，应承诺申报项目的主要研发内容未获国家和省市级有关部门立项支持，避免重复立项、重复支持。要认真按照合同书约定的目标任务、时间进度等要求推进项目实施，积极提供人、财、物等科研保障，并规范归集研发经费。</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（四）</w:t>
      </w:r>
      <w:r>
        <w:rPr>
          <w:rFonts w:hint="eastAsia" w:ascii="仿宋_GB2312" w:hAnsi="仿宋_GB2312" w:eastAsia="仿宋_GB2312" w:cs="仿宋_GB2312"/>
          <w:color w:val="auto"/>
          <w:kern w:val="2"/>
          <w:sz w:val="32"/>
          <w:szCs w:val="32"/>
          <w:highlight w:val="none"/>
          <w:lang w:val="en-US" w:eastAsia="zh-CN" w:bidi="ar-SA"/>
        </w:rPr>
        <w:t>揭榜挂帅项目形式形成的知识产权，按项目合同书的约定处置。</w:t>
      </w:r>
    </w:p>
    <w:p>
      <w:pPr>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firstLine="642" w:firstLineChars="20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楷体_GB2312" w:hAnsi="楷体_GB2312" w:eastAsia="楷体_GB2312" w:cs="楷体_GB2312"/>
          <w:b/>
          <w:bCs/>
          <w:color w:val="auto"/>
          <w:kern w:val="2"/>
          <w:sz w:val="32"/>
          <w:szCs w:val="32"/>
          <w:highlight w:val="none"/>
          <w:lang w:val="en-US" w:eastAsia="zh-CN" w:bidi="ar-SA"/>
        </w:rPr>
        <w:t>（五）</w:t>
      </w:r>
      <w:r>
        <w:rPr>
          <w:rFonts w:hint="eastAsia" w:ascii="仿宋_GB2312" w:hAnsi="仿宋_GB2312" w:eastAsia="仿宋_GB2312" w:cs="仿宋_GB2312"/>
          <w:color w:val="auto"/>
          <w:kern w:val="2"/>
          <w:sz w:val="32"/>
          <w:szCs w:val="32"/>
          <w:highlight w:val="none"/>
          <w:lang w:val="en-US" w:eastAsia="zh-CN" w:bidi="ar-SA"/>
        </w:rPr>
        <w:t>本实施方案试行期为2024年至2025年。</w:t>
      </w:r>
    </w:p>
    <w:p>
      <w:pPr>
        <w:pStyle w:val="2"/>
        <w:keepNext w:val="0"/>
        <w:keepLines w:val="0"/>
        <w:pageBreakBefore w:val="0"/>
        <w:kinsoku/>
        <w:wordWrap/>
        <w:overflowPunct/>
        <w:topLinePunct w:val="0"/>
        <w:autoSpaceDE/>
        <w:autoSpaceDN/>
        <w:bidi w:val="0"/>
        <w:adjustRightInd/>
        <w:snapToGrid/>
        <w:spacing w:after="0" w:line="560" w:lineRule="exact"/>
        <w:ind w:left="0" w:leftChars="0"/>
        <w:jc w:val="left"/>
        <w:textAlignment w:val="auto"/>
        <w:rPr>
          <w:rFonts w:hint="eastAsia"/>
          <w:highlight w:val="none"/>
          <w:lang w:val="en-US" w:eastAsia="zh-CN"/>
        </w:rPr>
      </w:pP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left="1468" w:leftChars="303" w:right="0" w:hanging="832" w:hangingChars="260"/>
        <w:jc w:val="left"/>
        <w:textAlignment w:val="auto"/>
        <w:rPr>
          <w:rFonts w:hint="default" w:ascii="仿宋_GB2312" w:hAnsi="仿宋_GB2312" w:eastAsia="仿宋_GB2312" w:cs="仿宋_GB2312"/>
          <w:color w:val="auto"/>
          <w:kern w:val="2"/>
          <w:sz w:val="32"/>
          <w:szCs w:val="32"/>
          <w:highlight w:val="none"/>
          <w:lang w:eastAsia="zh-CN" w:bidi="ar-SA"/>
        </w:rPr>
      </w:pPr>
      <w:r>
        <w:rPr>
          <w:rFonts w:hint="eastAsia" w:ascii="仿宋_GB2312" w:hAnsi="仿宋_GB2312" w:eastAsia="仿宋_GB2312" w:cs="仿宋_GB2312"/>
          <w:color w:val="auto"/>
          <w:kern w:val="2"/>
          <w:sz w:val="32"/>
          <w:szCs w:val="32"/>
          <w:highlight w:val="none"/>
          <w:lang w:val="en-US" w:eastAsia="zh-CN" w:bidi="ar-SA"/>
        </w:rPr>
        <w:t>附件：1</w:t>
      </w:r>
      <w:r>
        <w:rPr>
          <w:rFonts w:hint="eastAsia" w:ascii="仿宋_GB2312" w:hAnsi="仿宋_GB2312" w:eastAsia="仿宋_GB2312" w:cs="仿宋_GB2312"/>
          <w:color w:val="auto"/>
          <w:kern w:val="2"/>
          <w:sz w:val="32"/>
          <w:szCs w:val="32"/>
          <w:highlight w:val="none"/>
          <w:lang w:val="zh-CN" w:eastAsia="zh-CN" w:bidi="ar-SA"/>
        </w:rPr>
        <w:t>、“揭</w:t>
      </w:r>
      <w:r>
        <w:rPr>
          <w:rFonts w:hint="eastAsia" w:ascii="仿宋_GB2312" w:hAnsi="仿宋_GB2312" w:eastAsia="仿宋_GB2312" w:cs="仿宋_GB2312"/>
          <w:color w:val="auto"/>
          <w:kern w:val="2"/>
          <w:sz w:val="32"/>
          <w:szCs w:val="32"/>
          <w:highlight w:val="none"/>
          <w:lang w:val="en-US" w:eastAsia="zh-CN" w:bidi="ar-SA"/>
        </w:rPr>
        <w:t>榜挂帅”重大科技项目攻关需求</w:t>
      </w:r>
      <w:r>
        <w:rPr>
          <w:rFonts w:hint="default" w:ascii="仿宋_GB2312" w:hAnsi="仿宋_GB2312" w:eastAsia="仿宋_GB2312" w:cs="仿宋_GB2312"/>
          <w:color w:val="auto"/>
          <w:kern w:val="2"/>
          <w:sz w:val="32"/>
          <w:szCs w:val="32"/>
          <w:highlight w:val="none"/>
          <w:lang w:eastAsia="zh-CN" w:bidi="ar-SA"/>
        </w:rPr>
        <w:t>征集表（参考）</w:t>
      </w:r>
    </w:p>
    <w:p>
      <w:pPr>
        <w:pStyle w:val="17"/>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560" w:lineRule="exact"/>
        <w:ind w:left="1478" w:leftChars="704" w:right="0" w:rightChars="0" w:firstLine="118" w:firstLineChars="37"/>
        <w:jc w:val="left"/>
        <w:textAlignment w:val="auto"/>
        <w:rPr>
          <w:rFonts w:hint="eastAsia" w:ascii="仿宋_GB2312" w:hAnsi="仿宋_GB2312" w:eastAsia="仿宋_GB2312" w:cs="仿宋_GB2312"/>
          <w:color w:val="auto"/>
          <w:kern w:val="2"/>
          <w:sz w:val="32"/>
          <w:szCs w:val="32"/>
          <w:highlight w:val="none"/>
          <w:lang w:val="en-US" w:eastAsia="en-US" w:bidi="ar-SA"/>
        </w:rPr>
      </w:pPr>
      <w:r>
        <w:rPr>
          <w:rFonts w:hint="eastAsia" w:ascii="仿宋_GB2312" w:hAnsi="仿宋_GB2312" w:eastAsia="仿宋_GB2312" w:cs="仿宋_GB2312"/>
          <w:color w:val="auto"/>
          <w:kern w:val="2"/>
          <w:sz w:val="32"/>
          <w:szCs w:val="32"/>
          <w:highlight w:val="none"/>
          <w:lang w:val="en-US" w:eastAsia="en-US" w:bidi="ar-SA"/>
        </w:rPr>
        <w:t>2、永嘉县泵阀产业关键技术协同攻关项目基本评价指标（参考）</w:t>
      </w:r>
    </w:p>
    <w:p>
      <w:pP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kern w:val="2"/>
          <w:sz w:val="24"/>
          <w:szCs w:val="24"/>
          <w:highlight w:val="none"/>
          <w:lang w:val="en-US" w:eastAsia="zh-CN" w:bidi="ar-SA"/>
        </w:rPr>
        <w:br w:type="textWrapping"/>
      </w:r>
    </w:p>
    <w:p>
      <w:pP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kern w:val="2"/>
          <w:sz w:val="24"/>
          <w:szCs w:val="24"/>
          <w:highlight w:val="none"/>
          <w:lang w:val="en-US" w:eastAsia="zh-CN" w:bidi="ar-SA"/>
        </w:rPr>
        <w:br w:type="page"/>
      </w:r>
    </w:p>
    <w:p>
      <w:pPr>
        <w:widowControl/>
        <w:numPr>
          <w:ilvl w:val="0"/>
          <w:numId w:val="0"/>
        </w:numPr>
        <w:spacing w:line="560" w:lineRule="exact"/>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附件1：</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公文小标宋" w:hAnsi="方正公文小标宋" w:eastAsia="方正公文小标宋" w:cs="方正公文小标宋"/>
          <w:b w:val="0"/>
          <w:bCs w:val="0"/>
          <w:color w:val="auto"/>
          <w:sz w:val="44"/>
          <w:szCs w:val="44"/>
          <w:highlight w:val="none"/>
          <w:lang w:val="en-US" w:eastAsia="zh-CN"/>
        </w:rPr>
      </w:pPr>
      <w:r>
        <w:rPr>
          <w:rFonts w:hint="eastAsia" w:ascii="方正公文小标宋" w:hAnsi="方正公文小标宋" w:eastAsia="方正公文小标宋" w:cs="方正公文小标宋"/>
          <w:b w:val="0"/>
          <w:bCs w:val="0"/>
          <w:color w:val="auto"/>
          <w:sz w:val="44"/>
          <w:szCs w:val="44"/>
          <w:highlight w:val="none"/>
          <w:lang w:val="en-US" w:eastAsia="zh-CN"/>
        </w:rPr>
        <w:t>“揭榜挂帅”重大科技项目攻关需求征集表</w:t>
      </w:r>
    </w:p>
    <w:p>
      <w:pPr>
        <w:pStyle w:val="2"/>
        <w:rPr>
          <w:rFonts w:hint="eastAsia"/>
          <w:highlight w:val="none"/>
          <w:lang w:val="en-US" w:eastAsia="zh-CN"/>
        </w:rPr>
      </w:pPr>
    </w:p>
    <w:tbl>
      <w:tblPr>
        <w:tblStyle w:val="9"/>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6"/>
        <w:gridCol w:w="1857"/>
        <w:gridCol w:w="1069"/>
        <w:gridCol w:w="1204"/>
        <w:gridCol w:w="1470"/>
        <w:gridCol w:w="1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需求名称</w:t>
            </w:r>
          </w:p>
        </w:tc>
        <w:tc>
          <w:tcPr>
            <w:tcW w:w="7374" w:type="dxa"/>
            <w:gridSpan w:val="5"/>
            <w:noWrap w:val="0"/>
            <w:vAlign w:val="center"/>
          </w:tcPr>
          <w:p>
            <w:pPr>
              <w:widowControl/>
              <w:jc w:val="center"/>
              <w:rPr>
                <w:rFonts w:hint="eastAsia" w:ascii="宋体" w:hAnsi="宋体" w:eastAsia="宋体" w:cs="宋体"/>
                <w:color w:val="000000"/>
                <w:kern w:val="0"/>
                <w:szCs w:val="21"/>
                <w:highlight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技术领域</w:t>
            </w:r>
          </w:p>
        </w:tc>
        <w:tc>
          <w:tcPr>
            <w:tcW w:w="7374" w:type="dxa"/>
            <w:gridSpan w:val="5"/>
            <w:noWrap w:val="0"/>
            <w:vAlign w:val="center"/>
          </w:tcPr>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□系统流程装备</w:t>
            </w:r>
            <w:r>
              <w:rPr>
                <w:rFonts w:hint="eastAsia" w:ascii="宋体" w:hAnsi="宋体" w:cs="宋体"/>
                <w:color w:val="000000"/>
                <w:kern w:val="0"/>
                <w:szCs w:val="21"/>
                <w:highlight w:val="none"/>
                <w:lang w:val="en-US" w:eastAsia="zh-CN"/>
              </w:rPr>
              <w:t xml:space="preserve"> </w:t>
            </w:r>
            <w:r>
              <w:rPr>
                <w:rFonts w:hint="eastAsia" w:ascii="宋体" w:hAnsi="宋体" w:cs="宋体"/>
                <w:color w:val="000000"/>
                <w:kern w:val="0"/>
                <w:szCs w:val="21"/>
                <w:highlight w:val="none"/>
              </w:rPr>
              <w:t>□数字化</w:t>
            </w:r>
            <w:r>
              <w:rPr>
                <w:rFonts w:hint="eastAsia" w:ascii="宋体" w:hAnsi="宋体" w:cs="宋体"/>
                <w:color w:val="000000"/>
                <w:kern w:val="0"/>
                <w:szCs w:val="21"/>
                <w:highlight w:val="none"/>
                <w:lang w:val="en-US" w:eastAsia="zh-CN"/>
              </w:rPr>
              <w:t xml:space="preserve"> </w:t>
            </w:r>
            <w:r>
              <w:rPr>
                <w:rFonts w:hint="eastAsia" w:ascii="宋体" w:hAnsi="宋体" w:cs="宋体"/>
                <w:color w:val="000000"/>
                <w:kern w:val="0"/>
                <w:szCs w:val="21"/>
                <w:highlight w:val="none"/>
              </w:rPr>
              <w:t>□新材料</w:t>
            </w:r>
            <w:r>
              <w:rPr>
                <w:rFonts w:hint="eastAsia" w:ascii="宋体" w:hAnsi="宋体" w:cs="宋体"/>
                <w:color w:val="000000"/>
                <w:kern w:val="0"/>
                <w:szCs w:val="21"/>
                <w:highlight w:val="none"/>
                <w:lang w:val="en-US" w:eastAsia="zh-CN"/>
              </w:rPr>
              <w:t xml:space="preserve"> </w:t>
            </w:r>
            <w:r>
              <w:rPr>
                <w:rFonts w:hint="eastAsia" w:ascii="宋体" w:hAnsi="宋体" w:cs="宋体"/>
                <w:color w:val="000000"/>
                <w:kern w:val="0"/>
                <w:szCs w:val="21"/>
                <w:highlight w:val="none"/>
              </w:rPr>
              <w:t>□新工艺</w:t>
            </w:r>
            <w:r>
              <w:rPr>
                <w:rFonts w:hint="eastAsia" w:ascii="宋体" w:hAnsi="宋体" w:cs="宋体"/>
                <w:color w:val="000000"/>
                <w:kern w:val="0"/>
                <w:szCs w:val="21"/>
                <w:highlight w:val="none"/>
                <w:lang w:val="en-US" w:eastAsia="zh-CN"/>
              </w:rPr>
              <w:t xml:space="preserve"> </w:t>
            </w:r>
            <w:r>
              <w:rPr>
                <w:rFonts w:hint="eastAsia" w:ascii="宋体" w:hAnsi="宋体" w:cs="宋体"/>
                <w:color w:val="000000"/>
                <w:kern w:val="0"/>
                <w:szCs w:val="21"/>
                <w:highlight w:val="none"/>
              </w:rPr>
              <w:t>□智能装备</w:t>
            </w:r>
            <w:r>
              <w:rPr>
                <w:rFonts w:hint="eastAsia" w:ascii="宋体" w:hAnsi="宋体" w:cs="宋体"/>
                <w:color w:val="000000"/>
                <w:kern w:val="0"/>
                <w:szCs w:val="21"/>
                <w:highlight w:val="none"/>
                <w:lang w:val="en-US" w:eastAsia="zh-CN"/>
              </w:rPr>
              <w:t xml:space="preserve"> </w:t>
            </w:r>
            <w:r>
              <w:rPr>
                <w:rFonts w:hint="eastAsia" w:ascii="宋体" w:hAnsi="宋体" w:cs="宋体"/>
                <w:color w:val="000000"/>
                <w:kern w:val="0"/>
                <w:szCs w:val="21"/>
                <w:highlight w:val="none"/>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7"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攻关背景和意义</w:t>
            </w:r>
          </w:p>
        </w:tc>
        <w:tc>
          <w:tcPr>
            <w:tcW w:w="7374" w:type="dxa"/>
            <w:gridSpan w:val="5"/>
            <w:noWrap w:val="0"/>
            <w:vAlign w:val="top"/>
          </w:tcPr>
          <w:p>
            <w:pPr>
              <w:keepNext w:val="0"/>
              <w:keepLines w:val="0"/>
              <w:widowControl/>
              <w:suppressLineNumbers w:val="0"/>
              <w:jc w:val="left"/>
              <w:rPr>
                <w:highlight w:val="none"/>
              </w:rPr>
            </w:pPr>
          </w:p>
          <w:p>
            <w:pPr>
              <w:pStyle w:val="8"/>
              <w:rPr>
                <w:rFonts w:hint="eastAsia" w:eastAsia="仿宋_GB2312"/>
                <w:highlight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拟解决的问题</w:t>
            </w:r>
          </w:p>
        </w:tc>
        <w:tc>
          <w:tcPr>
            <w:tcW w:w="7374" w:type="dxa"/>
            <w:gridSpan w:val="5"/>
            <w:noWrap w:val="0"/>
            <w:vAlign w:val="center"/>
          </w:tcPr>
          <w:p>
            <w:pPr>
              <w:widowControl/>
              <w:jc w:val="left"/>
              <w:rPr>
                <w:rFonts w:hint="default" w:ascii="宋体" w:hAnsi="宋体" w:eastAsia="宋体" w:cs="宋体"/>
                <w:color w:val="000000"/>
                <w:kern w:val="0"/>
                <w:szCs w:val="21"/>
                <w:highlight w:val="none"/>
                <w:lang w:val="en-US" w:eastAsia="zh-CN"/>
              </w:rPr>
            </w:pPr>
            <w:r>
              <w:rPr>
                <w:rFonts w:hint="eastAsia" w:ascii="宋体" w:hAnsi="宋体" w:cs="宋体"/>
                <w:color w:val="000000"/>
                <w:kern w:val="0"/>
                <w:szCs w:val="21"/>
                <w:highlight w:val="none"/>
              </w:rPr>
              <w:t>□</w:t>
            </w:r>
            <w:r>
              <w:rPr>
                <w:color w:val="000000"/>
                <w:kern w:val="0"/>
                <w:szCs w:val="21"/>
                <w:highlight w:val="none"/>
              </w:rPr>
              <w:t>1</w:t>
            </w:r>
            <w:r>
              <w:rPr>
                <w:rFonts w:hint="eastAsia" w:ascii="宋体" w:hAnsi="宋体" w:cs="宋体"/>
                <w:color w:val="000000"/>
                <w:kern w:val="0"/>
                <w:szCs w:val="21"/>
                <w:highlight w:val="none"/>
              </w:rPr>
              <w:t>.科学问题：_________________</w:t>
            </w:r>
            <w:r>
              <w:rPr>
                <w:rFonts w:hint="eastAsia" w:ascii="宋体" w:hAnsi="宋体" w:cs="宋体"/>
                <w:color w:val="000000"/>
                <w:kern w:val="0"/>
                <w:szCs w:val="21"/>
                <w:highlight w:val="none"/>
              </w:rPr>
              <w:br w:type="textWrapping"/>
            </w:r>
            <w:r>
              <w:rPr>
                <w:rFonts w:hint="eastAsia" w:ascii="宋体" w:hAnsi="宋体" w:cs="宋体"/>
                <w:color w:val="000000"/>
                <w:kern w:val="0"/>
                <w:szCs w:val="21"/>
                <w:highlight w:val="none"/>
              </w:rPr>
              <w:sym w:font="Wingdings 2" w:char="00A3"/>
            </w:r>
            <w:r>
              <w:rPr>
                <w:color w:val="000000"/>
                <w:kern w:val="0"/>
                <w:szCs w:val="21"/>
                <w:highlight w:val="none"/>
              </w:rPr>
              <w:t>2</w:t>
            </w:r>
            <w:r>
              <w:rPr>
                <w:rFonts w:hint="eastAsia" w:ascii="宋体" w:hAnsi="宋体" w:cs="宋体"/>
                <w:color w:val="000000"/>
                <w:kern w:val="0"/>
                <w:szCs w:val="21"/>
                <w:highlight w:val="none"/>
              </w:rPr>
              <w:t>.技术问题：__</w:t>
            </w:r>
            <w:r>
              <w:rPr>
                <w:rFonts w:hint="eastAsia" w:ascii="宋体" w:hAnsi="宋体" w:cs="宋体"/>
                <w:color w:val="000000"/>
                <w:kern w:val="0"/>
                <w:szCs w:val="21"/>
                <w:highlight w:val="none"/>
                <w:u w:val="single"/>
              </w:rPr>
              <w:t>_</w:t>
            </w:r>
            <w:r>
              <w:rPr>
                <w:rFonts w:hint="eastAsia" w:ascii="宋体" w:hAnsi="宋体" w:cs="宋体"/>
                <w:color w:val="000000"/>
                <w:kern w:val="0"/>
                <w:szCs w:val="21"/>
                <w:highlight w:val="none"/>
                <w:u w:val="singl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jc w:val="center"/>
        </w:trPr>
        <w:tc>
          <w:tcPr>
            <w:tcW w:w="1686" w:type="dxa"/>
            <w:noWrap w:val="0"/>
            <w:vAlign w:val="center"/>
          </w:tcPr>
          <w:p>
            <w:pPr>
              <w:widowControl/>
              <w:jc w:val="center"/>
              <w:rPr>
                <w:rFonts w:hint="default" w:ascii="宋体" w:hAnsi="宋体" w:cs="宋体"/>
                <w:color w:val="000000"/>
                <w:kern w:val="0"/>
                <w:szCs w:val="21"/>
                <w:highlight w:val="none"/>
              </w:rPr>
            </w:pPr>
            <w:r>
              <w:rPr>
                <w:rFonts w:hint="default" w:ascii="宋体" w:hAnsi="宋体" w:cs="宋体"/>
                <w:color w:val="000000"/>
                <w:kern w:val="0"/>
                <w:szCs w:val="21"/>
                <w:highlight w:val="none"/>
              </w:rPr>
              <w:t>攻关目标</w:t>
            </w:r>
          </w:p>
        </w:tc>
        <w:tc>
          <w:tcPr>
            <w:tcW w:w="7374" w:type="dxa"/>
            <w:gridSpan w:val="5"/>
            <w:noWrap w:val="0"/>
            <w:vAlign w:val="center"/>
          </w:tcPr>
          <w:p>
            <w:pPr>
              <w:widowControl/>
              <w:numPr>
                <w:ilvl w:val="0"/>
                <w:numId w:val="0"/>
              </w:numPr>
              <w:ind w:left="210" w:leftChars="0"/>
              <w:rPr>
                <w:rFonts w:hint="eastAsia" w:ascii="宋体" w:hAnsi="宋体" w:cs="宋体"/>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主要研究内容</w:t>
            </w:r>
          </w:p>
        </w:tc>
        <w:tc>
          <w:tcPr>
            <w:tcW w:w="7374" w:type="dxa"/>
            <w:gridSpan w:val="5"/>
            <w:noWrap w:val="0"/>
            <w:vAlign w:val="center"/>
          </w:tcPr>
          <w:p>
            <w:pPr>
              <w:widowControl/>
              <w:numPr>
                <w:ilvl w:val="0"/>
                <w:numId w:val="0"/>
              </w:numPr>
              <w:ind w:left="210" w:leftChars="0"/>
              <w:rPr>
                <w:rFonts w:hint="eastAsia" w:ascii="宋体" w:hAnsi="宋体" w:cs="宋体"/>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686" w:type="dxa"/>
            <w:vMerge w:val="restart"/>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预期标志性成果及水平</w:t>
            </w:r>
          </w:p>
        </w:tc>
        <w:tc>
          <w:tcPr>
            <w:tcW w:w="7374" w:type="dxa"/>
            <w:gridSpan w:val="5"/>
            <w:noWrap w:val="0"/>
            <w:vAlign w:val="top"/>
          </w:tcPr>
          <w:p>
            <w:pPr>
              <w:keepNext w:val="0"/>
              <w:keepLines w:val="0"/>
              <w:widowControl/>
              <w:suppressLineNumbers w:val="0"/>
              <w:ind w:firstLine="420" w:firstLineChars="200"/>
              <w:jc w:val="both"/>
              <w:rPr>
                <w:rFonts w:hint="eastAsia"/>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技术先进水平</w:t>
            </w:r>
          </w:p>
        </w:tc>
        <w:tc>
          <w:tcPr>
            <w:tcW w:w="5517" w:type="dxa"/>
            <w:gridSpan w:val="4"/>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sym w:font="Wingdings 2" w:char="00A3"/>
            </w:r>
            <w:r>
              <w:rPr>
                <w:rFonts w:hint="eastAsia" w:ascii="宋体" w:hAnsi="宋体" w:cs="宋体"/>
                <w:color w:val="000000"/>
                <w:kern w:val="0"/>
                <w:szCs w:val="21"/>
                <w:highlight w:val="none"/>
              </w:rPr>
              <w:t xml:space="preserve">国内领先   </w:t>
            </w:r>
            <w:r>
              <w:rPr>
                <w:rFonts w:hint="eastAsia" w:ascii="宋体" w:hAnsi="宋体" w:cs="宋体"/>
                <w:color w:val="000000"/>
                <w:kern w:val="0"/>
                <w:szCs w:val="21"/>
                <w:highlight w:val="none"/>
              </w:rPr>
              <w:sym w:font="Wingdings 2" w:char="00A3"/>
            </w:r>
            <w:r>
              <w:rPr>
                <w:rFonts w:hint="eastAsia" w:ascii="宋体" w:hAnsi="宋体" w:cs="宋体"/>
                <w:color w:val="000000"/>
                <w:kern w:val="0"/>
                <w:szCs w:val="21"/>
                <w:highlight w:val="none"/>
              </w:rPr>
              <w:t>国际先进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攻关成果性质</w:t>
            </w:r>
          </w:p>
        </w:tc>
        <w:tc>
          <w:tcPr>
            <w:tcW w:w="5517" w:type="dxa"/>
            <w:gridSpan w:val="4"/>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sym w:font="Wingdings 2" w:char="00A3"/>
            </w:r>
            <w:r>
              <w:rPr>
                <w:rFonts w:hint="eastAsia" w:ascii="宋体" w:hAnsi="宋体" w:cs="宋体"/>
                <w:color w:val="000000"/>
                <w:kern w:val="0"/>
                <w:szCs w:val="21"/>
                <w:highlight w:val="none"/>
              </w:rPr>
              <w:t xml:space="preserve">实现进口替代   </w:t>
            </w:r>
            <w:r>
              <w:rPr>
                <w:rFonts w:hint="eastAsia" w:ascii="宋体" w:hAnsi="宋体" w:cs="宋体"/>
                <w:color w:val="000000"/>
                <w:kern w:val="0"/>
                <w:szCs w:val="21"/>
                <w:highlight w:val="none"/>
              </w:rPr>
              <w:sym w:font="Wingdings 2" w:char="00A3"/>
            </w:r>
            <w:r>
              <w:rPr>
                <w:rFonts w:hint="eastAsia" w:ascii="宋体" w:hAnsi="宋体" w:cs="宋体"/>
                <w:color w:val="000000"/>
                <w:kern w:val="0"/>
                <w:szCs w:val="21"/>
                <w:highlight w:val="none"/>
              </w:rPr>
              <w:t>抢占前沿技术制高点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对标单位及产品（型号）</w:t>
            </w:r>
          </w:p>
        </w:tc>
        <w:tc>
          <w:tcPr>
            <w:tcW w:w="5517" w:type="dxa"/>
            <w:gridSpan w:val="4"/>
            <w:noWrap w:val="0"/>
            <w:vAlign w:val="center"/>
          </w:tcPr>
          <w:p>
            <w:pPr>
              <w:widowControl/>
              <w:jc w:val="center"/>
              <w:rPr>
                <w:rFonts w:hint="eastAsia" w:ascii="宋体" w:hAnsi="宋体" w:cs="宋体"/>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vMerge w:val="restart"/>
            <w:noWrap w:val="0"/>
            <w:vAlign w:val="center"/>
          </w:tcPr>
          <w:p>
            <w:pPr>
              <w:widowControl/>
              <w:jc w:val="center"/>
              <w:rPr>
                <w:rFonts w:hint="eastAsia" w:ascii="宋体" w:hAnsi="宋体" w:cs="宋体"/>
                <w:szCs w:val="21"/>
                <w:highlight w:val="none"/>
              </w:rPr>
            </w:pPr>
            <w:r>
              <w:rPr>
                <w:rFonts w:hint="eastAsia" w:ascii="宋体" w:hAnsi="宋体" w:cs="宋体"/>
                <w:szCs w:val="21"/>
                <w:highlight w:val="none"/>
              </w:rPr>
              <w:t>核心技术参数</w:t>
            </w:r>
          </w:p>
          <w:p>
            <w:pPr>
              <w:pStyle w:val="3"/>
              <w:rPr>
                <w:rFonts w:hint="eastAsia" w:ascii="宋体" w:hAnsi="宋体" w:cs="宋体"/>
                <w:szCs w:val="21"/>
                <w:highlight w:val="none"/>
              </w:rPr>
            </w:pPr>
            <w:r>
              <w:rPr>
                <w:rFonts w:hint="eastAsia" w:ascii="宋体" w:hAnsi="宋体" w:cs="宋体"/>
                <w:color w:val="000000"/>
                <w:szCs w:val="21"/>
                <w:highlight w:val="none"/>
              </w:rPr>
              <w:t>（</w:t>
            </w:r>
            <w:r>
              <w:rPr>
                <w:color w:val="000000"/>
                <w:szCs w:val="21"/>
                <w:highlight w:val="none"/>
              </w:rPr>
              <w:t>5</w:t>
            </w:r>
            <w:r>
              <w:rPr>
                <w:rFonts w:hint="eastAsia" w:ascii="宋体" w:hAnsi="宋体" w:cs="宋体"/>
                <w:szCs w:val="21"/>
                <w:highlight w:val="none"/>
              </w:rPr>
              <w:t>项</w:t>
            </w:r>
            <w:r>
              <w:rPr>
                <w:rFonts w:hint="eastAsia" w:ascii="宋体" w:hAnsi="宋体" w:cs="宋体"/>
                <w:color w:val="000000"/>
                <w:szCs w:val="21"/>
                <w:highlight w:val="none"/>
              </w:rPr>
              <w:t>以上）</w:t>
            </w:r>
          </w:p>
        </w:tc>
        <w:tc>
          <w:tcPr>
            <w:tcW w:w="5517" w:type="dxa"/>
            <w:gridSpan w:val="4"/>
            <w:noWrap w:val="0"/>
            <w:vAlign w:val="center"/>
          </w:tcPr>
          <w:p>
            <w:pPr>
              <w:widowControl/>
              <w:jc w:val="left"/>
              <w:rPr>
                <w:rFonts w:hint="eastAsia" w:ascii="宋体" w:hAnsi="宋体" w:cs="宋体"/>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vMerge w:val="continue"/>
            <w:noWrap w:val="0"/>
            <w:vAlign w:val="center"/>
          </w:tcPr>
          <w:p>
            <w:pPr>
              <w:widowControl/>
              <w:jc w:val="left"/>
              <w:rPr>
                <w:rFonts w:hint="eastAsia" w:ascii="宋体" w:hAnsi="宋体" w:cs="宋体"/>
                <w:color w:val="000000"/>
                <w:kern w:val="0"/>
                <w:szCs w:val="21"/>
                <w:highlight w:val="none"/>
              </w:rPr>
            </w:pPr>
          </w:p>
        </w:tc>
        <w:tc>
          <w:tcPr>
            <w:tcW w:w="5517" w:type="dxa"/>
            <w:gridSpan w:val="4"/>
            <w:noWrap w:val="0"/>
            <w:vAlign w:val="center"/>
          </w:tcPr>
          <w:p>
            <w:pPr>
              <w:widowControl/>
              <w:jc w:val="left"/>
              <w:rPr>
                <w:rFonts w:hint="eastAsia" w:ascii="宋体" w:hAnsi="宋体" w:cs="宋体"/>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3" w:hRule="atLeast"/>
          <w:jc w:val="center"/>
        </w:trPr>
        <w:tc>
          <w:tcPr>
            <w:tcW w:w="1686" w:type="dxa"/>
            <w:vMerge w:val="continue"/>
            <w:noWrap w:val="0"/>
            <w:vAlign w:val="center"/>
          </w:tcPr>
          <w:p>
            <w:pPr>
              <w:widowControl/>
              <w:jc w:val="left"/>
              <w:rPr>
                <w:rFonts w:hint="eastAsia" w:ascii="宋体" w:hAnsi="宋体" w:cs="宋体"/>
                <w:color w:val="000000"/>
                <w:kern w:val="0"/>
                <w:szCs w:val="21"/>
                <w:highlight w:val="none"/>
              </w:rPr>
            </w:pPr>
          </w:p>
        </w:tc>
        <w:tc>
          <w:tcPr>
            <w:tcW w:w="1857" w:type="dxa"/>
            <w:noWrap w:val="0"/>
            <w:vAlign w:val="center"/>
          </w:tcPr>
          <w:p>
            <w:pPr>
              <w:widowControl/>
              <w:jc w:val="center"/>
              <w:rPr>
                <w:rFonts w:hint="eastAsia" w:ascii="宋体" w:hAnsi="宋体" w:cs="宋体"/>
                <w:szCs w:val="21"/>
                <w:highlight w:val="none"/>
              </w:rPr>
            </w:pPr>
            <w:r>
              <w:rPr>
                <w:rFonts w:hint="eastAsia" w:ascii="宋体" w:hAnsi="宋体" w:cs="宋体"/>
                <w:szCs w:val="21"/>
                <w:highlight w:val="none"/>
              </w:rPr>
              <w:t>攻关水平</w:t>
            </w:r>
          </w:p>
          <w:p>
            <w:pPr>
              <w:pStyle w:val="3"/>
              <w:ind w:firstLine="210" w:firstLineChars="100"/>
              <w:rPr>
                <w:rFonts w:hint="eastAsia" w:ascii="宋体" w:hAnsi="宋体" w:cs="宋体"/>
                <w:szCs w:val="21"/>
                <w:highlight w:val="none"/>
              </w:rPr>
            </w:pPr>
            <w:r>
              <w:rPr>
                <w:rFonts w:hint="eastAsia" w:ascii="宋体" w:hAnsi="宋体" w:cs="宋体"/>
                <w:color w:val="000000"/>
                <w:szCs w:val="21"/>
                <w:highlight w:val="none"/>
              </w:rPr>
              <w:t>（可多选）</w:t>
            </w:r>
          </w:p>
        </w:tc>
        <w:tc>
          <w:tcPr>
            <w:tcW w:w="5517" w:type="dxa"/>
            <w:gridSpan w:val="4"/>
            <w:noWrap w:val="0"/>
            <w:vAlign w:val="center"/>
          </w:tcPr>
          <w:p>
            <w:pPr>
              <w:widowControl/>
              <w:jc w:val="left"/>
              <w:rPr>
                <w:rFonts w:hint="eastAsia" w:ascii="宋体" w:hAnsi="宋体" w:cs="宋体"/>
                <w:color w:val="000000"/>
                <w:kern w:val="0"/>
                <w:szCs w:val="21"/>
                <w:highlight w:val="none"/>
              </w:rPr>
            </w:pPr>
            <w:r>
              <w:rPr>
                <w:rFonts w:hint="eastAsia" w:ascii="宋体" w:hAnsi="宋体" w:cs="宋体"/>
                <w:color w:val="000000"/>
                <w:kern w:val="0"/>
                <w:szCs w:val="21"/>
                <w:highlight w:val="none"/>
              </w:rPr>
              <w:t>□</w:t>
            </w:r>
            <w:r>
              <w:rPr>
                <w:color w:val="000000"/>
                <w:kern w:val="0"/>
                <w:szCs w:val="21"/>
                <w:highlight w:val="none"/>
              </w:rPr>
              <w:t>1</w:t>
            </w:r>
            <w:r>
              <w:rPr>
                <w:rFonts w:hint="eastAsia" w:ascii="宋体" w:hAnsi="宋体" w:cs="宋体"/>
                <w:color w:val="000000"/>
                <w:kern w:val="0"/>
                <w:szCs w:val="21"/>
                <w:highlight w:val="none"/>
              </w:rPr>
              <w:t>.领跑（无人区）技术</w:t>
            </w:r>
            <w:r>
              <w:rPr>
                <w:rFonts w:hint="eastAsia" w:ascii="宋体" w:hAnsi="宋体" w:cs="宋体"/>
                <w:color w:val="000000"/>
                <w:kern w:val="0"/>
                <w:szCs w:val="21"/>
                <w:highlight w:val="none"/>
              </w:rPr>
              <w:br w:type="textWrapping"/>
            </w:r>
            <w:r>
              <w:rPr>
                <w:rFonts w:hint="eastAsia" w:ascii="宋体" w:hAnsi="宋体" w:cs="宋体"/>
                <w:color w:val="000000"/>
                <w:kern w:val="0"/>
                <w:szCs w:val="21"/>
                <w:highlight w:val="none"/>
              </w:rPr>
              <w:t>□</w:t>
            </w:r>
            <w:r>
              <w:rPr>
                <w:color w:val="000000"/>
                <w:kern w:val="0"/>
                <w:szCs w:val="21"/>
                <w:highlight w:val="none"/>
              </w:rPr>
              <w:t>2</w:t>
            </w:r>
            <w:r>
              <w:rPr>
                <w:rFonts w:hint="eastAsia" w:ascii="宋体" w:hAnsi="宋体" w:cs="宋体"/>
                <w:color w:val="000000"/>
                <w:kern w:val="0"/>
                <w:szCs w:val="21"/>
                <w:highlight w:val="none"/>
              </w:rPr>
              <w:t>.超过对标国际先进技术水平</w:t>
            </w:r>
            <w:r>
              <w:rPr>
                <w:rFonts w:hint="eastAsia" w:ascii="宋体" w:hAnsi="宋体" w:cs="宋体"/>
                <w:color w:val="000000"/>
                <w:kern w:val="0"/>
                <w:szCs w:val="21"/>
                <w:highlight w:val="none"/>
              </w:rPr>
              <w:br w:type="textWrapping"/>
            </w:r>
            <w:r>
              <w:rPr>
                <w:rFonts w:hint="eastAsia" w:ascii="宋体" w:hAnsi="宋体" w:cs="宋体"/>
                <w:color w:val="000000"/>
                <w:kern w:val="0"/>
                <w:szCs w:val="21"/>
                <w:highlight w:val="none"/>
              </w:rPr>
              <w:sym w:font="Wingdings 2" w:char="00A3"/>
            </w:r>
            <w:r>
              <w:rPr>
                <w:color w:val="000000"/>
                <w:kern w:val="0"/>
                <w:szCs w:val="21"/>
                <w:highlight w:val="none"/>
              </w:rPr>
              <w:t>3</w:t>
            </w:r>
            <w:r>
              <w:rPr>
                <w:rFonts w:hint="eastAsia" w:ascii="宋体" w:hAnsi="宋体" w:cs="宋体"/>
                <w:color w:val="000000"/>
                <w:kern w:val="0"/>
                <w:szCs w:val="21"/>
                <w:highlight w:val="none"/>
              </w:rPr>
              <w:t>.达到对标国际先进技术水平</w:t>
            </w:r>
            <w:r>
              <w:rPr>
                <w:rFonts w:hint="eastAsia" w:ascii="宋体" w:hAnsi="宋体" w:cs="宋体"/>
                <w:color w:val="000000"/>
                <w:kern w:val="0"/>
                <w:szCs w:val="21"/>
                <w:highlight w:val="none"/>
              </w:rPr>
              <w:br w:type="textWrapping"/>
            </w:r>
            <w:r>
              <w:rPr>
                <w:rFonts w:hint="eastAsia" w:ascii="宋体" w:hAnsi="宋体" w:cs="宋体"/>
                <w:color w:val="000000"/>
                <w:kern w:val="0"/>
                <w:szCs w:val="21"/>
                <w:highlight w:val="none"/>
              </w:rPr>
              <w:t>□</w:t>
            </w:r>
            <w:r>
              <w:rPr>
                <w:color w:val="000000"/>
                <w:kern w:val="0"/>
                <w:szCs w:val="21"/>
                <w:highlight w:val="none"/>
              </w:rPr>
              <w:t>4</w:t>
            </w:r>
            <w:r>
              <w:rPr>
                <w:rFonts w:hint="eastAsia" w:ascii="宋体" w:hAnsi="宋体" w:cs="宋体"/>
                <w:color w:val="000000"/>
                <w:kern w:val="0"/>
                <w:szCs w:val="21"/>
                <w:highlight w:val="none"/>
              </w:rPr>
              <w:t>.开发出国产化替代的产品形成批量生产能力</w:t>
            </w:r>
            <w:r>
              <w:rPr>
                <w:rFonts w:hint="eastAsia" w:ascii="宋体" w:hAnsi="宋体" w:cs="宋体"/>
                <w:color w:val="000000"/>
                <w:kern w:val="0"/>
                <w:szCs w:val="21"/>
                <w:highlight w:val="none"/>
              </w:rPr>
              <w:br w:type="textWrapping"/>
            </w:r>
            <w:r>
              <w:rPr>
                <w:rFonts w:hint="eastAsia" w:ascii="宋体" w:hAnsi="宋体" w:cs="宋体"/>
                <w:color w:val="000000"/>
                <w:kern w:val="0"/>
                <w:szCs w:val="21"/>
                <w:highlight w:val="none"/>
              </w:rPr>
              <w:sym w:font="Wingdings 2" w:char="00A3"/>
            </w:r>
            <w:r>
              <w:rPr>
                <w:color w:val="000000"/>
                <w:kern w:val="0"/>
                <w:szCs w:val="21"/>
                <w:highlight w:val="none"/>
              </w:rPr>
              <w:t>5</w:t>
            </w:r>
            <w:r>
              <w:rPr>
                <w:rFonts w:hint="eastAsia" w:ascii="宋体" w:hAnsi="宋体" w:cs="宋体"/>
                <w:color w:val="000000"/>
                <w:kern w:val="0"/>
                <w:szCs w:val="21"/>
                <w:highlight w:val="none"/>
              </w:rPr>
              <w:t>.开发出国产化替代的样品并实现应用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686" w:type="dxa"/>
            <w:vMerge w:val="restart"/>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可依托优势平台、人才团队情况</w:t>
            </w:r>
          </w:p>
        </w:tc>
        <w:tc>
          <w:tcPr>
            <w:tcW w:w="1857" w:type="dxa"/>
            <w:noWrap w:val="0"/>
            <w:vAlign w:val="center"/>
          </w:tcPr>
          <w:p>
            <w:pPr>
              <w:widowControl/>
              <w:jc w:val="center"/>
              <w:rPr>
                <w:rFonts w:hint="eastAsia" w:ascii="宋体" w:hAnsi="宋体" w:cs="宋体"/>
                <w:szCs w:val="21"/>
                <w:highlight w:val="none"/>
              </w:rPr>
            </w:pPr>
            <w:r>
              <w:rPr>
                <w:rFonts w:hint="eastAsia" w:ascii="宋体" w:hAnsi="宋体" w:cs="宋体"/>
                <w:color w:val="000000"/>
                <w:kern w:val="0"/>
                <w:szCs w:val="21"/>
                <w:highlight w:val="none"/>
              </w:rPr>
              <w:t>平台基地</w:t>
            </w:r>
          </w:p>
        </w:tc>
        <w:tc>
          <w:tcPr>
            <w:tcW w:w="1069" w:type="dxa"/>
            <w:noWrap w:val="0"/>
            <w:vAlign w:val="center"/>
          </w:tcPr>
          <w:p>
            <w:pPr>
              <w:keepNext w:val="0"/>
              <w:keepLines w:val="0"/>
              <w:widowControl/>
              <w:suppressLineNumbers w:val="0"/>
              <w:jc w:val="left"/>
              <w:rPr>
                <w:highlight w:val="none"/>
              </w:rPr>
            </w:pPr>
          </w:p>
          <w:p>
            <w:pPr>
              <w:adjustRightInd w:val="0"/>
              <w:snapToGrid w:val="0"/>
              <w:rPr>
                <w:rFonts w:hint="eastAsia" w:ascii="宋体" w:hAnsi="宋体" w:eastAsia="宋体" w:cs="宋体"/>
                <w:szCs w:val="21"/>
                <w:highlight w:val="none"/>
                <w:lang w:val="en-US" w:eastAsia="zh-CN"/>
              </w:rPr>
            </w:pPr>
          </w:p>
        </w:tc>
        <w:tc>
          <w:tcPr>
            <w:tcW w:w="1204" w:type="dxa"/>
            <w:noWrap w:val="0"/>
            <w:vAlign w:val="center"/>
          </w:tcPr>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□国家级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□部级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sym w:font="Wingdings 2" w:char="00A3"/>
            </w:r>
            <w:r>
              <w:rPr>
                <w:rFonts w:hint="eastAsia" w:ascii="宋体" w:hAnsi="宋体" w:cs="宋体"/>
                <w:color w:val="000000"/>
                <w:kern w:val="0"/>
                <w:szCs w:val="21"/>
                <w:highlight w:val="none"/>
              </w:rPr>
              <w:t>省级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□市级</w:t>
            </w:r>
          </w:p>
        </w:tc>
        <w:tc>
          <w:tcPr>
            <w:tcW w:w="1470" w:type="dxa"/>
            <w:noWrap w:val="0"/>
            <w:vAlign w:val="center"/>
          </w:tcPr>
          <w:p>
            <w:pPr>
              <w:widowControl/>
              <w:jc w:val="center"/>
              <w:rPr>
                <w:rFonts w:hint="eastAsia" w:ascii="宋体" w:hAnsi="宋体" w:cs="宋体"/>
                <w:szCs w:val="21"/>
                <w:highlight w:val="none"/>
              </w:rPr>
            </w:pPr>
            <w:r>
              <w:rPr>
                <w:rFonts w:hint="eastAsia" w:ascii="宋体" w:hAnsi="宋体" w:cs="宋体"/>
                <w:color w:val="000000"/>
                <w:kern w:val="0"/>
                <w:szCs w:val="21"/>
                <w:highlight w:val="none"/>
              </w:rPr>
              <w:t>认定单位</w:t>
            </w:r>
          </w:p>
        </w:tc>
        <w:tc>
          <w:tcPr>
            <w:tcW w:w="1774" w:type="dxa"/>
            <w:noWrap w:val="0"/>
            <w:vAlign w:val="center"/>
          </w:tcPr>
          <w:p>
            <w:pPr>
              <w:adjustRightInd w:val="0"/>
              <w:snapToGrid w:val="0"/>
              <w:rPr>
                <w:rFonts w:ascii="宋体" w:hAnsi="宋体" w:cs="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686" w:type="dxa"/>
            <w:vMerge w:val="continue"/>
            <w:noWrap w:val="0"/>
            <w:vAlign w:val="center"/>
          </w:tcPr>
          <w:p>
            <w:pPr>
              <w:widowControl/>
              <w:jc w:val="center"/>
              <w:rPr>
                <w:rFonts w:hint="eastAsia" w:ascii="宋体" w:hAnsi="宋体" w:cs="宋体"/>
                <w:color w:val="000000"/>
                <w:kern w:val="0"/>
                <w:szCs w:val="21"/>
                <w:highlight w:val="none"/>
              </w:rPr>
            </w:pPr>
          </w:p>
        </w:tc>
        <w:tc>
          <w:tcPr>
            <w:tcW w:w="1857"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人才团队</w:t>
            </w:r>
          </w:p>
        </w:tc>
        <w:tc>
          <w:tcPr>
            <w:tcW w:w="1069" w:type="dxa"/>
            <w:noWrap w:val="0"/>
            <w:vAlign w:val="center"/>
          </w:tcPr>
          <w:p>
            <w:pPr>
              <w:adjustRightInd w:val="0"/>
              <w:snapToGrid w:val="0"/>
              <w:rPr>
                <w:rFonts w:hint="eastAsia" w:ascii="宋体" w:hAnsi="宋体" w:cs="宋体"/>
                <w:szCs w:val="21"/>
                <w:highlight w:val="none"/>
              </w:rPr>
            </w:pPr>
          </w:p>
        </w:tc>
        <w:tc>
          <w:tcPr>
            <w:tcW w:w="1204" w:type="dxa"/>
            <w:noWrap w:val="0"/>
            <w:vAlign w:val="center"/>
          </w:tcPr>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□国家级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□部级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□省级</w:t>
            </w:r>
          </w:p>
          <w:p>
            <w:pPr>
              <w:adjustRightInd w:val="0"/>
              <w:snapToGrid w:val="0"/>
              <w:rPr>
                <w:rFonts w:hint="eastAsia" w:ascii="宋体" w:hAnsi="宋体" w:cs="宋体"/>
                <w:color w:val="000000"/>
                <w:kern w:val="0"/>
                <w:szCs w:val="21"/>
                <w:highlight w:val="none"/>
              </w:rPr>
            </w:pPr>
            <w:r>
              <w:rPr>
                <w:rFonts w:hint="eastAsia" w:ascii="宋体" w:hAnsi="宋体" w:cs="宋体"/>
                <w:color w:val="000000"/>
                <w:kern w:val="0"/>
                <w:szCs w:val="21"/>
                <w:highlight w:val="none"/>
              </w:rPr>
              <w:t>□市级</w:t>
            </w:r>
          </w:p>
        </w:tc>
        <w:tc>
          <w:tcPr>
            <w:tcW w:w="1470" w:type="dxa"/>
            <w:noWrap w:val="0"/>
            <w:vAlign w:val="center"/>
          </w:tcPr>
          <w:p>
            <w:pPr>
              <w:widowControl/>
              <w:jc w:val="center"/>
              <w:rPr>
                <w:rFonts w:hint="eastAsia" w:ascii="宋体" w:hAnsi="宋体" w:cs="宋体"/>
                <w:szCs w:val="21"/>
                <w:highlight w:val="none"/>
              </w:rPr>
            </w:pPr>
            <w:r>
              <w:rPr>
                <w:rFonts w:hint="eastAsia" w:ascii="宋体" w:hAnsi="宋体" w:cs="宋体"/>
                <w:color w:val="000000"/>
                <w:kern w:val="0"/>
                <w:szCs w:val="21"/>
                <w:highlight w:val="none"/>
              </w:rPr>
              <w:t>认定单位</w:t>
            </w:r>
          </w:p>
        </w:tc>
        <w:tc>
          <w:tcPr>
            <w:tcW w:w="1774" w:type="dxa"/>
            <w:noWrap w:val="0"/>
            <w:vAlign w:val="center"/>
          </w:tcPr>
          <w:p>
            <w:pPr>
              <w:adjustRightInd w:val="0"/>
              <w:snapToGrid w:val="0"/>
              <w:rPr>
                <w:rFonts w:hint="eastAsia" w:ascii="宋体" w:hAnsi="宋体" w:cs="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攻关时限</w:t>
            </w:r>
          </w:p>
        </w:tc>
        <w:tc>
          <w:tcPr>
            <w:tcW w:w="7374" w:type="dxa"/>
            <w:gridSpan w:val="5"/>
            <w:noWrap w:val="0"/>
            <w:vAlign w:val="center"/>
          </w:tcPr>
          <w:p>
            <w:pPr>
              <w:widowControl/>
              <w:jc w:val="left"/>
              <w:rPr>
                <w:rFonts w:hint="eastAsia" w:ascii="宋体" w:hAnsi="宋体" w:cs="宋体"/>
                <w:color w:val="000000"/>
                <w:kern w:val="0"/>
                <w:szCs w:val="21"/>
                <w:highlight w:val="none"/>
              </w:rPr>
            </w:pPr>
            <w:r>
              <w:rPr>
                <w:rFonts w:hint="eastAsia" w:ascii="宋体" w:hAnsi="宋体" w:cs="宋体"/>
                <w:color w:val="000000"/>
                <w:kern w:val="0"/>
                <w:szCs w:val="21"/>
                <w:highlight w:val="none"/>
              </w:rPr>
              <w:t>□</w:t>
            </w:r>
            <w:r>
              <w:rPr>
                <w:color w:val="000000"/>
                <w:kern w:val="0"/>
                <w:szCs w:val="21"/>
                <w:highlight w:val="none"/>
              </w:rPr>
              <w:t>1</w:t>
            </w:r>
            <w:r>
              <w:rPr>
                <w:rFonts w:hint="eastAsia" w:ascii="宋体" w:hAnsi="宋体" w:cs="宋体"/>
                <w:color w:val="000000"/>
                <w:kern w:val="0"/>
                <w:szCs w:val="21"/>
                <w:highlight w:val="none"/>
              </w:rPr>
              <w:t>年  □</w:t>
            </w:r>
            <w:r>
              <w:rPr>
                <w:color w:val="000000"/>
                <w:kern w:val="0"/>
                <w:szCs w:val="21"/>
                <w:highlight w:val="none"/>
              </w:rPr>
              <w:t>2</w:t>
            </w:r>
            <w:r>
              <w:rPr>
                <w:rFonts w:hint="eastAsia" w:ascii="宋体" w:hAnsi="宋体" w:cs="宋体"/>
                <w:color w:val="000000"/>
                <w:kern w:val="0"/>
                <w:szCs w:val="21"/>
                <w:highlight w:val="none"/>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预计研发总投入</w:t>
            </w:r>
          </w:p>
          <w:p>
            <w:pPr>
              <w:widowControl/>
              <w:jc w:val="center"/>
              <w:rPr>
                <w:rFonts w:hint="eastAsia" w:ascii="宋体" w:hAnsi="宋体" w:cs="宋体"/>
                <w:szCs w:val="21"/>
                <w:highlight w:val="none"/>
              </w:rPr>
            </w:pPr>
            <w:r>
              <w:rPr>
                <w:rFonts w:hint="eastAsia" w:ascii="宋体" w:hAnsi="宋体" w:cs="宋体"/>
                <w:color w:val="000000"/>
                <w:kern w:val="0"/>
                <w:szCs w:val="21"/>
                <w:highlight w:val="none"/>
              </w:rPr>
              <w:t>（万元）</w:t>
            </w:r>
          </w:p>
        </w:tc>
        <w:tc>
          <w:tcPr>
            <w:tcW w:w="7374" w:type="dxa"/>
            <w:gridSpan w:val="5"/>
            <w:noWrap w:val="0"/>
            <w:vAlign w:val="center"/>
          </w:tcPr>
          <w:p>
            <w:pPr>
              <w:adjustRightInd w:val="0"/>
              <w:snapToGrid w:val="0"/>
              <w:rPr>
                <w:rFonts w:hint="eastAsia" w:ascii="宋体" w:hAnsi="宋体" w:cs="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686" w:type="dxa"/>
            <w:noWrap w:val="0"/>
            <w:vAlign w:val="center"/>
          </w:tcPr>
          <w:p>
            <w:pPr>
              <w:widowControl/>
              <w:jc w:val="center"/>
              <w:rPr>
                <w:color w:val="000000"/>
                <w:kern w:val="0"/>
                <w:szCs w:val="21"/>
                <w:highlight w:val="none"/>
              </w:rPr>
            </w:pPr>
            <w:r>
              <w:rPr>
                <w:color w:val="000000"/>
                <w:kern w:val="0"/>
                <w:szCs w:val="21"/>
                <w:highlight w:val="none"/>
              </w:rPr>
              <w:t>攻关成果潜在的应用单位及联系方式</w:t>
            </w:r>
          </w:p>
          <w:p>
            <w:pPr>
              <w:widowControl/>
              <w:jc w:val="center"/>
              <w:rPr>
                <w:szCs w:val="21"/>
                <w:highlight w:val="none"/>
              </w:rPr>
            </w:pPr>
            <w:r>
              <w:rPr>
                <w:color w:val="000000"/>
                <w:kern w:val="0"/>
                <w:szCs w:val="21"/>
                <w:highlight w:val="none"/>
              </w:rPr>
              <w:t>（3家以上）</w:t>
            </w:r>
          </w:p>
        </w:tc>
        <w:tc>
          <w:tcPr>
            <w:tcW w:w="7374" w:type="dxa"/>
            <w:gridSpan w:val="5"/>
            <w:noWrap w:val="0"/>
            <w:vAlign w:val="center"/>
          </w:tcPr>
          <w:p>
            <w:pPr>
              <w:keepNext w:val="0"/>
              <w:keepLines w:val="0"/>
              <w:widowControl/>
              <w:suppressLineNumbers w:val="0"/>
              <w:jc w:val="left"/>
              <w:rPr>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推荐攻关优势单位</w:t>
            </w:r>
          </w:p>
        </w:tc>
        <w:tc>
          <w:tcPr>
            <w:tcW w:w="7374" w:type="dxa"/>
            <w:gridSpan w:val="5"/>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1686" w:type="dxa"/>
            <w:noWrap w:val="0"/>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填报单位（联系人、联系方式）</w:t>
            </w:r>
          </w:p>
        </w:tc>
        <w:tc>
          <w:tcPr>
            <w:tcW w:w="7374" w:type="dxa"/>
            <w:gridSpan w:val="5"/>
            <w:noWrap w:val="0"/>
            <w:vAlign w:val="center"/>
          </w:tcPr>
          <w:p>
            <w:pPr>
              <w:widowControl/>
              <w:jc w:val="left"/>
              <w:rPr>
                <w:rFonts w:hint="eastAsia" w:ascii="宋体" w:hAnsi="宋体" w:cs="宋体"/>
                <w:color w:val="000000"/>
                <w:kern w:val="0"/>
                <w:szCs w:val="21"/>
                <w:highlight w:val="none"/>
              </w:rPr>
            </w:pPr>
            <w:r>
              <w:rPr>
                <w:color w:val="000000"/>
                <w:kern w:val="0"/>
                <w:szCs w:val="21"/>
                <w:highlight w:val="none"/>
              </w:rPr>
              <w:t>单位：</w:t>
            </w:r>
            <w:r>
              <w:rPr>
                <w:color w:val="000000"/>
                <w:kern w:val="0"/>
                <w:szCs w:val="21"/>
                <w:highlight w:val="none"/>
                <w:u w:val="single"/>
              </w:rPr>
              <w:t xml:space="preserve"> </w:t>
            </w:r>
            <w:r>
              <w:rPr>
                <w:rFonts w:hint="eastAsia"/>
                <w:color w:val="000000"/>
                <w:kern w:val="0"/>
                <w:szCs w:val="21"/>
                <w:highlight w:val="none"/>
                <w:u w:val="single"/>
                <w:lang w:val="en-US" w:eastAsia="zh-CN"/>
              </w:rPr>
              <w:t xml:space="preserve"> </w:t>
            </w:r>
            <w:r>
              <w:rPr>
                <w:color w:val="000000"/>
                <w:kern w:val="0"/>
                <w:szCs w:val="21"/>
                <w:highlight w:val="none"/>
                <w:u w:val="single"/>
              </w:rPr>
              <w:t xml:space="preserve">  </w:t>
            </w:r>
            <w:r>
              <w:rPr>
                <w:color w:val="000000"/>
                <w:kern w:val="0"/>
                <w:szCs w:val="21"/>
                <w:highlight w:val="none"/>
              </w:rPr>
              <w:t xml:space="preserve"> 联系人：</w:t>
            </w:r>
            <w:r>
              <w:rPr>
                <w:color w:val="000000"/>
                <w:kern w:val="0"/>
                <w:szCs w:val="21"/>
                <w:highlight w:val="none"/>
                <w:u w:val="single"/>
              </w:rPr>
              <w:t xml:space="preserve"> </w:t>
            </w:r>
            <w:r>
              <w:rPr>
                <w:rFonts w:hint="eastAsia"/>
                <w:color w:val="000000"/>
                <w:kern w:val="0"/>
                <w:szCs w:val="21"/>
                <w:highlight w:val="none"/>
                <w:u w:val="single"/>
                <w:lang w:val="en-US" w:eastAsia="zh-CN"/>
              </w:rPr>
              <w:t xml:space="preserve">   </w:t>
            </w:r>
            <w:r>
              <w:rPr>
                <w:color w:val="000000"/>
                <w:kern w:val="0"/>
                <w:szCs w:val="21"/>
                <w:highlight w:val="none"/>
                <w:u w:val="single"/>
              </w:rPr>
              <w:t xml:space="preserve">  </w:t>
            </w:r>
            <w:r>
              <w:rPr>
                <w:color w:val="000000"/>
                <w:kern w:val="0"/>
                <w:szCs w:val="21"/>
                <w:highlight w:val="none"/>
              </w:rPr>
              <w:t>联系方式</w:t>
            </w:r>
            <w:r>
              <w:rPr>
                <w:color w:val="000000"/>
                <w:kern w:val="0"/>
                <w:szCs w:val="21"/>
                <w:highlight w:val="none"/>
                <w:u w:val="single"/>
              </w:rPr>
              <w:t xml:space="preserve"> </w:t>
            </w:r>
            <w:r>
              <w:rPr>
                <w:rFonts w:hint="eastAsia"/>
                <w:color w:val="000000"/>
                <w:kern w:val="0"/>
                <w:szCs w:val="21"/>
                <w:highlight w:val="none"/>
                <w:u w:val="single"/>
                <w:lang w:val="en-US" w:eastAsia="zh-CN"/>
              </w:rPr>
              <w:t xml:space="preserve">      </w:t>
            </w:r>
            <w:r>
              <w:rPr>
                <w:color w:val="000000"/>
                <w:kern w:val="0"/>
                <w:szCs w:val="21"/>
                <w:highlight w:val="none"/>
                <w:u w:val="single"/>
              </w:rPr>
              <w:t xml:space="preserve"> </w:t>
            </w:r>
          </w:p>
        </w:tc>
      </w:tr>
    </w:tbl>
    <w:p>
      <w:pPr>
        <w:rPr>
          <w:b/>
          <w:bCs/>
          <w:color w:val="auto"/>
          <w:spacing w:val="0"/>
          <w:w w:val="100"/>
          <w:position w:val="0"/>
          <w:highlight w:val="none"/>
        </w:rPr>
      </w:pPr>
      <w:r>
        <w:rPr>
          <w:b/>
          <w:bCs/>
          <w:color w:val="auto"/>
          <w:spacing w:val="0"/>
          <w:w w:val="100"/>
          <w:position w:val="0"/>
          <w:highlight w:val="none"/>
        </w:rPr>
        <w:br w:type="page"/>
      </w:r>
    </w:p>
    <w:p>
      <w:pPr>
        <w:pStyle w:val="17"/>
        <w:keepNext w:val="0"/>
        <w:keepLines w:val="0"/>
        <w:pageBreakBefore w:val="0"/>
        <w:widowControl w:val="0"/>
        <w:shd w:val="clear" w:color="auto" w:fill="auto"/>
        <w:kinsoku/>
        <w:wordWrap/>
        <w:overflowPunct/>
        <w:topLinePunct w:val="0"/>
        <w:autoSpaceDE/>
        <w:autoSpaceDN/>
        <w:bidi w:val="0"/>
        <w:adjustRightInd/>
        <w:snapToGrid/>
        <w:spacing w:before="0" w:after="0" w:line="560" w:lineRule="exact"/>
        <w:ind w:left="0" w:right="0" w:firstLine="0"/>
        <w:jc w:val="left"/>
        <w:textAlignment w:val="auto"/>
        <w:rPr>
          <w:rFonts w:hint="eastAsia" w:ascii="仿宋_GB2312" w:hAnsi="仿宋_GB2312" w:eastAsia="仿宋_GB2312" w:cs="仿宋_GB2312"/>
          <w:b w:val="0"/>
          <w:bCs w:val="0"/>
          <w:color w:val="auto"/>
          <w:spacing w:val="0"/>
          <w:w w:val="100"/>
          <w:position w:val="0"/>
          <w:sz w:val="32"/>
          <w:szCs w:val="32"/>
          <w:highlight w:val="none"/>
          <w:lang w:eastAsia="zh-CN"/>
        </w:rPr>
      </w:pPr>
      <w:r>
        <w:rPr>
          <w:rFonts w:hint="eastAsia" w:ascii="仿宋_GB2312" w:hAnsi="仿宋_GB2312" w:eastAsia="仿宋_GB2312" w:cs="仿宋_GB2312"/>
          <w:b w:val="0"/>
          <w:bCs w:val="0"/>
          <w:color w:val="auto"/>
          <w:spacing w:val="0"/>
          <w:w w:val="100"/>
          <w:position w:val="0"/>
          <w:sz w:val="32"/>
          <w:szCs w:val="32"/>
          <w:highlight w:val="none"/>
        </w:rPr>
        <w:t>附件2</w:t>
      </w:r>
      <w:r>
        <w:rPr>
          <w:rFonts w:hint="eastAsia" w:ascii="仿宋_GB2312" w:hAnsi="仿宋_GB2312" w:eastAsia="仿宋_GB2312" w:cs="仿宋_GB2312"/>
          <w:b w:val="0"/>
          <w:bCs w:val="0"/>
          <w:color w:val="auto"/>
          <w:spacing w:val="0"/>
          <w:w w:val="100"/>
          <w:position w:val="0"/>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公文小标宋" w:hAnsi="方正公文小标宋" w:eastAsia="方正公文小标宋" w:cs="方正公文小标宋"/>
          <w:b w:val="0"/>
          <w:bCs w:val="0"/>
          <w:highlight w:val="none"/>
          <w:lang w:val="en-US" w:eastAsia="zh-CN"/>
        </w:rPr>
      </w:pPr>
      <w:bookmarkStart w:id="1" w:name="bookmark23"/>
      <w:bookmarkStart w:id="2" w:name="bookmark21"/>
      <w:bookmarkStart w:id="3" w:name="bookmark22"/>
      <w:r>
        <w:rPr>
          <w:rFonts w:hint="eastAsia" w:ascii="方正公文小标宋" w:hAnsi="方正公文小标宋" w:eastAsia="方正公文小标宋" w:cs="方正公文小标宋"/>
          <w:b w:val="0"/>
          <w:bCs w:val="0"/>
          <w:color w:val="auto"/>
          <w:kern w:val="0"/>
          <w:sz w:val="44"/>
          <w:szCs w:val="44"/>
          <w:highlight w:val="none"/>
          <w:lang w:val="en-US" w:eastAsia="zh-CN" w:bidi="ar"/>
        </w:rPr>
        <w:t>永嘉县</w:t>
      </w:r>
      <w:bookmarkEnd w:id="1"/>
      <w:bookmarkEnd w:id="2"/>
      <w:bookmarkEnd w:id="3"/>
      <w:r>
        <w:rPr>
          <w:rFonts w:hint="eastAsia" w:ascii="方正公文小标宋" w:hAnsi="方正公文小标宋" w:eastAsia="方正公文小标宋" w:cs="方正公文小标宋"/>
          <w:b w:val="0"/>
          <w:bCs w:val="0"/>
          <w:color w:val="auto"/>
          <w:sz w:val="44"/>
          <w:szCs w:val="44"/>
          <w:highlight w:val="none"/>
          <w:lang w:val="en-US" w:eastAsia="zh-CN"/>
        </w:rPr>
        <w:t>泵阀产业关键技术协同攻关</w:t>
      </w:r>
      <w:r>
        <w:rPr>
          <w:rFonts w:hint="eastAsia" w:ascii="方正公文小标宋" w:hAnsi="方正公文小标宋" w:eastAsia="方正公文小标宋" w:cs="方正公文小标宋"/>
          <w:b w:val="0"/>
          <w:bCs w:val="0"/>
          <w:color w:val="auto"/>
          <w:sz w:val="44"/>
          <w:szCs w:val="44"/>
          <w:highlight w:val="none"/>
        </w:rPr>
        <w:t>项目</w:t>
      </w:r>
      <w:r>
        <w:rPr>
          <w:rFonts w:hint="eastAsia" w:ascii="方正公文小标宋" w:hAnsi="方正公文小标宋" w:eastAsia="方正公文小标宋" w:cs="方正公文小标宋"/>
          <w:b w:val="0"/>
          <w:bCs w:val="0"/>
          <w:color w:val="auto"/>
          <w:kern w:val="0"/>
          <w:sz w:val="44"/>
          <w:szCs w:val="44"/>
          <w:highlight w:val="none"/>
          <w:lang w:val="en-US" w:eastAsia="zh-CN" w:bidi="ar"/>
        </w:rPr>
        <w:t>基本评价指标（参考）</w:t>
      </w:r>
    </w:p>
    <w:tbl>
      <w:tblPr>
        <w:tblStyle w:val="10"/>
        <w:tblpPr w:leftFromText="180" w:rightFromText="180" w:vertAnchor="text" w:horzAnchor="page" w:tblpX="1615" w:tblpY="177"/>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0"/>
        <w:gridCol w:w="6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Align w:val="center"/>
          </w:tcPr>
          <w:p>
            <w:pPr>
              <w:pStyle w:val="19"/>
              <w:keepNext/>
              <w:keepLines/>
              <w:widowControl w:val="0"/>
              <w:shd w:val="clear"/>
              <w:bidi w:val="0"/>
              <w:spacing w:before="0" w:after="0" w:line="240" w:lineRule="auto"/>
              <w:ind w:right="0"/>
              <w:jc w:val="center"/>
              <w:rPr>
                <w:rFonts w:hint="eastAsia" w:ascii="仿宋" w:hAnsi="仿宋" w:eastAsia="仿宋" w:cs="仿宋"/>
                <w:b/>
                <w:bCs/>
                <w:color w:val="auto"/>
                <w:spacing w:val="0"/>
                <w:w w:val="100"/>
                <w:position w:val="0"/>
                <w:sz w:val="22"/>
                <w:szCs w:val="22"/>
                <w:highlight w:val="none"/>
                <w:vertAlign w:val="baseline"/>
                <w:lang w:val="en-US" w:eastAsia="zh-CN"/>
              </w:rPr>
            </w:pPr>
            <w:r>
              <w:rPr>
                <w:rFonts w:hint="eastAsia" w:ascii="仿宋" w:hAnsi="仿宋" w:eastAsia="仿宋" w:cs="仿宋"/>
                <w:b/>
                <w:bCs/>
                <w:color w:val="auto"/>
                <w:spacing w:val="0"/>
                <w:w w:val="100"/>
                <w:position w:val="0"/>
                <w:sz w:val="22"/>
                <w:szCs w:val="22"/>
                <w:highlight w:val="none"/>
                <w:vertAlign w:val="baseline"/>
                <w:lang w:val="en-US" w:eastAsia="zh-CN"/>
              </w:rPr>
              <w:t>指标</w:t>
            </w:r>
          </w:p>
        </w:tc>
        <w:tc>
          <w:tcPr>
            <w:tcW w:w="6562" w:type="dxa"/>
            <w:vAlign w:val="center"/>
          </w:tcPr>
          <w:p>
            <w:pPr>
              <w:pStyle w:val="19"/>
              <w:keepNext/>
              <w:keepLines/>
              <w:widowControl w:val="0"/>
              <w:shd w:val="clear"/>
              <w:bidi w:val="0"/>
              <w:spacing w:before="0" w:after="0" w:line="240" w:lineRule="auto"/>
              <w:ind w:right="0"/>
              <w:jc w:val="center"/>
              <w:rPr>
                <w:rFonts w:hint="eastAsia" w:ascii="仿宋" w:hAnsi="仿宋" w:eastAsia="仿宋" w:cs="仿宋"/>
                <w:b/>
                <w:bCs/>
                <w:color w:val="auto"/>
                <w:spacing w:val="0"/>
                <w:w w:val="100"/>
                <w:position w:val="0"/>
                <w:sz w:val="22"/>
                <w:szCs w:val="22"/>
                <w:highlight w:val="none"/>
                <w:vertAlign w:val="baseline"/>
                <w:lang w:val="en-US" w:eastAsia="zh-CN"/>
              </w:rPr>
            </w:pPr>
            <w:r>
              <w:rPr>
                <w:rFonts w:hint="eastAsia" w:ascii="仿宋" w:hAnsi="仿宋" w:eastAsia="仿宋" w:cs="仿宋"/>
                <w:b/>
                <w:bCs/>
                <w:color w:val="auto"/>
                <w:spacing w:val="0"/>
                <w:w w:val="100"/>
                <w:position w:val="0"/>
                <w:sz w:val="22"/>
                <w:szCs w:val="22"/>
                <w:highlight w:val="none"/>
                <w:vertAlign w:val="baseline"/>
                <w:lang w:val="en-US" w:eastAsia="zh-CN"/>
              </w:rPr>
              <w:t>评价内容及标准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restart"/>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技术水平（对比国际国内主要产品及技术参数指标）</w:t>
            </w:r>
            <w:r>
              <w:rPr>
                <w:rFonts w:hint="eastAsia" w:ascii="仿宋" w:hAnsi="仿宋" w:eastAsia="仿宋" w:cs="仿宋"/>
                <w:color w:val="auto"/>
                <w:spacing w:val="0"/>
                <w:w w:val="100"/>
                <w:position w:val="0"/>
                <w:sz w:val="21"/>
                <w:szCs w:val="21"/>
                <w:highlight w:val="none"/>
                <w:vertAlign w:val="baseline"/>
                <w:lang w:val="en-US" w:eastAsia="zh-CN"/>
              </w:rPr>
              <w:br w:type="textWrapping"/>
            </w:r>
            <w:r>
              <w:rPr>
                <w:rFonts w:hint="eastAsia" w:ascii="仿宋" w:hAnsi="仿宋" w:eastAsia="仿宋" w:cs="仿宋"/>
                <w:color w:val="auto"/>
                <w:spacing w:val="0"/>
                <w:w w:val="100"/>
                <w:position w:val="0"/>
                <w:sz w:val="21"/>
                <w:szCs w:val="21"/>
                <w:highlight w:val="none"/>
                <w:vertAlign w:val="baseline"/>
                <w:lang w:val="en-US" w:eastAsia="zh-CN"/>
              </w:rPr>
              <w:t>（分值40分）</w:t>
            </w: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高：前沿性技术、颠覆性技术、国际国内首创或国际国内领先（35-40分）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较高：产业关键共性技术“卡脖子”问题（25-34分）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中：产业关键共性技术，非“卡脖子”问题（10-24分）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低：常规技术（0-9分）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restart"/>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成果形式</w:t>
            </w:r>
            <w:r>
              <w:rPr>
                <w:rFonts w:hint="eastAsia" w:ascii="仿宋" w:hAnsi="仿宋" w:eastAsia="仿宋" w:cs="仿宋"/>
                <w:color w:val="auto"/>
                <w:spacing w:val="0"/>
                <w:w w:val="100"/>
                <w:position w:val="0"/>
                <w:sz w:val="21"/>
                <w:szCs w:val="21"/>
                <w:highlight w:val="none"/>
                <w:vertAlign w:val="baseline"/>
                <w:lang w:val="en-US" w:eastAsia="zh-CN"/>
              </w:rPr>
              <w:br w:type="textWrapping"/>
            </w:r>
            <w:r>
              <w:rPr>
                <w:rFonts w:hint="eastAsia" w:ascii="仿宋" w:hAnsi="仿宋" w:eastAsia="仿宋" w:cs="仿宋"/>
                <w:color w:val="auto"/>
                <w:spacing w:val="0"/>
                <w:w w:val="100"/>
                <w:position w:val="0"/>
                <w:sz w:val="21"/>
                <w:szCs w:val="21"/>
                <w:highlight w:val="none"/>
                <w:vertAlign w:val="baseline"/>
                <w:lang w:val="en-US" w:eastAsia="zh-CN"/>
              </w:rPr>
              <w:t>（分值20分）</w:t>
            </w: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有独立成套（件）的关键产品设备及核心元器件（15-20分）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关键新材料、新工艺成套系统或应用软件（0-14分）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restart"/>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市场前景</w:t>
            </w:r>
            <w:r>
              <w:rPr>
                <w:rFonts w:hint="eastAsia" w:ascii="仿宋" w:hAnsi="仿宋" w:eastAsia="仿宋" w:cs="仿宋"/>
                <w:color w:val="auto"/>
                <w:spacing w:val="0"/>
                <w:w w:val="100"/>
                <w:position w:val="0"/>
                <w:sz w:val="21"/>
                <w:szCs w:val="21"/>
                <w:highlight w:val="none"/>
                <w:vertAlign w:val="baseline"/>
                <w:lang w:val="en-US" w:eastAsia="zh-CN"/>
              </w:rPr>
              <w:br w:type="textWrapping"/>
            </w:r>
            <w:r>
              <w:rPr>
                <w:rFonts w:hint="eastAsia" w:ascii="仿宋" w:hAnsi="仿宋" w:eastAsia="仿宋" w:cs="仿宋"/>
                <w:color w:val="auto"/>
                <w:spacing w:val="0"/>
                <w:w w:val="100"/>
                <w:position w:val="0"/>
                <w:sz w:val="21"/>
                <w:szCs w:val="21"/>
                <w:highlight w:val="none"/>
                <w:vertAlign w:val="baseline"/>
                <w:lang w:val="en-US" w:eastAsia="zh-CN"/>
              </w:rPr>
              <w:t>（分值20分）</w:t>
            </w: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高：有重大产业化价值，市场容量巨大，规模化生产和常态化应用前景非常广阔，且能率先在我县就地应用（15-20分）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中：有较强产业化价值，市场容量较大，规模化生产和常态化应用前景较为广阔，能在我县就地应用（10-14分）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低：有一定产业化价值，在部分产业领域有一定的规模化生产和常态化应用前景（0-9分）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restart"/>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企业配套能力</w:t>
            </w:r>
            <w:r>
              <w:rPr>
                <w:rFonts w:hint="eastAsia" w:ascii="仿宋" w:hAnsi="仿宋" w:eastAsia="仿宋" w:cs="仿宋"/>
                <w:color w:val="auto"/>
                <w:spacing w:val="0"/>
                <w:w w:val="100"/>
                <w:position w:val="0"/>
                <w:sz w:val="21"/>
                <w:szCs w:val="21"/>
                <w:highlight w:val="none"/>
                <w:vertAlign w:val="baseline"/>
                <w:lang w:val="en-US" w:eastAsia="zh-CN"/>
              </w:rPr>
              <w:br w:type="textWrapping"/>
            </w:r>
            <w:r>
              <w:rPr>
                <w:rFonts w:hint="eastAsia" w:ascii="仿宋" w:hAnsi="仿宋" w:eastAsia="仿宋" w:cs="仿宋"/>
                <w:color w:val="auto"/>
                <w:spacing w:val="0"/>
                <w:w w:val="100"/>
                <w:position w:val="0"/>
                <w:sz w:val="21"/>
                <w:szCs w:val="21"/>
                <w:highlight w:val="none"/>
                <w:vertAlign w:val="baseline"/>
                <w:lang w:val="en-US" w:eastAsia="zh-CN"/>
              </w:rPr>
              <w:t>（分值20分）</w:t>
            </w: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高：企业经营状况优异，研发投入资金充裕，高度匹配项目研发工作（15-20分）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中：企业经营状况良好，有较大研发投入资金，较好匹配项目研发工作（10-14分）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Merge w:val="continue"/>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eastAsia" w:ascii="仿宋" w:hAnsi="仿宋" w:eastAsia="仿宋" w:cs="仿宋"/>
                <w:color w:val="auto"/>
                <w:spacing w:val="0"/>
                <w:w w:val="100"/>
                <w:position w:val="0"/>
                <w:sz w:val="21"/>
                <w:szCs w:val="21"/>
                <w:highlight w:val="none"/>
                <w:vertAlign w:val="baseline"/>
                <w:lang w:val="en-US" w:eastAsia="zh-CN"/>
              </w:rPr>
            </w:pP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eastAsia"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低：企业经营状况一般，有一定研发投入资金，与项目研发工作有一定匹配度（0-9分）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960"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center"/>
              <w:textAlignment w:val="auto"/>
              <w:rPr>
                <w:rFonts w:hint="default"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加分项</w:t>
            </w:r>
            <w:r>
              <w:rPr>
                <w:rFonts w:hint="eastAsia" w:ascii="仿宋" w:hAnsi="仿宋" w:eastAsia="仿宋" w:cs="仿宋"/>
                <w:color w:val="auto"/>
                <w:spacing w:val="0"/>
                <w:w w:val="100"/>
                <w:position w:val="0"/>
                <w:sz w:val="21"/>
                <w:szCs w:val="21"/>
                <w:highlight w:val="none"/>
                <w:vertAlign w:val="baseline"/>
                <w:lang w:val="en-US" w:eastAsia="zh-CN"/>
              </w:rPr>
              <w:br w:type="textWrapping"/>
            </w:r>
            <w:r>
              <w:rPr>
                <w:rFonts w:hint="eastAsia" w:ascii="仿宋" w:hAnsi="仿宋" w:eastAsia="仿宋" w:cs="仿宋"/>
                <w:color w:val="auto"/>
                <w:spacing w:val="0"/>
                <w:w w:val="100"/>
                <w:position w:val="0"/>
                <w:sz w:val="21"/>
                <w:szCs w:val="21"/>
                <w:highlight w:val="none"/>
                <w:vertAlign w:val="baseline"/>
                <w:lang w:val="en-US" w:eastAsia="zh-CN"/>
              </w:rPr>
              <w:t>（分值10分）</w:t>
            </w:r>
          </w:p>
        </w:tc>
        <w:tc>
          <w:tcPr>
            <w:tcW w:w="6562" w:type="dxa"/>
            <w:vAlign w:val="center"/>
          </w:tcPr>
          <w:p>
            <w:pPr>
              <w:pStyle w:val="19"/>
              <w:keepNext/>
              <w:keepLines/>
              <w:pageBreakBefore w:val="0"/>
              <w:widowControl w:val="0"/>
              <w:shd w:val="clear"/>
              <w:kinsoku/>
              <w:wordWrap/>
              <w:overflowPunct/>
              <w:topLinePunct w:val="0"/>
              <w:autoSpaceDE/>
              <w:autoSpaceDN/>
              <w:bidi w:val="0"/>
              <w:adjustRightInd/>
              <w:snapToGrid/>
              <w:spacing w:before="0" w:after="0" w:line="420" w:lineRule="exact"/>
              <w:ind w:right="0"/>
              <w:jc w:val="left"/>
              <w:textAlignment w:val="auto"/>
              <w:rPr>
                <w:rFonts w:hint="default" w:ascii="仿宋" w:hAnsi="仿宋" w:eastAsia="仿宋" w:cs="仿宋"/>
                <w:color w:val="auto"/>
                <w:spacing w:val="0"/>
                <w:w w:val="100"/>
                <w:position w:val="0"/>
                <w:sz w:val="21"/>
                <w:szCs w:val="21"/>
                <w:highlight w:val="none"/>
                <w:vertAlign w:val="baseline"/>
                <w:lang w:val="en-US" w:eastAsia="zh-CN"/>
              </w:rPr>
            </w:pPr>
            <w:r>
              <w:rPr>
                <w:rFonts w:hint="eastAsia" w:ascii="仿宋" w:hAnsi="仿宋" w:eastAsia="仿宋" w:cs="仿宋"/>
                <w:color w:val="auto"/>
                <w:spacing w:val="0"/>
                <w:w w:val="100"/>
                <w:position w:val="0"/>
                <w:sz w:val="21"/>
                <w:szCs w:val="21"/>
                <w:highlight w:val="none"/>
                <w:vertAlign w:val="baseline"/>
                <w:lang w:val="en-US" w:eastAsia="zh-CN"/>
              </w:rPr>
              <w:t>“科技特派团”</w:t>
            </w:r>
            <w:r>
              <w:rPr>
                <w:rFonts w:hint="eastAsia" w:ascii="仿宋" w:hAnsi="仿宋" w:eastAsia="仿宋" w:cs="仿宋"/>
                <w:color w:val="auto"/>
                <w:spacing w:val="0"/>
                <w:w w:val="100"/>
                <w:position w:val="0"/>
                <w:sz w:val="21"/>
                <w:szCs w:val="21"/>
                <w:highlight w:val="none"/>
                <w:vertAlign w:val="baseline"/>
                <w:lang w:eastAsia="zh-CN"/>
              </w:rPr>
              <w:t>或</w:t>
            </w:r>
            <w:r>
              <w:rPr>
                <w:rFonts w:hint="eastAsia" w:ascii="仿宋" w:hAnsi="仿宋" w:eastAsia="仿宋" w:cs="仿宋"/>
                <w:color w:val="auto"/>
                <w:spacing w:val="0"/>
                <w:w w:val="100"/>
                <w:position w:val="0"/>
                <w:sz w:val="21"/>
                <w:szCs w:val="21"/>
                <w:highlight w:val="none"/>
                <w:vertAlign w:val="baseline"/>
                <w:lang w:val="en-US" w:eastAsia="zh-CN"/>
              </w:rPr>
              <w:t>“科技副总”参与项目（4分），上年度研发经费占比大于4%企业（3分），重大创新平台载体</w:t>
            </w:r>
            <w:r>
              <w:rPr>
                <w:rFonts w:hint="eastAsia" w:ascii="仿宋" w:hAnsi="仿宋" w:eastAsia="仿宋" w:cs="仿宋"/>
                <w:color w:val="auto"/>
                <w:spacing w:val="0"/>
                <w:w w:val="100"/>
                <w:position w:val="0"/>
                <w:sz w:val="21"/>
                <w:szCs w:val="21"/>
                <w:highlight w:val="none"/>
                <w:u w:val="single"/>
                <w:vertAlign w:val="baseline"/>
                <w:lang w:val="en-US" w:eastAsia="zh-CN"/>
              </w:rPr>
              <w:t>、</w:t>
            </w:r>
            <w:r>
              <w:rPr>
                <w:rFonts w:hint="eastAsia" w:ascii="仿宋" w:hAnsi="仿宋" w:eastAsia="仿宋" w:cs="仿宋"/>
                <w:color w:val="auto"/>
                <w:spacing w:val="0"/>
                <w:w w:val="100"/>
                <w:position w:val="0"/>
                <w:sz w:val="21"/>
                <w:szCs w:val="21"/>
                <w:highlight w:val="none"/>
                <w:vertAlign w:val="baseline"/>
                <w:lang w:val="en-US" w:eastAsia="zh-CN"/>
              </w:rPr>
              <w:t>高层次人才团队的依托单位牵头开展研发攻关的项目（3分）</w:t>
            </w:r>
          </w:p>
        </w:tc>
      </w:tr>
    </w:tbl>
    <w:p>
      <w:pPr>
        <w:rPr>
          <w:rFonts w:hint="default"/>
          <w:highlight w:val="none"/>
          <w:lang w:val="en-US" w:eastAsia="zh-CN"/>
        </w:rPr>
      </w:pPr>
    </w:p>
    <w:sectPr>
      <w:footerReference r:id="rId3" w:type="default"/>
      <w:pgSz w:w="11906" w:h="16838"/>
      <w:pgMar w:top="2098" w:right="1474" w:bottom="1985" w:left="158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roman"/>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Kalinga">
    <w:altName w:val="Noto Sans"/>
    <w:panose1 w:val="020B0502040204020203"/>
    <w:charset w:val="00"/>
    <w:family w:val="auto"/>
    <w:pitch w:val="default"/>
    <w:sig w:usb0="00000000" w:usb1="00000000" w:usb2="00000000" w:usb3="00000000" w:csb0="00000001" w:csb1="00000000"/>
  </w:font>
  <w:font w:name="Noto Sans">
    <w:panose1 w:val="020B0502040504020204"/>
    <w:charset w:val="00"/>
    <w:family w:val="auto"/>
    <w:pitch w:val="default"/>
    <w:sig w:usb0="E00002FF" w:usb1="00000000" w:usb2="00000000" w:usb3="00000000" w:csb0="2000019F" w:csb1="DFD70000"/>
  </w:font>
  <w:font w:name="仿宋_GB2312">
    <w:panose1 w:val="02010609030101010101"/>
    <w:charset w:val="86"/>
    <w:family w:val="modern"/>
    <w:pitch w:val="default"/>
    <w:sig w:usb0="00000001" w:usb1="080E0000" w:usb2="00000000" w:usb3="00000000" w:csb0="00040000" w:csb1="00000000"/>
  </w:font>
  <w:font w:name="方正公文小标宋">
    <w:altName w:val="方正小标宋简体"/>
    <w:panose1 w:val="02000500000000000000"/>
    <w:charset w:val="86"/>
    <w:family w:val="auto"/>
    <w:pitch w:val="default"/>
    <w:sig w:usb0="00000000" w:usb1="00000000"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- 1 -</w:t>
    </w:r>
    <w:r>
      <w:rPr>
        <w:rStyle w:val="12"/>
      </w:rPr>
      <w:fldChar w:fldCharType="end"/>
    </w:r>
  </w:p>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ACCBF"/>
    <w:multiLevelType w:val="singleLevel"/>
    <w:tmpl w:val="49DACCBF"/>
    <w:lvl w:ilvl="0" w:tentative="0">
      <w:start w:val="1"/>
      <w:numFmt w:val="chineseCounting"/>
      <w:suff w:val="nothing"/>
      <w:lvlText w:val="（%1）"/>
      <w:lvlJc w:val="left"/>
      <w:rPr>
        <w:rFonts w:hint="eastAsia" w:ascii="楷体_GB2312" w:hAnsi="楷体_GB2312" w:eastAsia="楷体_GB2312" w:cs="楷体_GB2312"/>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5"/>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5MjI4ZDIxMGE2Njk4MjYyMjdkM2QxZmZlZWJmZTEifQ=="/>
  </w:docVars>
  <w:rsids>
    <w:rsidRoot w:val="009B1E96"/>
    <w:rsid w:val="001840F5"/>
    <w:rsid w:val="00523EB0"/>
    <w:rsid w:val="00541A59"/>
    <w:rsid w:val="006806B2"/>
    <w:rsid w:val="009B1E96"/>
    <w:rsid w:val="00B35BF0"/>
    <w:rsid w:val="00BB6108"/>
    <w:rsid w:val="00D220B8"/>
    <w:rsid w:val="00D46819"/>
    <w:rsid w:val="00D551DF"/>
    <w:rsid w:val="00EC586A"/>
    <w:rsid w:val="01771C5C"/>
    <w:rsid w:val="01F23506"/>
    <w:rsid w:val="01FF79A6"/>
    <w:rsid w:val="02711F0E"/>
    <w:rsid w:val="03B062ED"/>
    <w:rsid w:val="056B1CF7"/>
    <w:rsid w:val="063C0C97"/>
    <w:rsid w:val="08B82D1E"/>
    <w:rsid w:val="096A04BC"/>
    <w:rsid w:val="0AEB64C2"/>
    <w:rsid w:val="0B3A5C6C"/>
    <w:rsid w:val="0C084221"/>
    <w:rsid w:val="0C2801BA"/>
    <w:rsid w:val="11FE302F"/>
    <w:rsid w:val="143F3EA3"/>
    <w:rsid w:val="1790108E"/>
    <w:rsid w:val="19B68DC8"/>
    <w:rsid w:val="1CC553D4"/>
    <w:rsid w:val="1EED11DB"/>
    <w:rsid w:val="20FC2C2D"/>
    <w:rsid w:val="224A3310"/>
    <w:rsid w:val="23A87FEA"/>
    <w:rsid w:val="2473124C"/>
    <w:rsid w:val="261B75E1"/>
    <w:rsid w:val="29C55639"/>
    <w:rsid w:val="2C8F1551"/>
    <w:rsid w:val="315A7C08"/>
    <w:rsid w:val="323E7977"/>
    <w:rsid w:val="33AB1695"/>
    <w:rsid w:val="35BFEDDC"/>
    <w:rsid w:val="35EF0BF9"/>
    <w:rsid w:val="37454D46"/>
    <w:rsid w:val="37F4D550"/>
    <w:rsid w:val="38514471"/>
    <w:rsid w:val="39AE1450"/>
    <w:rsid w:val="3BEB969F"/>
    <w:rsid w:val="3FB6BB6E"/>
    <w:rsid w:val="3FC0DA56"/>
    <w:rsid w:val="3FD17C46"/>
    <w:rsid w:val="3FFFA0D7"/>
    <w:rsid w:val="40154958"/>
    <w:rsid w:val="4511790F"/>
    <w:rsid w:val="465725F8"/>
    <w:rsid w:val="514B0969"/>
    <w:rsid w:val="52661111"/>
    <w:rsid w:val="53690469"/>
    <w:rsid w:val="56123767"/>
    <w:rsid w:val="57AFAA1B"/>
    <w:rsid w:val="57E00F16"/>
    <w:rsid w:val="5B2E4D4E"/>
    <w:rsid w:val="5FBC2339"/>
    <w:rsid w:val="652C12F7"/>
    <w:rsid w:val="65C578E9"/>
    <w:rsid w:val="6BB0623B"/>
    <w:rsid w:val="6DBDCFC0"/>
    <w:rsid w:val="6F1D5624"/>
    <w:rsid w:val="6F7EFF49"/>
    <w:rsid w:val="73CF40BA"/>
    <w:rsid w:val="790189FE"/>
    <w:rsid w:val="79F454D4"/>
    <w:rsid w:val="7BC70152"/>
    <w:rsid w:val="7CFEA2F8"/>
    <w:rsid w:val="7CFF8D17"/>
    <w:rsid w:val="7E09690A"/>
    <w:rsid w:val="7E976981"/>
    <w:rsid w:val="7ED29D19"/>
    <w:rsid w:val="7EFF0DCE"/>
    <w:rsid w:val="7FBC3161"/>
    <w:rsid w:val="7FDE091A"/>
    <w:rsid w:val="7FE14BF4"/>
    <w:rsid w:val="7FE328E1"/>
    <w:rsid w:val="B3FF7772"/>
    <w:rsid w:val="B9E64A02"/>
    <w:rsid w:val="BDD7AFA9"/>
    <w:rsid w:val="BDEFF9AE"/>
    <w:rsid w:val="BF273BAC"/>
    <w:rsid w:val="BF7E85D1"/>
    <w:rsid w:val="BFFFBB1B"/>
    <w:rsid w:val="CBDF1602"/>
    <w:rsid w:val="CFE94F71"/>
    <w:rsid w:val="DFF1A944"/>
    <w:rsid w:val="EBFFAAFD"/>
    <w:rsid w:val="F1E3E179"/>
    <w:rsid w:val="F4936F6A"/>
    <w:rsid w:val="F5ED6B43"/>
    <w:rsid w:val="F5FFA101"/>
    <w:rsid w:val="F6EB7809"/>
    <w:rsid w:val="F97BB7A8"/>
    <w:rsid w:val="FABFE6C9"/>
    <w:rsid w:val="FDFF886F"/>
    <w:rsid w:val="FFDE6AD8"/>
    <w:rsid w:val="FFFE7FB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1"/>
      <w:lang w:val="en-US" w:eastAsia="zh-CN" w:bidi="ar-SA"/>
    </w:rPr>
  </w:style>
  <w:style w:type="paragraph" w:styleId="5">
    <w:name w:val="heading 1"/>
    <w:basedOn w:val="1"/>
    <w:next w:val="1"/>
    <w:qFormat/>
    <w:uiPriority w:val="9"/>
    <w:pPr>
      <w:keepNext/>
      <w:keepLines/>
      <w:spacing w:before="340" w:beforeLines="0" w:beforeAutospacing="0" w:after="330" w:afterLines="0" w:afterAutospacing="0" w:line="576" w:lineRule="auto"/>
      <w:outlineLvl w:val="0"/>
    </w:pPr>
    <w:rPr>
      <w:rFonts w:hint="eastAsia" w:ascii="方正小标宋_GBK" w:hAnsi="方正小标宋_GBK" w:eastAsia="方正小标宋_GBK" w:cs="方正小标宋_GBK"/>
      <w:color w:val="000000"/>
      <w:kern w:val="44"/>
      <w:sz w:val="4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customStyle="1" w:styleId="2">
    <w:name w:val="Body Text First Indent1"/>
    <w:basedOn w:val="3"/>
    <w:qFormat/>
    <w:uiPriority w:val="0"/>
    <w:pPr>
      <w:ind w:firstLine="420" w:firstLineChars="100"/>
    </w:pPr>
    <w:rPr>
      <w:rFonts w:ascii="Times New Roman" w:hAnsi="Times New Roman" w:cs="Times New Roman"/>
    </w:rPr>
  </w:style>
  <w:style w:type="paragraph" w:styleId="3">
    <w:name w:val="Body Text"/>
    <w:basedOn w:val="1"/>
    <w:next w:val="4"/>
    <w:qFormat/>
    <w:uiPriority w:val="0"/>
    <w:pPr>
      <w:spacing w:after="120"/>
    </w:pPr>
  </w:style>
  <w:style w:type="paragraph" w:customStyle="1" w:styleId="4">
    <w:name w:val="正文文本首行缩进1"/>
    <w:basedOn w:val="3"/>
    <w:qFormat/>
    <w:uiPriority w:val="0"/>
    <w:pPr>
      <w:spacing w:line="500" w:lineRule="exact"/>
      <w:ind w:firstLine="420"/>
    </w:pPr>
    <w:rPr>
      <w:rFonts w:hAnsi="Kalinga"/>
      <w:sz w:val="2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Normal (Web)"/>
    <w:basedOn w:val="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kern w:val="2"/>
      <w:sz w:val="24"/>
      <w:szCs w:val="24"/>
      <w:lang w:val="en-US" w:eastAsia="zh-CN" w:bidi="ar"/>
    </w:rPr>
  </w:style>
  <w:style w:type="paragraph" w:styleId="8">
    <w:name w:val="Body Text First Indent"/>
    <w:basedOn w:val="3"/>
    <w:next w:val="1"/>
    <w:qFormat/>
    <w:uiPriority w:val="0"/>
    <w:pPr>
      <w:ind w:firstLine="100" w:firstLineChars="1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paragraph" w:customStyle="1" w:styleId="15">
    <w:name w:val="Body Text First Indent"/>
    <w:basedOn w:val="3"/>
    <w:next w:val="1"/>
    <w:qFormat/>
    <w:uiPriority w:val="0"/>
    <w:pPr>
      <w:spacing w:after="0"/>
      <w:ind w:firstLine="420" w:firstLineChars="100"/>
      <w:jc w:val="center"/>
    </w:pPr>
    <w:rPr>
      <w:rFonts w:ascii="仿宋_GB2312" w:hAnsi="仿宋_GB2312" w:eastAsia="仿宋_GB2312" w:cs="Times New Roman"/>
      <w:kern w:val="0"/>
      <w:sz w:val="32"/>
      <w:szCs w:val="32"/>
      <w:lang w:eastAsia="en-US"/>
    </w:rPr>
  </w:style>
  <w:style w:type="paragraph" w:customStyle="1" w:styleId="16">
    <w:name w:val="Body text|2"/>
    <w:basedOn w:val="1"/>
    <w:qFormat/>
    <w:uiPriority w:val="0"/>
    <w:pPr>
      <w:keepNext w:val="0"/>
      <w:keepLines w:val="0"/>
      <w:widowControl w:val="0"/>
      <w:spacing w:before="0" w:after="560" w:afterAutospacing="0"/>
      <w:jc w:val="center"/>
    </w:pPr>
    <w:rPr>
      <w:rFonts w:ascii="宋体" w:hAnsi="宋体" w:eastAsia="宋体" w:cs="宋体"/>
      <w:color w:val="000000"/>
      <w:kern w:val="0"/>
      <w:sz w:val="42"/>
      <w:szCs w:val="42"/>
      <w:lang w:val="en-US" w:eastAsia="zh-CN" w:bidi="ar"/>
    </w:rPr>
  </w:style>
  <w:style w:type="paragraph" w:customStyle="1" w:styleId="17">
    <w:name w:val="Body text|1"/>
    <w:basedOn w:val="1"/>
    <w:qFormat/>
    <w:uiPriority w:val="0"/>
    <w:pPr>
      <w:keepNext w:val="0"/>
      <w:keepLines w:val="0"/>
      <w:widowControl w:val="0"/>
      <w:spacing w:before="0" w:after="260" w:afterAutospacing="0"/>
      <w:jc w:val="left"/>
    </w:pPr>
    <w:rPr>
      <w:rFonts w:ascii="宋体" w:hAnsi="宋体" w:eastAsia="宋体" w:cs="宋体"/>
      <w:color w:val="000000"/>
      <w:kern w:val="0"/>
      <w:sz w:val="28"/>
      <w:szCs w:val="28"/>
      <w:lang w:val="en-US" w:eastAsia="zh-CN" w:bidi="ar"/>
    </w:rPr>
  </w:style>
  <w:style w:type="paragraph" w:customStyle="1" w:styleId="18">
    <w:name w:val="Other|1"/>
    <w:basedOn w:val="1"/>
    <w:qFormat/>
    <w:uiPriority w:val="0"/>
    <w:pPr>
      <w:widowControl w:val="0"/>
      <w:shd w:val="clear" w:color="auto" w:fill="auto"/>
      <w:spacing w:line="425" w:lineRule="auto"/>
      <w:ind w:firstLine="400"/>
    </w:pPr>
    <w:rPr>
      <w:rFonts w:ascii="宋体" w:hAnsi="宋体" w:eastAsia="宋体" w:cs="宋体"/>
      <w:sz w:val="28"/>
      <w:szCs w:val="28"/>
      <w:u w:val="none"/>
      <w:shd w:val="clear" w:color="auto" w:fill="auto"/>
      <w:lang w:val="zh-TW" w:eastAsia="zh-TW" w:bidi="zh-TW"/>
    </w:rPr>
  </w:style>
  <w:style w:type="paragraph" w:customStyle="1" w:styleId="19">
    <w:name w:val="Heading #2|1"/>
    <w:basedOn w:val="1"/>
    <w:qFormat/>
    <w:uiPriority w:val="0"/>
    <w:pPr>
      <w:widowControl w:val="0"/>
      <w:shd w:val="clear" w:color="auto" w:fill="auto"/>
      <w:spacing w:after="510" w:line="576" w:lineRule="exact"/>
      <w:jc w:val="center"/>
      <w:outlineLvl w:val="1"/>
    </w:pPr>
    <w:rPr>
      <w:rFonts w:ascii="宋体" w:hAnsi="宋体" w:eastAsia="宋体" w:cs="宋体"/>
      <w:sz w:val="40"/>
      <w:szCs w:val="40"/>
      <w:u w:val="none"/>
      <w:shd w:val="clear" w:color="auto" w:fill="auto"/>
      <w:lang w:val="zh-TW" w:eastAsia="zh-TW" w:bidi="zh-TW"/>
    </w:rPr>
  </w:style>
  <w:style w:type="character" w:customStyle="1" w:styleId="20">
    <w:name w:val="15"/>
    <w:basedOn w:val="11"/>
    <w:qFormat/>
    <w:uiPriority w:val="0"/>
    <w:rPr>
      <w:rFonts w:hint="default" w:ascii="Times New Roman" w:hAnsi="Times New Roman" w:cs="Times New Roman"/>
      <w:color w:val="0000FF"/>
      <w:u w:val="single"/>
    </w:rPr>
  </w:style>
  <w:style w:type="character" w:customStyle="1" w:styleId="21">
    <w:name w:val="10"/>
    <w:basedOn w:val="1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1</Pages>
  <Words>5279</Words>
  <Characters>5409</Characters>
  <Lines>1</Lines>
  <Paragraphs>1</Paragraphs>
  <TotalTime>0</TotalTime>
  <ScaleCrop>false</ScaleCrop>
  <LinksUpToDate>false</LinksUpToDate>
  <CharactersWithSpaces>5596</CharactersWithSpaces>
  <Application>WPS Office_11.8.2.11625_F1E327BC-269C-435d-A152-05C5408002CA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2023-05-02T23:08:00Z</dcterms:created>
  <dc:creator>微软用户</dc:creator>
  <cp:lastModifiedBy>diewar</cp:lastModifiedBy>
  <cp:lastPrinted>2023-05-20T09:56:00Z</cp:lastPrinted>
  <dcterms:modified xsi:type="dcterms:W3CDTF">2024-06-09T15:20:13Z</dcterms:modified>
  <dc:title>永嘉县服务业兴县专班文件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2052-11.8.2.11625</vt:lpwstr>
  </property>
  <property fmtid="{D5CDD505-2E9C-101B-9397-08002B2CF9AE}" pid="3" name="ICV">
    <vt:lpwstr>39D9D725771942EBAE318258CC78788F_13</vt:lpwstr>
  </property>
</Properties>
</file>