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hd w:val="clear" w:color="auto" w:fill="FFFFFF"/>
        <w:jc w:val="center"/>
        <w:rPr>
          <w:rFonts w:ascii="微软雅黑" w:hAnsi="微软雅黑" w:eastAsia="微软雅黑"/>
          <w:b/>
          <w:bCs/>
          <w:sz w:val="28"/>
          <w:szCs w:val="28"/>
        </w:rPr>
      </w:pPr>
      <w:r>
        <w:rPr>
          <w:rFonts w:hint="eastAsia" w:ascii="微软雅黑" w:hAnsi="微软雅黑" w:eastAsia="微软雅黑"/>
          <w:b/>
          <w:bCs/>
          <w:sz w:val="28"/>
          <w:szCs w:val="28"/>
        </w:rPr>
        <w:t>市场监管总局办公厅关于印发《食品药品监管领域基层政务公开标准指引》的通知</w:t>
      </w:r>
      <w:r>
        <w:rPr>
          <w:rFonts w:hint="eastAsia" w:ascii="微软雅黑" w:hAnsi="微软雅黑" w:eastAsia="微软雅黑"/>
          <w:sz w:val="28"/>
          <w:szCs w:val="28"/>
        </w:rPr>
        <w:br w:type="textWrapping"/>
      </w:r>
      <w:r>
        <w:rPr>
          <w:rFonts w:hint="eastAsia" w:ascii="微软雅黑" w:hAnsi="微软雅黑" w:eastAsia="微软雅黑"/>
        </w:rPr>
        <w:t>市监办函〔</w:t>
      </w:r>
      <w:r>
        <w:rPr>
          <w:rFonts w:ascii="微软雅黑" w:hAnsi="微软雅黑" w:eastAsia="微软雅黑"/>
        </w:rPr>
        <w:t>2019〕1111号</w:t>
      </w:r>
    </w:p>
    <w:p>
      <w:pPr>
        <w:pStyle w:val="5"/>
        <w:shd w:val="clear" w:color="auto" w:fill="FFFFFF"/>
        <w:spacing w:before="225" w:beforeAutospacing="0" w:after="0" w:afterAutospacing="0" w:line="360" w:lineRule="auto"/>
        <w:rPr>
          <w:rFonts w:ascii="仿宋_GB2312" w:eastAsia="仿宋_GB2312"/>
        </w:rPr>
      </w:pPr>
      <w:r>
        <w:rPr>
          <w:rFonts w:hint="eastAsia" w:ascii="仿宋_GB2312" w:eastAsia="仿宋_GB2312"/>
        </w:rPr>
        <w:t>各省、自治区、直辖市及计划单列市、副省级城市、新疆生产建设兵团市场监管局（厅、委）：</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按照《国务院办公厅关于印发开展基层政务公开标准化规范化试点工作方案的通知》（国办发〔</w:t>
      </w:r>
      <w:r>
        <w:rPr>
          <w:rFonts w:ascii="仿宋_GB2312" w:eastAsia="仿宋_GB2312"/>
        </w:rPr>
        <w:t>2017〕42号）和全国政务公开领导小组第一次会议部署，市场监管总局制定了《食品药品监管领域基层政务公开标准指引》。现印发给你们，请遵照执行。</w:t>
      </w:r>
    </w:p>
    <w:p>
      <w:pPr>
        <w:pStyle w:val="5"/>
        <w:shd w:val="clear" w:color="auto" w:fill="FFFFFF"/>
        <w:jc w:val="right"/>
        <w:rPr>
          <w:rFonts w:ascii="仿宋_GB2312" w:eastAsia="仿宋_GB2312"/>
        </w:rPr>
      </w:pPr>
      <w:r>
        <w:rPr>
          <w:rFonts w:hint="eastAsia" w:ascii="仿宋_GB2312" w:eastAsia="仿宋_GB2312"/>
        </w:rPr>
        <w:t>市场监管总局办公厅</w:t>
      </w:r>
    </w:p>
    <w:p>
      <w:pPr>
        <w:pStyle w:val="5"/>
        <w:shd w:val="clear" w:color="auto" w:fill="FFFFFF"/>
        <w:spacing w:before="0" w:beforeAutospacing="0" w:after="0" w:afterAutospacing="0" w:line="360" w:lineRule="auto"/>
        <w:jc w:val="right"/>
        <w:rPr>
          <w:rFonts w:ascii="仿宋_GB2312" w:eastAsia="仿宋_GB2312"/>
        </w:rPr>
      </w:pPr>
      <w:r>
        <w:rPr>
          <w:rFonts w:ascii="仿宋_GB2312" w:eastAsia="仿宋_GB2312"/>
        </w:rPr>
        <w:t>2019年6月5日</w:t>
      </w:r>
    </w:p>
    <w:p>
      <w:pPr>
        <w:pStyle w:val="5"/>
        <w:shd w:val="clear" w:color="auto" w:fill="FFFFFF"/>
        <w:spacing w:before="0" w:beforeAutospacing="0" w:after="0" w:afterAutospacing="0"/>
        <w:jc w:val="center"/>
        <w:rPr>
          <w:rFonts w:ascii="微软雅黑" w:hAnsi="微软雅黑" w:eastAsia="微软雅黑"/>
          <w:b/>
          <w:bCs/>
        </w:rPr>
      </w:pPr>
      <w:r>
        <w:rPr>
          <w:rFonts w:hint="eastAsia" w:ascii="微软雅黑" w:hAnsi="微软雅黑" w:eastAsia="微软雅黑"/>
          <w:b/>
          <w:bCs/>
        </w:rPr>
        <w:t>食品药品监管领域基层政务公开标准指引</w:t>
      </w:r>
    </w:p>
    <w:p>
      <w:pPr>
        <w:pStyle w:val="5"/>
        <w:shd w:val="clear" w:color="auto" w:fill="FFFFFF"/>
        <w:spacing w:before="0" w:beforeAutospacing="0" w:after="0" w:afterAutospacing="0" w:line="360" w:lineRule="auto"/>
        <w:ind w:firstLine="480" w:firstLineChars="200"/>
        <w:rPr>
          <w:rFonts w:ascii="仿宋_GB2312" w:eastAsia="仿宋_GB2312"/>
        </w:rPr>
      </w:pPr>
      <w:r>
        <w:rPr>
          <w:rFonts w:hint="eastAsia" w:ascii="仿宋_GB2312" w:eastAsia="仿宋_GB2312"/>
        </w:rPr>
        <w:t>按照《国务院办公厅关于印发开展基层政务公开标准化规范化试点工作方案的通知》（国办发〔</w:t>
      </w:r>
      <w:r>
        <w:rPr>
          <w:rFonts w:ascii="仿宋_GB2312" w:eastAsia="仿宋_GB2312"/>
        </w:rPr>
        <w:t>2017〕42号）和全国政务公开领导小组第一次会议工作部署，为推动全国食品药品监管领域基层政务公开标准化规范化，提升基层政务公开和政务服务水平，在总结各县（区、市）市场监管部门试点经验的基础上，特编制《食品药品监管领域基层政务公开标准指引》（以下简称《指引》）。</w:t>
      </w:r>
    </w:p>
    <w:p>
      <w:pPr>
        <w:ind w:firstLine="482" w:firstLineChars="200"/>
        <w:rPr>
          <w:rFonts w:ascii="仿宋_GB2312" w:eastAsia="仿宋_GB2312"/>
          <w:b/>
          <w:bCs/>
          <w:sz w:val="24"/>
          <w:szCs w:val="24"/>
        </w:rPr>
      </w:pPr>
      <w:r>
        <w:rPr>
          <w:rFonts w:hint="eastAsia" w:ascii="仿宋_GB2312" w:eastAsia="仿宋_GB2312"/>
          <w:b/>
          <w:bCs/>
          <w:sz w:val="24"/>
          <w:szCs w:val="24"/>
        </w:rPr>
        <w:t>一、</w:t>
      </w:r>
      <w:r>
        <w:rPr>
          <w:rFonts w:ascii="仿宋_GB2312" w:eastAsia="仿宋_GB2312"/>
          <w:b/>
          <w:bCs/>
          <w:sz w:val="24"/>
          <w:szCs w:val="24"/>
        </w:rPr>
        <w:t>总体要求</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开展基层政务公开标准化规范化工作，是运用标准化手段推进政务公开工作的重要举措，对于深化基层政务公开，提高行政效能，建设法治政府、服务型政府，全面提升基层政务公开和政务服务水平，具有重要意义。</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本《指引》围绕食品药品监管工作中与群众关系密切的行政行为和服务事项，对基层公开事项及公开标准作出了规范化要求，是对基层试点工作成果的总结、归纳和提升。各级市场监管部门要高度重视基层政务公开工作，充分发挥组织、指导和监督作用，认真抓好本《指引》的贯彻落实，推动本地区食品药品监管领域基层政务公开标准化、规范化水平提升。</w:t>
      </w:r>
    </w:p>
    <w:p>
      <w:pPr>
        <w:ind w:firstLine="482" w:firstLineChars="200"/>
        <w:rPr>
          <w:rFonts w:ascii="仿宋_GB2312" w:eastAsia="仿宋_GB2312"/>
          <w:b/>
          <w:bCs/>
          <w:sz w:val="24"/>
          <w:szCs w:val="24"/>
        </w:rPr>
      </w:pPr>
      <w:r>
        <w:rPr>
          <w:rFonts w:hint="eastAsia" w:ascii="仿宋_GB2312" w:eastAsia="仿宋_GB2312"/>
          <w:b/>
          <w:bCs/>
          <w:sz w:val="24"/>
          <w:szCs w:val="24"/>
        </w:rPr>
        <w:t>二、</w:t>
      </w:r>
      <w:r>
        <w:rPr>
          <w:rFonts w:ascii="仿宋_GB2312" w:eastAsia="仿宋_GB2312"/>
          <w:b/>
          <w:bCs/>
          <w:sz w:val="24"/>
          <w:szCs w:val="24"/>
        </w:rPr>
        <w:t>适用范围</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本《指引》适用于县（区、市）及以下食品药品监管领域的基层政务公开工作。公开主体包括县（区、市）及以下市场监管部门以及其他依法履行相关行政管理职能的组织。</w:t>
      </w:r>
    </w:p>
    <w:p>
      <w:pPr>
        <w:ind w:firstLine="482" w:firstLineChars="200"/>
        <w:rPr>
          <w:rFonts w:ascii="仿宋_GB2312" w:eastAsia="仿宋_GB2312"/>
          <w:b/>
          <w:bCs/>
          <w:sz w:val="24"/>
          <w:szCs w:val="24"/>
        </w:rPr>
      </w:pPr>
      <w:r>
        <w:rPr>
          <w:rFonts w:hint="eastAsia" w:ascii="仿宋_GB2312" w:eastAsia="仿宋_GB2312"/>
          <w:b/>
          <w:bCs/>
          <w:sz w:val="24"/>
          <w:szCs w:val="24"/>
        </w:rPr>
        <w:t>三、公开事项与标准目录</w:t>
      </w:r>
    </w:p>
    <w:p>
      <w:pPr>
        <w:ind w:firstLine="480" w:firstLineChars="200"/>
        <w:rPr>
          <w:rFonts w:ascii="仿宋_GB2312" w:eastAsia="仿宋_GB2312"/>
          <w:sz w:val="24"/>
          <w:szCs w:val="24"/>
        </w:rPr>
      </w:pPr>
      <w:r>
        <w:rPr>
          <w:rFonts w:hint="eastAsia" w:ascii="仿宋_GB2312" w:eastAsia="仿宋_GB2312"/>
          <w:sz w:val="24"/>
          <w:szCs w:val="24"/>
        </w:rPr>
        <w:t>《食品药品监管领域基层政务公开标准目录》为表格形式（见附件），明确了食品药品监管基层政务公开</w:t>
      </w:r>
      <w:r>
        <w:rPr>
          <w:rFonts w:ascii="仿宋_GB2312" w:eastAsia="仿宋_GB2312"/>
          <w:sz w:val="24"/>
          <w:szCs w:val="24"/>
        </w:rPr>
        <w:t>4个方面19类公开事项的公开内容、公开依据、公开时限、公开主体、公开渠道、公开对 象、公开方式和公开层级，提供了开展食品药品监管领域基层政务公开工作的基础性标准框架。各级市场监管部门可在此基础上,结合本地工作实际进行增减、调整，增减、调整的内容与本《指引》一并执行。关于各公开主体的职责划分，应依照本地区、本单位有关市场监管事权划分的规定确定。关于监督检查结果等公开内容，可根据实际，对较易引起社会广泛关注的，作出必要解</w:t>
      </w:r>
      <w:r>
        <w:rPr>
          <w:rFonts w:hint="eastAsia" w:ascii="仿宋_GB2312" w:eastAsia="仿宋_GB2312"/>
          <w:sz w:val="24"/>
          <w:szCs w:val="24"/>
        </w:rPr>
        <w:t>释和说明。</w:t>
      </w:r>
    </w:p>
    <w:p>
      <w:pPr>
        <w:ind w:firstLine="482" w:firstLineChars="200"/>
        <w:rPr>
          <w:rFonts w:ascii="仿宋_GB2312" w:eastAsia="仿宋_GB2312"/>
          <w:b/>
          <w:bCs/>
          <w:sz w:val="24"/>
          <w:szCs w:val="24"/>
        </w:rPr>
      </w:pPr>
      <w:r>
        <w:rPr>
          <w:rFonts w:hint="eastAsia" w:ascii="仿宋_GB2312" w:eastAsia="仿宋_GB2312"/>
          <w:b/>
          <w:bCs/>
          <w:sz w:val="24"/>
          <w:szCs w:val="24"/>
        </w:rPr>
        <w:t>四、公开工作流程规范</w:t>
      </w:r>
    </w:p>
    <w:p>
      <w:pPr>
        <w:ind w:firstLine="480" w:firstLineChars="200"/>
        <w:rPr>
          <w:rFonts w:ascii="仿宋_GB2312" w:eastAsia="仿宋_GB2312"/>
          <w:sz w:val="24"/>
          <w:szCs w:val="24"/>
        </w:rPr>
      </w:pPr>
      <w:r>
        <w:rPr>
          <w:rFonts w:hint="eastAsia" w:ascii="仿宋_GB2312" w:eastAsia="仿宋_GB2312"/>
          <w:sz w:val="24"/>
          <w:szCs w:val="24"/>
        </w:rPr>
        <w:t>基层政务公开主体要按照决策、执行、管理、服务、结果“五公开”工作要求，注重全过程信息公开。要根据具体事项需要、本地社会公众需求，选择具有针对性的公开渠道，丰富拓展公开渠道和载体。要全面梳理和优化政务公开工作流程，健全工作机制，</w:t>
      </w:r>
      <w:r>
        <w:rPr>
          <w:rFonts w:ascii="仿宋_GB2312" w:eastAsia="仿宋_GB2312"/>
          <w:sz w:val="24"/>
          <w:szCs w:val="24"/>
        </w:rPr>
        <w:t xml:space="preserve"> 明确审查、发布、解读、回应等工作环节，推动各环节有序衔接，对 于复杂的公开事项应编制公开工作流程图。同时，结合实际积极探索工作机制和方式方法创新，进一步推动政策解读、回应关切、 公众参与等工作的标准化规范化，让群众看得到、易获取、好参与、能监督。</w:t>
      </w:r>
    </w:p>
    <w:p>
      <w:pPr>
        <w:ind w:firstLine="480" w:firstLineChars="200"/>
        <w:rPr>
          <w:rFonts w:ascii="仿宋_GB2312" w:eastAsia="仿宋_GB2312"/>
          <w:sz w:val="24"/>
          <w:szCs w:val="24"/>
        </w:rPr>
      </w:pPr>
      <w:r>
        <w:rPr>
          <w:rFonts w:hint="eastAsia" w:ascii="仿宋_GB2312" w:eastAsia="仿宋_GB2312"/>
          <w:sz w:val="24"/>
          <w:szCs w:val="24"/>
        </w:rPr>
        <w:t>附件：食品药品监管领域基层政务公开标准目录</w:t>
      </w: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sectPr>
          <w:pgSz w:w="11906" w:h="16838"/>
          <w:pgMar w:top="1440" w:right="1800" w:bottom="1440" w:left="1800" w:header="851" w:footer="992" w:gutter="0"/>
          <w:cols w:space="425" w:num="1"/>
          <w:docGrid w:type="lines" w:linePitch="312" w:charSpace="0"/>
        </w:sectPr>
      </w:pPr>
    </w:p>
    <w:p>
      <w:pPr>
        <w:spacing w:line="240" w:lineRule="auto"/>
        <w:ind w:left="4480" w:hanging="4480" w:hangingChars="1400"/>
        <w:rPr>
          <w:rFonts w:ascii="Times New Roman" w:hAnsi="Times New Roman" w:eastAsia="方正小标宋_GBK" w:cs="Times New Roman"/>
          <w:sz w:val="32"/>
          <w:szCs w:val="32"/>
        </w:rPr>
      </w:pPr>
      <w:r>
        <w:rPr>
          <w:rFonts w:hint="eastAsia" w:ascii="Times New Roman" w:hAnsi="Times New Roman" w:eastAsia="方正小标宋_GBK" w:cs="Times New Roman"/>
          <w:sz w:val="32"/>
          <w:szCs w:val="32"/>
        </w:rPr>
        <w:t>附</w:t>
      </w:r>
      <w:r>
        <w:rPr>
          <w:rFonts w:ascii="Times New Roman" w:hAnsi="Times New Roman" w:eastAsia="方正小标宋_GBK" w:cs="Times New Roman"/>
          <w:sz w:val="32"/>
          <w:szCs w:val="32"/>
        </w:rPr>
        <w:t>件：</w:t>
      </w:r>
    </w:p>
    <w:p>
      <w:pPr>
        <w:spacing w:line="240" w:lineRule="auto"/>
        <w:jc w:val="center"/>
        <w:rPr>
          <w:rFonts w:ascii="Times New Roman" w:hAnsi="Times New Roman" w:eastAsia="方正小标宋_GBK" w:cs="Times New Roman"/>
          <w:sz w:val="44"/>
          <w:szCs w:val="44"/>
        </w:rPr>
      </w:pPr>
      <w:r>
        <w:rPr>
          <w:rFonts w:hint="eastAsia" w:ascii="Times New Roman" w:hAnsi="Times New Roman" w:eastAsia="方正小标宋_GBK" w:cs="Times New Roman"/>
          <w:sz w:val="44"/>
          <w:szCs w:val="44"/>
        </w:rPr>
        <w:t>食品药品监管领域基层政务公开标准目录</w:t>
      </w:r>
    </w:p>
    <w:tbl>
      <w:tblPr>
        <w:tblStyle w:val="6"/>
        <w:tblW w:w="14799" w:type="dxa"/>
        <w:tblInd w:w="113" w:type="dxa"/>
        <w:tblLayout w:type="fixed"/>
        <w:tblCellMar>
          <w:top w:w="0" w:type="dxa"/>
          <w:left w:w="108" w:type="dxa"/>
          <w:bottom w:w="0" w:type="dxa"/>
          <w:right w:w="108" w:type="dxa"/>
        </w:tblCellMar>
      </w:tblPr>
      <w:tblGrid>
        <w:gridCol w:w="456"/>
        <w:gridCol w:w="792"/>
        <w:gridCol w:w="693"/>
        <w:gridCol w:w="1598"/>
        <w:gridCol w:w="1872"/>
        <w:gridCol w:w="1134"/>
        <w:gridCol w:w="1308"/>
        <w:gridCol w:w="2603"/>
        <w:gridCol w:w="701"/>
        <w:gridCol w:w="839"/>
        <w:gridCol w:w="700"/>
        <w:gridCol w:w="701"/>
        <w:gridCol w:w="701"/>
        <w:gridCol w:w="701"/>
      </w:tblGrid>
      <w:tr>
        <w:tblPrEx>
          <w:tblCellMar>
            <w:top w:w="0" w:type="dxa"/>
            <w:left w:w="108" w:type="dxa"/>
            <w:bottom w:w="0" w:type="dxa"/>
            <w:right w:w="108" w:type="dxa"/>
          </w:tblCellMar>
        </w:tblPrEx>
        <w:trPr>
          <w:trHeight w:val="263" w:hRule="atLeast"/>
        </w:trPr>
        <w:tc>
          <w:tcPr>
            <w:tcW w:w="456" w:type="dxa"/>
            <w:vMerge w:val="restart"/>
            <w:tcBorders>
              <w:top w:val="single" w:color="auto" w:sz="4" w:space="0"/>
              <w:left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序</w:t>
            </w:r>
          </w:p>
          <w:p>
            <w:pPr>
              <w:widowControl/>
              <w:spacing w:line="240" w:lineRule="auto"/>
              <w:jc w:val="center"/>
              <w:rPr>
                <w:rFonts w:cs="Times New Roman"/>
                <w:b/>
                <w:color w:val="000000"/>
                <w:kern w:val="0"/>
              </w:rPr>
            </w:pPr>
            <w:r>
              <w:rPr>
                <w:rFonts w:cs="Times New Roman"/>
                <w:b/>
                <w:color w:val="000000"/>
                <w:kern w:val="0"/>
              </w:rPr>
              <w:t>号</w:t>
            </w:r>
          </w:p>
        </w:tc>
        <w:tc>
          <w:tcPr>
            <w:tcW w:w="1485"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公开事项</w:t>
            </w:r>
          </w:p>
        </w:tc>
        <w:tc>
          <w:tcPr>
            <w:tcW w:w="1598" w:type="dxa"/>
            <w:vMerge w:val="restart"/>
            <w:tcBorders>
              <w:top w:val="single" w:color="auto" w:sz="4" w:space="0"/>
              <w:left w:val="nil"/>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公开内容</w:t>
            </w:r>
          </w:p>
          <w:p>
            <w:pPr>
              <w:widowControl/>
              <w:spacing w:line="240" w:lineRule="auto"/>
              <w:jc w:val="center"/>
              <w:rPr>
                <w:rFonts w:cs="Times New Roman"/>
                <w:b/>
                <w:color w:val="000000"/>
                <w:kern w:val="0"/>
              </w:rPr>
            </w:pPr>
            <w:r>
              <w:rPr>
                <w:rFonts w:cs="Times New Roman"/>
                <w:b/>
                <w:color w:val="000000"/>
                <w:kern w:val="0"/>
              </w:rPr>
              <w:t>（要素）</w:t>
            </w:r>
          </w:p>
        </w:tc>
        <w:tc>
          <w:tcPr>
            <w:tcW w:w="1872" w:type="dxa"/>
            <w:vMerge w:val="restart"/>
            <w:tcBorders>
              <w:top w:val="single" w:color="auto" w:sz="4" w:space="0"/>
              <w:left w:val="nil"/>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公开依据</w:t>
            </w:r>
          </w:p>
        </w:tc>
        <w:tc>
          <w:tcPr>
            <w:tcW w:w="1134" w:type="dxa"/>
            <w:vMerge w:val="restart"/>
            <w:tcBorders>
              <w:top w:val="single" w:color="auto" w:sz="4" w:space="0"/>
              <w:left w:val="nil"/>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公开时限</w:t>
            </w:r>
          </w:p>
        </w:tc>
        <w:tc>
          <w:tcPr>
            <w:tcW w:w="1308" w:type="dxa"/>
            <w:vMerge w:val="restart"/>
            <w:tcBorders>
              <w:top w:val="single" w:color="auto" w:sz="4" w:space="0"/>
              <w:left w:val="nil"/>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公开主体</w:t>
            </w:r>
          </w:p>
        </w:tc>
        <w:tc>
          <w:tcPr>
            <w:tcW w:w="2603" w:type="dxa"/>
            <w:vMerge w:val="restart"/>
            <w:tcBorders>
              <w:top w:val="single" w:color="auto" w:sz="4" w:space="0"/>
              <w:left w:val="nil"/>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公开渠道和载体</w:t>
            </w:r>
          </w:p>
        </w:tc>
        <w:tc>
          <w:tcPr>
            <w:tcW w:w="1540"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公开对象</w:t>
            </w:r>
          </w:p>
        </w:tc>
        <w:tc>
          <w:tcPr>
            <w:tcW w:w="1401"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公开方式</w:t>
            </w:r>
          </w:p>
        </w:tc>
        <w:tc>
          <w:tcPr>
            <w:tcW w:w="1402"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公开层级</w:t>
            </w:r>
          </w:p>
        </w:tc>
      </w:tr>
      <w:tr>
        <w:tblPrEx>
          <w:tblCellMar>
            <w:top w:w="0" w:type="dxa"/>
            <w:left w:w="108" w:type="dxa"/>
            <w:bottom w:w="0" w:type="dxa"/>
            <w:right w:w="108" w:type="dxa"/>
          </w:tblCellMar>
        </w:tblPrEx>
        <w:trPr>
          <w:trHeight w:val="263" w:hRule="atLeast"/>
        </w:trPr>
        <w:tc>
          <w:tcPr>
            <w:tcW w:w="456" w:type="dxa"/>
            <w:vMerge w:val="continue"/>
            <w:tcBorders>
              <w:left w:val="single" w:color="auto" w:sz="4" w:space="0"/>
              <w:bottom w:val="single" w:color="auto" w:sz="4" w:space="0"/>
              <w:right w:val="single" w:color="auto" w:sz="4" w:space="0"/>
            </w:tcBorders>
            <w:noWrap/>
            <w:vAlign w:val="center"/>
          </w:tcPr>
          <w:p>
            <w:pPr>
              <w:widowControl/>
              <w:spacing w:line="240" w:lineRule="auto"/>
              <w:jc w:val="center"/>
              <w:rPr>
                <w:rFonts w:ascii="Times New Roman" w:hAnsi="Times New Roman" w:eastAsia="仿宋_GB2312" w:cs="Times New Roman"/>
                <w:b/>
                <w:color w:val="000000"/>
                <w:kern w:val="0"/>
              </w:rPr>
            </w:pPr>
          </w:p>
        </w:tc>
        <w:tc>
          <w:tcPr>
            <w:tcW w:w="792"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一级事项</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二级事项</w:t>
            </w:r>
          </w:p>
        </w:tc>
        <w:tc>
          <w:tcPr>
            <w:tcW w:w="1598" w:type="dxa"/>
            <w:vMerge w:val="continue"/>
            <w:tcBorders>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p>
        </w:tc>
        <w:tc>
          <w:tcPr>
            <w:tcW w:w="1872" w:type="dxa"/>
            <w:vMerge w:val="continue"/>
            <w:tcBorders>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p>
        </w:tc>
        <w:tc>
          <w:tcPr>
            <w:tcW w:w="1134" w:type="dxa"/>
            <w:vMerge w:val="continue"/>
            <w:tcBorders>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p>
        </w:tc>
        <w:tc>
          <w:tcPr>
            <w:tcW w:w="1308" w:type="dxa"/>
            <w:vMerge w:val="continue"/>
            <w:tcBorders>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p>
        </w:tc>
        <w:tc>
          <w:tcPr>
            <w:tcW w:w="2603" w:type="dxa"/>
            <w:vMerge w:val="continue"/>
            <w:tcBorders>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全社会</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特定群体</w:t>
            </w: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主动</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依申请</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县级</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b/>
                <w:color w:val="000000"/>
                <w:kern w:val="0"/>
              </w:rPr>
            </w:pPr>
            <w:r>
              <w:rPr>
                <w:rFonts w:cs="Times New Roman"/>
                <w:b/>
                <w:color w:val="000000"/>
                <w:kern w:val="0"/>
              </w:rPr>
              <w:t>乡级</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1</w:t>
            </w:r>
          </w:p>
        </w:tc>
        <w:tc>
          <w:tcPr>
            <w:tcW w:w="792"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行政审批</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食品生产经营许可服务指南</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适用范围、审批依据、</w:t>
            </w:r>
            <w:r>
              <w:rPr>
                <w:rFonts w:cs="Times New Roman"/>
                <w:color w:val="000000"/>
                <w:kern w:val="0"/>
                <w:sz w:val="18"/>
                <w:szCs w:val="18"/>
              </w:rPr>
              <w:t xml:space="preserve"> 受理机构、申请条件、 申请材料目录、办理 基本流程、办结时限、 收费依据及标准、结 果送达、监督投诉渠道等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《中华人民共和国食</w:t>
            </w:r>
            <w:r>
              <w:rPr>
                <w:rFonts w:cs="Times New Roman"/>
                <w:color w:val="000000"/>
                <w:kern w:val="0"/>
                <w:sz w:val="18"/>
                <w:szCs w:val="18"/>
              </w:rPr>
              <w:t xml:space="preserve"> 品安全法》《中华人民共和国政府信息公开条例》《关于全面推进政务公开工作的意见》《食品药品安全监管信息公开管理办法》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市场监督管理、行政审批相关责任部门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u w:val="single"/>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2</w:t>
            </w:r>
          </w:p>
        </w:tc>
        <w:tc>
          <w:tcPr>
            <w:tcW w:w="792"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行政审批</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食品生产经营许可基本信息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生产经营者名称、许</w:t>
            </w:r>
            <w:r>
              <w:rPr>
                <w:rFonts w:cs="Times New Roman"/>
                <w:color w:val="000000"/>
                <w:kern w:val="0"/>
                <w:sz w:val="18"/>
                <w:szCs w:val="18"/>
              </w:rPr>
              <w:t>可证编号、法定代表人（负责人）、生产地址/经营场所、食品类别/经营项目、日常监督管理机构、投诉举报电话、有效期限等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《中华人民共和国食</w:t>
            </w:r>
            <w:r>
              <w:rPr>
                <w:rFonts w:cs="Times New Roman"/>
                <w:color w:val="000000"/>
                <w:kern w:val="0"/>
                <w:sz w:val="18"/>
                <w:szCs w:val="18"/>
              </w:rPr>
              <w:t xml:space="preserve"> 品安全法》《中华人民共和国政府信息公开条例》《关于全面推进政务公开工作的意见》《食品药品安全监管信息公开管理办法》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市场监督管理、行政审批相关责任部门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3</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行政审批</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药品零售许可服务指南</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适用范围、审批依据、</w:t>
            </w:r>
            <w:r>
              <w:rPr>
                <w:rFonts w:cs="Times New Roman"/>
                <w:color w:val="000000"/>
                <w:kern w:val="0"/>
                <w:sz w:val="18"/>
                <w:szCs w:val="18"/>
              </w:rPr>
              <w:t xml:space="preserve"> 受理机构、申请条件、 申请材料目录、办理基本流程、办结时限、 收费依据及标准、结果送达、监督投诉渠道等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市场监督管理、行政审批相关责任部门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4</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药品零售许可企业基本信息</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经营者名称、许可证</w:t>
            </w:r>
            <w:r>
              <w:rPr>
                <w:rFonts w:cs="Times New Roman"/>
                <w:color w:val="000000"/>
                <w:kern w:val="0"/>
                <w:sz w:val="18"/>
                <w:szCs w:val="18"/>
              </w:rPr>
              <w:t>编号、社会信用代码、 法定代表人（负责人）、注册地址、经营范围、变更项目等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市场监督管理、行政审批相关责任部门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5</w:t>
            </w:r>
          </w:p>
        </w:tc>
        <w:tc>
          <w:tcPr>
            <w:tcW w:w="792"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监督检查</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食品生产经营监督检查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检查制度、检查标准、检查结果等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《中华人民共和国食</w:t>
            </w:r>
            <w:r>
              <w:rPr>
                <w:rFonts w:cs="Times New Roman"/>
                <w:color w:val="000000"/>
                <w:kern w:val="0"/>
                <w:sz w:val="18"/>
                <w:szCs w:val="18"/>
              </w:rPr>
              <w:t xml:space="preserve"> 品安全法》《中华人民共和国政府信息公开条例》《关于全面推进政务公开工作的意见》《食品生产经营日常监督检查管理办法》《食品药品安全监管信息公开管理办法》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6</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监督检查</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特殊食品生产经营监督检查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检查制度、检查标准、检查结果等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《中华人民共和国食</w:t>
            </w:r>
            <w:r>
              <w:rPr>
                <w:rFonts w:cs="Times New Roman"/>
                <w:color w:val="000000"/>
                <w:kern w:val="0"/>
                <w:sz w:val="18"/>
                <w:szCs w:val="18"/>
              </w:rPr>
              <w:t xml:space="preserve"> 品安全法》《中华人民共和国政府信息公开条例》《关于全面推进政务公开工作的意见》《食品生产经营日常监督检查管理办法》《食品药品安全监管信息公开管理办法》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7</w:t>
            </w:r>
          </w:p>
        </w:tc>
        <w:tc>
          <w:tcPr>
            <w:tcW w:w="792" w:type="dxa"/>
            <w:vMerge w:val="continue"/>
            <w:tcBorders>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由县级组织的食品安全抽检</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检查实施主体、被抽</w:t>
            </w:r>
            <w:r>
              <w:rPr>
                <w:rFonts w:cs="Times New Roman"/>
                <w:color w:val="000000"/>
                <w:kern w:val="0"/>
                <w:sz w:val="18"/>
                <w:szCs w:val="18"/>
              </w:rPr>
              <w:t>检单位名称、被抽检食品名称、标示的产 品生产日期/批号/规格、检验依据、检验机构、检查结果等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《中华人民共和国食</w:t>
            </w:r>
            <w:r>
              <w:rPr>
                <w:rFonts w:cs="Times New Roman"/>
                <w:color w:val="000000"/>
                <w:kern w:val="0"/>
                <w:sz w:val="18"/>
                <w:szCs w:val="18"/>
              </w:rPr>
              <w:t xml:space="preserve"> 品安全法》《中华人民共和国政府信息公开条例》《关于全面推进政务公开工作的意见》《食品生产经营日常监督检查管理办法》《食品药品安全监管信息公开管理办法》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8</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药品零售/医疗器械经营监督检查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检查制度、检查标准、检查结果等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w:t>
            </w:r>
            <w:r>
              <w:rPr>
                <w:rFonts w:hint="eastAsia" w:cs="Times New Roman"/>
                <w:color w:val="000000"/>
                <w:kern w:val="0"/>
                <w:sz w:val="18"/>
                <w:szCs w:val="18"/>
                <w:lang w:eastAsia="zh-CN"/>
              </w:rPr>
              <w:t>华人民共和国政府信息公开条例》</w:t>
            </w:r>
            <w:r>
              <w:rPr>
                <w:rFonts w:cs="Times New Roman"/>
                <w:color w:val="000000"/>
                <w:kern w:val="0"/>
                <w:sz w:val="18"/>
                <w:szCs w:val="18"/>
              </w:rPr>
              <w:t>《关于全面推进政务公开工作的意见》《食品药品安全监管信息公开管理办法》《医疗器械监督管理条例》《药品医疗器械飞行检查办法》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9</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监督检查</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化妆品经营企业监督检查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检查制度、检查标准、检查结果等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w:t>
            </w:r>
            <w:r>
              <w:rPr>
                <w:rFonts w:hint="eastAsia" w:cs="Times New Roman"/>
                <w:color w:val="000000"/>
                <w:kern w:val="0"/>
                <w:sz w:val="18"/>
                <w:szCs w:val="18"/>
                <w:lang w:eastAsia="zh-CN"/>
              </w:rPr>
              <w:t>华人民共和国政</w:t>
            </w:r>
            <w:bookmarkStart w:id="0" w:name="_GoBack"/>
            <w:bookmarkEnd w:id="0"/>
            <w:r>
              <w:rPr>
                <w:rFonts w:hint="eastAsia" w:cs="Times New Roman"/>
                <w:color w:val="000000"/>
                <w:kern w:val="0"/>
                <w:sz w:val="18"/>
                <w:szCs w:val="18"/>
                <w:lang w:eastAsia="zh-CN"/>
              </w:rPr>
              <w:t>府信息公开条例》</w:t>
            </w:r>
            <w:r>
              <w:rPr>
                <w:rFonts w:cs="Times New Roman"/>
                <w:color w:val="000000"/>
                <w:kern w:val="0"/>
                <w:sz w:val="18"/>
                <w:szCs w:val="18"/>
              </w:rPr>
              <w:t>《关于全面推进政务公开工作的意见》《食品药品安全监管信息公开管理办法》《化妆品卫生监督条例》</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0</w:t>
            </w:r>
          </w:p>
        </w:tc>
        <w:tc>
          <w:tcPr>
            <w:tcW w:w="792" w:type="dxa"/>
            <w:vMerge w:val="continue"/>
            <w:tcBorders>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医疗机构使用药品质量安全监督检查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检查制度、检查标准、检查结果等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w:t>
            </w:r>
            <w:r>
              <w:rPr>
                <w:rFonts w:hint="eastAsia" w:cs="Times New Roman"/>
                <w:color w:val="000000"/>
                <w:kern w:val="0"/>
                <w:sz w:val="18"/>
                <w:szCs w:val="18"/>
                <w:lang w:eastAsia="zh-CN"/>
              </w:rPr>
              <w:t>华人民共和国政府信息公开条例》</w:t>
            </w:r>
            <w:r>
              <w:rPr>
                <w:rFonts w:cs="Times New Roman"/>
                <w:color w:val="000000"/>
                <w:kern w:val="0"/>
                <w:sz w:val="18"/>
                <w:szCs w:val="18"/>
              </w:rPr>
              <w:t>《关于全面推进政务公开工作的意见》《食品药品安全监管信息公开管理办法》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1</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由县级组织的医疗器械抽检</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被抽检单位名称、抽</w:t>
            </w:r>
            <w:r>
              <w:rPr>
                <w:rFonts w:cs="Times New Roman"/>
                <w:color w:val="000000"/>
                <w:kern w:val="0"/>
                <w:sz w:val="18"/>
                <w:szCs w:val="18"/>
              </w:rPr>
              <w:t>检产品名称、标示的生产单位、标示的产 品生产日期/批号/规格、检验依据、检验结果、检验机构等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w:t>
            </w:r>
            <w:r>
              <w:rPr>
                <w:rFonts w:hint="eastAsia" w:cs="Times New Roman"/>
                <w:color w:val="000000"/>
                <w:kern w:val="0"/>
                <w:sz w:val="18"/>
                <w:szCs w:val="18"/>
                <w:lang w:eastAsia="zh-CN"/>
              </w:rPr>
              <w:t>华人民共和国政府信息公开条例》</w:t>
            </w:r>
            <w:r>
              <w:rPr>
                <w:rFonts w:cs="Times New Roman"/>
                <w:color w:val="000000"/>
                <w:kern w:val="0"/>
                <w:sz w:val="18"/>
                <w:szCs w:val="18"/>
              </w:rPr>
              <w:t>《关于全面推进政务公开工作的意见》《食品药品安全监管信息公开管理办法》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信息形成或变更之日起2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2</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行政处罚</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食品生产经营行政处罚</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处罚对象、案件名称、</w:t>
            </w:r>
            <w:r>
              <w:rPr>
                <w:rFonts w:cs="Times New Roman"/>
                <w:color w:val="000000"/>
                <w:kern w:val="0"/>
                <w:sz w:val="18"/>
                <w:szCs w:val="18"/>
              </w:rPr>
              <w:t xml:space="preserve"> 违法主要事实、处罚种类和内容、处罚依据、作出处罚决定部门、处罚时间、处罚决定书文号、处罚履行方式和期限等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府信息公开条例》《关于全面推进政务公开工作的意见》《食品药品行政处罚案件信息公开实施细则》《市场监督管理行政处罚程序暂行规定》</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行政处罚决定形成之日起2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3</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药品监管行政处罚</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处罚对象、案件名称、</w:t>
            </w:r>
            <w:r>
              <w:rPr>
                <w:rFonts w:cs="Times New Roman"/>
                <w:color w:val="000000"/>
                <w:kern w:val="0"/>
                <w:sz w:val="18"/>
                <w:szCs w:val="18"/>
              </w:rPr>
              <w:t xml:space="preserve"> 违法主要事实、处罚种类和内容、处罚依据、作出处罚决定部门、处罚时间、处罚决定书文号、处罚履行方式和期限等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府信息公开条例》《关于全面推进政务公开工作的意见》《食品药品行政处罚案件信息公开实施细则》《市场监督管理行政处罚程序暂行规定》</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行政处罚决定形成之日起2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4</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行政处罚</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医疗器械监管行政处罚</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处罚对象、案件名称、</w:t>
            </w:r>
            <w:r>
              <w:rPr>
                <w:rFonts w:cs="Times New Roman"/>
                <w:color w:val="000000"/>
                <w:kern w:val="0"/>
                <w:sz w:val="18"/>
                <w:szCs w:val="18"/>
              </w:rPr>
              <w:t xml:space="preserve"> 违法主要事实、处罚种类和内容、处罚依据、作出处罚决定部门、处罚时间、处罚决定书文号、处罚履行方式和期限等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府信息公开条例》《关于全面推进政务公开工作的意见》《食品药品行政处罚案件信息公开实施细则》《市场监督管理行政处罚程序暂行规定》</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行政处罚决定形成之日起2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5</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化妆品监管行政处罚</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处罚对象、案件名称、</w:t>
            </w:r>
            <w:r>
              <w:rPr>
                <w:rFonts w:cs="Times New Roman"/>
                <w:color w:val="000000"/>
                <w:kern w:val="0"/>
                <w:sz w:val="18"/>
                <w:szCs w:val="18"/>
              </w:rPr>
              <w:t xml:space="preserve"> 违法主要事实、处罚种类和内容、处罚依据、作出处罚决定部门、处罚时间、处罚决定书文号、处罚履行方式和期限等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w:t>
            </w:r>
            <w:r>
              <w:rPr>
                <w:rFonts w:cs="Times New Roman"/>
                <w:color w:val="000000"/>
                <w:kern w:val="0"/>
                <w:sz w:val="18"/>
                <w:szCs w:val="18"/>
              </w:rPr>
              <w:t>府信息公开条例》《关于全面推进政务公开工作的意见》《食品药品行政处罚案件信息公开实施细则》《市场监督管理行政处罚程序暂行规定》</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行政处罚决定形成之日起2</w:t>
            </w:r>
            <w:r>
              <w:rPr>
                <w:rFonts w:cs="Times New Roman"/>
                <w:color w:val="000000"/>
                <w:kern w:val="0"/>
                <w:sz w:val="18"/>
                <w:szCs w:val="18"/>
              </w:rPr>
              <w:t>0</w:t>
            </w:r>
            <w:r>
              <w:rPr>
                <w:rFonts w:hint="eastAsia"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 xml:space="preserve">□精准推送 </w:t>
            </w:r>
            <w:r>
              <w:rPr>
                <w:rFonts w:hint="eastAsia" w:cs="Times New Roman"/>
                <w:color w:val="000000"/>
                <w:kern w:val="0"/>
                <w:sz w:val="18"/>
                <w:szCs w:val="18"/>
              </w:rPr>
              <w:t>■</w:t>
            </w:r>
            <w:r>
              <w:rPr>
                <w:rFonts w:cs="Times New Roman"/>
                <w:color w:val="000000"/>
                <w:kern w:val="0"/>
                <w:sz w:val="18"/>
                <w:szCs w:val="18"/>
              </w:rPr>
              <w:t>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r>
              <w:rPr>
                <w:rFonts w:hint="eastAsia" w:cs="Times New Roman"/>
                <w:color w:val="000000"/>
                <w:kern w:val="0"/>
                <w:sz w:val="18"/>
                <w:szCs w:val="18"/>
                <w:u w:val="single"/>
              </w:rPr>
              <w:t>国家企业信用信息公示系统</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6</w:t>
            </w:r>
          </w:p>
        </w:tc>
        <w:tc>
          <w:tcPr>
            <w:tcW w:w="792"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公共服务</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食品安全消费提示警示</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食品安全消费提示、警示信息</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《中华人民共和国政府信息公开条例》《关于全面推进政务公开工作的意见》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信息形成之日起7</w:t>
            </w:r>
            <w:r>
              <w:rPr>
                <w:rFonts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7</w:t>
            </w:r>
          </w:p>
        </w:tc>
        <w:tc>
          <w:tcPr>
            <w:tcW w:w="792" w:type="dxa"/>
            <w:vMerge w:val="restart"/>
            <w:tcBorders>
              <w:top w:val="single" w:color="auto" w:sz="4" w:space="0"/>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r>
              <w:rPr>
                <w:rFonts w:hint="eastAsia" w:cs="Times New Roman"/>
                <w:color w:val="000000"/>
                <w:kern w:val="0"/>
                <w:sz w:val="18"/>
                <w:szCs w:val="18"/>
              </w:rPr>
              <w:t>公共服务</w:t>
            </w: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食品安全应急处置</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应急组织机构及职</w:t>
            </w:r>
            <w:r>
              <w:rPr>
                <w:rFonts w:cs="Times New Roman"/>
                <w:color w:val="000000"/>
                <w:kern w:val="0"/>
                <w:sz w:val="18"/>
                <w:szCs w:val="18"/>
              </w:rPr>
              <w:t>责、应急保障、监测预警、应急响应、热点问题落实情况等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《中华人民共和国政府信息公开条例》《关于全面推进政务公开工作的意见》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信息形成之日起</w:t>
            </w:r>
            <w:r>
              <w:rPr>
                <w:rFonts w:cs="Times New Roman"/>
                <w:color w:val="000000"/>
                <w:kern w:val="0"/>
                <w:sz w:val="18"/>
                <w:szCs w:val="18"/>
              </w:rPr>
              <w:t>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8</w:t>
            </w:r>
          </w:p>
        </w:tc>
        <w:tc>
          <w:tcPr>
            <w:tcW w:w="792" w:type="dxa"/>
            <w:vMerge w:val="continue"/>
            <w:tcBorders>
              <w:left w:val="nil"/>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食品药品投诉举报</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食品药品投诉举报管</w:t>
            </w:r>
            <w:r>
              <w:rPr>
                <w:rFonts w:cs="Times New Roman"/>
                <w:color w:val="000000"/>
                <w:kern w:val="0"/>
                <w:sz w:val="18"/>
                <w:szCs w:val="18"/>
              </w:rPr>
              <w:t>理制度和政策、受理投诉举报的途径等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w:t>
            </w:r>
            <w:r>
              <w:rPr>
                <w:rFonts w:hint="eastAsia" w:cs="Times New Roman"/>
                <w:color w:val="000000"/>
                <w:kern w:val="0"/>
                <w:sz w:val="18"/>
                <w:szCs w:val="18"/>
                <w:lang w:eastAsia="zh-CN"/>
              </w:rPr>
              <w:t>华人民共和国政府信息公开条例》</w:t>
            </w:r>
            <w:r>
              <w:rPr>
                <w:rFonts w:cs="Times New Roman"/>
                <w:color w:val="000000"/>
                <w:kern w:val="0"/>
                <w:sz w:val="18"/>
                <w:szCs w:val="18"/>
              </w:rPr>
              <w:t>《关于全面推进政务公开工作的意见》《食品药品投诉举报管理办法》</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信息形成之日起</w:t>
            </w:r>
            <w:r>
              <w:rPr>
                <w:rFonts w:cs="Times New Roman"/>
                <w:color w:val="000000"/>
                <w:kern w:val="0"/>
                <w:sz w:val="18"/>
                <w:szCs w:val="18"/>
              </w:rPr>
              <w:t>20个工作日内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r>
        <w:tblPrEx>
          <w:tblCellMar>
            <w:top w:w="0" w:type="dxa"/>
            <w:left w:w="108" w:type="dxa"/>
            <w:bottom w:w="0" w:type="dxa"/>
            <w:right w:w="108" w:type="dxa"/>
          </w:tblCellMar>
        </w:tblPrEx>
        <w:trPr>
          <w:trHeight w:val="263" w:hRule="atLeast"/>
        </w:trPr>
        <w:tc>
          <w:tcPr>
            <w:tcW w:w="45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1</w:t>
            </w:r>
            <w:r>
              <w:rPr>
                <w:rFonts w:cs="Times New Roman"/>
                <w:color w:val="000000"/>
                <w:kern w:val="0"/>
                <w:sz w:val="18"/>
                <w:szCs w:val="18"/>
              </w:rPr>
              <w:t>9</w:t>
            </w:r>
          </w:p>
        </w:tc>
        <w:tc>
          <w:tcPr>
            <w:tcW w:w="792" w:type="dxa"/>
            <w:vMerge w:val="continue"/>
            <w:tcBorders>
              <w:left w:val="nil"/>
              <w:bottom w:val="single" w:color="auto" w:sz="4" w:space="0"/>
              <w:right w:val="single" w:color="auto" w:sz="4" w:space="0"/>
            </w:tcBorders>
            <w:noWrap/>
            <w:vAlign w:val="center"/>
          </w:tcPr>
          <w:p>
            <w:pPr>
              <w:widowControl/>
              <w:spacing w:line="240" w:lineRule="auto"/>
              <w:jc w:val="center"/>
              <w:rPr>
                <w:rFonts w:hint="eastAsia" w:cs="Times New Roman"/>
                <w:color w:val="000000"/>
                <w:kern w:val="0"/>
                <w:sz w:val="18"/>
                <w:szCs w:val="18"/>
              </w:rPr>
            </w:pPr>
          </w:p>
        </w:tc>
        <w:tc>
          <w:tcPr>
            <w:tcW w:w="693"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食品用药安全宣传活动</w:t>
            </w:r>
          </w:p>
        </w:tc>
        <w:tc>
          <w:tcPr>
            <w:tcW w:w="1598"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活动时间、活动地点、</w:t>
            </w:r>
            <w:r>
              <w:rPr>
                <w:rFonts w:cs="Times New Roman"/>
                <w:color w:val="000000"/>
                <w:kern w:val="0"/>
                <w:sz w:val="18"/>
                <w:szCs w:val="18"/>
              </w:rPr>
              <w:t xml:space="preserve"> 活动形式、活动主题和内容等</w:t>
            </w:r>
          </w:p>
        </w:tc>
        <w:tc>
          <w:tcPr>
            <w:tcW w:w="1872" w:type="dxa"/>
            <w:tcBorders>
              <w:top w:val="single" w:color="auto" w:sz="4" w:space="0"/>
              <w:left w:val="nil"/>
              <w:bottom w:val="single" w:color="auto" w:sz="4" w:space="0"/>
              <w:right w:val="single" w:color="auto" w:sz="4" w:space="0"/>
            </w:tcBorders>
            <w:noWrap/>
            <w:vAlign w:val="center"/>
          </w:tcPr>
          <w:p>
            <w:pPr>
              <w:widowControl/>
              <w:spacing w:line="240" w:lineRule="auto"/>
              <w:jc w:val="left"/>
              <w:rPr>
                <w:rFonts w:cs="Times New Roman"/>
                <w:color w:val="000000"/>
                <w:kern w:val="0"/>
                <w:sz w:val="18"/>
                <w:szCs w:val="18"/>
              </w:rPr>
            </w:pPr>
            <w:r>
              <w:rPr>
                <w:rFonts w:hint="eastAsia" w:cs="Times New Roman"/>
                <w:color w:val="000000"/>
                <w:kern w:val="0"/>
                <w:sz w:val="18"/>
                <w:szCs w:val="18"/>
              </w:rPr>
              <w:t>《中华人民共和国政府信息公开条例》《关于全面推进政务公开工作的意见》</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信息形成之日起7</w:t>
            </w:r>
            <w:r>
              <w:rPr>
                <w:rFonts w:cs="Times New Roman"/>
                <w:color w:val="000000"/>
                <w:kern w:val="0"/>
                <w:sz w:val="18"/>
                <w:szCs w:val="18"/>
              </w:rPr>
              <w:t>个工作日内</w:t>
            </w:r>
          </w:p>
        </w:tc>
        <w:tc>
          <w:tcPr>
            <w:tcW w:w="130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市场监督管理部门</w:t>
            </w:r>
          </w:p>
        </w:tc>
        <w:tc>
          <w:tcPr>
            <w:tcW w:w="2603" w:type="dxa"/>
            <w:tcBorders>
              <w:top w:val="single" w:color="auto" w:sz="4" w:space="0"/>
              <w:left w:val="nil"/>
              <w:bottom w:val="single" w:color="auto" w:sz="4" w:space="0"/>
              <w:right w:val="single" w:color="auto" w:sz="4" w:space="0"/>
            </w:tcBorders>
            <w:noWrap/>
            <w:vAlign w:val="center"/>
          </w:tcPr>
          <w:p>
            <w:pPr>
              <w:widowControl/>
              <w:spacing w:line="240" w:lineRule="auto"/>
              <w:rPr>
                <w:rFonts w:cs="Times New Roman"/>
                <w:color w:val="000000"/>
                <w:kern w:val="0"/>
                <w:sz w:val="18"/>
                <w:szCs w:val="18"/>
              </w:rPr>
            </w:pPr>
            <w:r>
              <w:rPr>
                <w:rFonts w:cs="Times New Roman"/>
                <w:color w:val="000000"/>
                <w:kern w:val="0"/>
                <w:sz w:val="18"/>
                <w:szCs w:val="18"/>
              </w:rPr>
              <w:t>■政府网站 □政府公报</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两微一端 □发布会/听证会</w:t>
            </w:r>
          </w:p>
          <w:p>
            <w:pPr>
              <w:widowControl/>
              <w:spacing w:line="240" w:lineRule="auto"/>
              <w:rPr>
                <w:rFonts w:cs="Times New Roman"/>
                <w:color w:val="000000"/>
                <w:kern w:val="0"/>
                <w:sz w:val="18"/>
                <w:szCs w:val="18"/>
              </w:rPr>
            </w:pPr>
            <w:r>
              <w:rPr>
                <w:rFonts w:cs="Times New Roman"/>
                <w:color w:val="000000"/>
                <w:kern w:val="0"/>
                <w:sz w:val="18"/>
                <w:szCs w:val="18"/>
              </w:rPr>
              <w:t xml:space="preserve">□广播电视 </w:t>
            </w:r>
            <w:r>
              <w:rPr>
                <w:rFonts w:hint="eastAsia" w:cs="Times New Roman"/>
                <w:color w:val="000000"/>
                <w:kern w:val="0"/>
                <w:sz w:val="18"/>
                <w:szCs w:val="18"/>
              </w:rPr>
              <w:t>□</w:t>
            </w:r>
            <w:r>
              <w:rPr>
                <w:rFonts w:cs="Times New Roman"/>
                <w:color w:val="000000"/>
                <w:kern w:val="0"/>
                <w:sz w:val="18"/>
                <w:szCs w:val="18"/>
              </w:rPr>
              <w:t>纸质载体</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公开查阅点</w:t>
            </w:r>
            <w:r>
              <w:rPr>
                <w:rFonts w:hint="eastAsia" w:cs="Times New Roman"/>
                <w:color w:val="000000"/>
                <w:kern w:val="0"/>
                <w:sz w:val="18"/>
                <w:szCs w:val="18"/>
              </w:rPr>
              <w:t>□</w:t>
            </w:r>
            <w:r>
              <w:rPr>
                <w:rFonts w:cs="Times New Roman"/>
                <w:color w:val="000000"/>
                <w:kern w:val="0"/>
                <w:sz w:val="18"/>
                <w:szCs w:val="18"/>
              </w:rPr>
              <w:t>政府服务中心</w:t>
            </w:r>
          </w:p>
          <w:p>
            <w:pPr>
              <w:widowControl/>
              <w:spacing w:line="240" w:lineRule="auto"/>
              <w:rPr>
                <w:rFonts w:cs="Times New Roman"/>
                <w:color w:val="000000"/>
                <w:kern w:val="0"/>
                <w:sz w:val="18"/>
                <w:szCs w:val="18"/>
              </w:rPr>
            </w:pPr>
            <w:r>
              <w:rPr>
                <w:rFonts w:cs="Times New Roman"/>
                <w:color w:val="000000"/>
                <w:kern w:val="0"/>
                <w:sz w:val="18"/>
                <w:szCs w:val="18"/>
              </w:rPr>
              <w:t>□便民服务站 □入户/现场</w:t>
            </w:r>
          </w:p>
          <w:p>
            <w:pPr>
              <w:widowControl/>
              <w:spacing w:line="240" w:lineRule="auto"/>
              <w:rPr>
                <w:rFonts w:cs="Times New Roman"/>
                <w:color w:val="000000"/>
                <w:kern w:val="0"/>
                <w:sz w:val="18"/>
                <w:szCs w:val="18"/>
              </w:rPr>
            </w:pPr>
            <w:r>
              <w:rPr>
                <w:rFonts w:hint="eastAsia" w:cs="Times New Roman"/>
                <w:color w:val="000000"/>
                <w:kern w:val="0"/>
                <w:sz w:val="18"/>
                <w:szCs w:val="18"/>
              </w:rPr>
              <w:t>■</w:t>
            </w:r>
            <w:r>
              <w:rPr>
                <w:rFonts w:cs="Times New Roman"/>
                <w:color w:val="000000"/>
                <w:kern w:val="0"/>
                <w:sz w:val="18"/>
                <w:szCs w:val="18"/>
              </w:rPr>
              <w:t>社区/企事业单位/村公示栏（电子屏）</w:t>
            </w:r>
          </w:p>
          <w:p>
            <w:pPr>
              <w:widowControl/>
              <w:spacing w:line="240" w:lineRule="auto"/>
              <w:rPr>
                <w:rFonts w:cs="Times New Roman"/>
                <w:color w:val="000000"/>
                <w:kern w:val="0"/>
                <w:sz w:val="18"/>
                <w:szCs w:val="18"/>
              </w:rPr>
            </w:pPr>
            <w:r>
              <w:rPr>
                <w:rFonts w:cs="Times New Roman"/>
                <w:color w:val="000000"/>
                <w:kern w:val="0"/>
                <w:sz w:val="18"/>
                <w:szCs w:val="18"/>
              </w:rPr>
              <w:t>□精准推送 □其他</w:t>
            </w:r>
            <w:r>
              <w:rPr>
                <w:rFonts w:cs="Times New Roman"/>
                <w:color w:val="000000"/>
                <w:kern w:val="0"/>
                <w:sz w:val="18"/>
                <w:szCs w:val="18"/>
                <w:u w:val="single"/>
                <w:vertAlign w:val="subscript"/>
              </w:rPr>
              <w:t xml:space="preserve"> </w:t>
            </w:r>
            <w:r>
              <w:rPr>
                <w:rFonts w:cs="Times New Roman"/>
                <w:color w:val="000000"/>
                <w:kern w:val="0"/>
                <w:sz w:val="18"/>
                <w:szCs w:val="18"/>
                <w:u w:val="single"/>
              </w:rPr>
              <w:t xml:space="preserve">        </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83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cs="Times New Roman"/>
                <w:color w:val="000000"/>
                <w:kern w:val="0"/>
                <w:sz w:val="18"/>
                <w:szCs w:val="18"/>
              </w:rPr>
              <w:t>√</w:t>
            </w:r>
          </w:p>
        </w:tc>
        <w:tc>
          <w:tcPr>
            <w:tcW w:w="701"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cs="Times New Roman"/>
                <w:color w:val="000000"/>
                <w:kern w:val="0"/>
                <w:sz w:val="18"/>
                <w:szCs w:val="18"/>
              </w:rPr>
            </w:pPr>
            <w:r>
              <w:rPr>
                <w:rFonts w:hint="eastAsia" w:cs="Times New Roman"/>
                <w:color w:val="000000"/>
                <w:kern w:val="0"/>
                <w:sz w:val="18"/>
                <w:szCs w:val="18"/>
              </w:rPr>
              <w:t>√</w:t>
            </w:r>
          </w:p>
        </w:tc>
      </w:tr>
    </w:tbl>
    <w:p>
      <w:pPr>
        <w:rPr>
          <w:rFonts w:ascii="仿宋_GB2312" w:eastAsia="仿宋_GB2312"/>
          <w:sz w:val="24"/>
          <w:szCs w:val="24"/>
        </w:rPr>
      </w:pPr>
    </w:p>
    <w:sectPr>
      <w:footerReference r:id="rId5" w:type="default"/>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B33FB186-681F-403F-B232-F56B1547480F}"/>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embedRegular r:id="rId2" w:fontKey="{33382BB9-3E52-4F3B-9C84-0D972A68136E}"/>
  </w:font>
  <w:font w:name="方正小标宋_GBK">
    <w:panose1 w:val="02000000000000000000"/>
    <w:charset w:val="86"/>
    <w:family w:val="script"/>
    <w:pitch w:val="default"/>
    <w:sig w:usb0="A00002BF" w:usb1="38CF7CFA" w:usb2="00082016" w:usb3="00000000" w:csb0="00040001" w:csb1="00000000"/>
    <w:embedRegular r:id="rId3" w:fontKey="{7DBBB066-0D31-445E-B16B-C6C9152D3B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0MjFhYWFkZWNiMjRkNmFiYmJhMjgwOWY4MWJhNTkifQ=="/>
  </w:docVars>
  <w:rsids>
    <w:rsidRoot w:val="009A446C"/>
    <w:rsid w:val="00017910"/>
    <w:rsid w:val="0006395B"/>
    <w:rsid w:val="0008482C"/>
    <w:rsid w:val="000A1E91"/>
    <w:rsid w:val="000C298B"/>
    <w:rsid w:val="0010456A"/>
    <w:rsid w:val="00134A2D"/>
    <w:rsid w:val="0013621A"/>
    <w:rsid w:val="001409F6"/>
    <w:rsid w:val="001A1DAB"/>
    <w:rsid w:val="001B619D"/>
    <w:rsid w:val="003D1B38"/>
    <w:rsid w:val="00401B6B"/>
    <w:rsid w:val="00413E2F"/>
    <w:rsid w:val="00413FCE"/>
    <w:rsid w:val="0048272D"/>
    <w:rsid w:val="004D2D99"/>
    <w:rsid w:val="00575890"/>
    <w:rsid w:val="005F0144"/>
    <w:rsid w:val="006E3EFA"/>
    <w:rsid w:val="009A446C"/>
    <w:rsid w:val="009A5B93"/>
    <w:rsid w:val="00AB7E37"/>
    <w:rsid w:val="00B535CB"/>
    <w:rsid w:val="00BA2105"/>
    <w:rsid w:val="00C55777"/>
    <w:rsid w:val="00C9374F"/>
    <w:rsid w:val="00D20586"/>
    <w:rsid w:val="00D22103"/>
    <w:rsid w:val="00D64479"/>
    <w:rsid w:val="00E779E9"/>
    <w:rsid w:val="00EE6BB6"/>
    <w:rsid w:val="599A5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8"/>
    <w:unhideWhenUsed/>
    <w:qFormat/>
    <w:uiPriority w:val="99"/>
    <w:pPr>
      <w:tabs>
        <w:tab w:val="center" w:pos="4153"/>
        <w:tab w:val="right" w:pos="8306"/>
      </w:tabs>
      <w:snapToGrid w:val="0"/>
      <w:spacing w:line="240" w:lineRule="auto"/>
      <w:jc w:val="left"/>
    </w:pPr>
    <w:rPr>
      <w:rFonts w:asciiTheme="minorHAnsi" w:hAnsiTheme="minorHAnsi" w:eastAsiaTheme="minorEastAsia" w:cstheme="minorBidi"/>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semiHidden/>
    <w:unhideWhenUsed/>
    <w:qFormat/>
    <w:uiPriority w:val="99"/>
    <w:pPr>
      <w:widowControl/>
      <w:spacing w:before="100" w:beforeAutospacing="1" w:after="100" w:afterAutospacing="1" w:line="240" w:lineRule="auto"/>
      <w:jc w:val="left"/>
    </w:pPr>
    <w:rPr>
      <w:kern w:val="0"/>
      <w:sz w:val="24"/>
      <w:szCs w:val="24"/>
    </w:rPr>
  </w:style>
  <w:style w:type="character" w:customStyle="1" w:styleId="8">
    <w:name w:val="页脚 字符"/>
    <w:link w:val="3"/>
    <w:uiPriority w:val="99"/>
    <w:rPr>
      <w:sz w:val="18"/>
      <w:szCs w:val="18"/>
    </w:rPr>
  </w:style>
  <w:style w:type="character" w:customStyle="1" w:styleId="9">
    <w:name w:val="页脚 字符1"/>
    <w:basedOn w:val="7"/>
    <w:semiHidden/>
    <w:uiPriority w:val="99"/>
    <w:rPr>
      <w:rFonts w:ascii="宋体" w:hAnsi="宋体" w:eastAsia="宋体" w:cs="宋体"/>
      <w:sz w:val="18"/>
      <w:szCs w:val="18"/>
    </w:rPr>
  </w:style>
  <w:style w:type="character" w:customStyle="1" w:styleId="10">
    <w:name w:val="页眉 字符"/>
    <w:basedOn w:val="7"/>
    <w:link w:val="4"/>
    <w:uiPriority w:val="99"/>
    <w:rPr>
      <w:rFonts w:ascii="宋体" w:hAnsi="宋体" w:eastAsia="宋体" w:cs="宋体"/>
      <w:sz w:val="18"/>
      <w:szCs w:val="18"/>
    </w:rPr>
  </w:style>
  <w:style w:type="character" w:customStyle="1" w:styleId="11">
    <w:name w:val="日期 字符"/>
    <w:basedOn w:val="7"/>
    <w:link w:val="2"/>
    <w:semiHidden/>
    <w:uiPriority w:val="99"/>
    <w:rPr>
      <w:rFonts w:ascii="宋体" w:hAnsi="宋体" w:eastAsia="宋体" w:cs="宋体"/>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C0413-2FF8-4A3A-9931-539077B1CBD5}">
  <ds:schemaRefs/>
</ds:datastoreItem>
</file>

<file path=docProps/app.xml><?xml version="1.0" encoding="utf-8"?>
<Properties xmlns="http://schemas.openxmlformats.org/officeDocument/2006/extended-properties" xmlns:vt="http://schemas.openxmlformats.org/officeDocument/2006/docPropsVTypes">
  <Template>Normal.dotm</Template>
  <Pages>9</Pages>
  <Words>992</Words>
  <Characters>5657</Characters>
  <Lines>47</Lines>
  <Paragraphs>13</Paragraphs>
  <TotalTime>47</TotalTime>
  <ScaleCrop>false</ScaleCrop>
  <LinksUpToDate>false</LinksUpToDate>
  <CharactersWithSpaces>6636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2020-02-19T08:07:00Z</dcterms:created>
  <dc:creator>沈佳丽</dc:creator>
  <cp:lastModifiedBy>Weak     fatal～～</cp:lastModifiedBy>
  <dcterms:modified xsi:type="dcterms:W3CDTF">2023-12-01T08:10:56Z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207B516115CB4E5CAF24FFA3ECC2AE12_12</vt:lpwstr>
  </property>
</Properties>
</file>