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95D96" w14:textId="77777777" w:rsidR="00A77B3E" w:rsidRDefault="000B7E5A" w:rsidP="00852B1F">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行政院主計總處113年度施政計畫</w:t>
      </w:r>
    </w:p>
    <w:p w14:paraId="25682A39" w14:textId="77777777" w:rsidR="00A77B3E" w:rsidRDefault="00A77B3E" w:rsidP="00852B1F">
      <w:pPr>
        <w:overflowPunct w:val="0"/>
        <w:spacing w:line="320" w:lineRule="exact"/>
        <w:jc w:val="both"/>
        <w:rPr>
          <w:rFonts w:ascii="新細明體" w:eastAsia="新細明體" w:hAnsi="新細明體" w:cs="新細明體"/>
          <w:color w:val="000000"/>
          <w:lang w:eastAsia="zh-TW"/>
        </w:rPr>
      </w:pPr>
    </w:p>
    <w:p w14:paraId="2828814F" w14:textId="77777777" w:rsidR="00A77B3E" w:rsidRDefault="000B7E5A" w:rsidP="00852B1F">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總處掌理全國歲計、會計、統計及主計資訊事宜。所辦理各項業務具有相互為用的整體性，內容包括政府預算編製、預算執行控管、會計作業管理、決算編造，並根據相關公務登記以及調查資料產生經社統計結果，復以統計結果作為編製施政計畫與預算的參據。施政願景為「宏觀分配整體公共資源，促進資源運用效益，建置國際化政府會計規範，增進政府財務效能；全面提升政府統計效用，發揮統計支援決策功能；結合資訊應用，再造行政效能，成為國家建設重要推手」。</w:t>
      </w:r>
    </w:p>
    <w:p w14:paraId="34F57ACF" w14:textId="77777777" w:rsidR="00A77B3E" w:rsidRDefault="000B7E5A" w:rsidP="00852B1F">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本總處依據行政院113年度施政方針，配合核定預算額度，並針對經社情勢變化及本總處未來發展需要，編定113年度施政計畫。</w:t>
      </w:r>
    </w:p>
    <w:p w14:paraId="48751923" w14:textId="77777777" w:rsidR="00A77B3E" w:rsidRDefault="00A77B3E" w:rsidP="00852B1F">
      <w:pPr>
        <w:overflowPunct w:val="0"/>
        <w:spacing w:line="320" w:lineRule="exact"/>
        <w:jc w:val="both"/>
        <w:rPr>
          <w:rFonts w:ascii="新細明體" w:eastAsia="新細明體" w:hAnsi="新細明體" w:cs="新細明體"/>
          <w:color w:val="000000"/>
          <w:lang w:eastAsia="zh-TW"/>
        </w:rPr>
      </w:pPr>
    </w:p>
    <w:p w14:paraId="4F52278F" w14:textId="77777777" w:rsidR="00A77B3E" w:rsidRDefault="000B7E5A" w:rsidP="00852B1F">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1DC47C9B"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一、完備資源妥適分配機制，提升資源運用效益</w:t>
      </w:r>
    </w:p>
    <w:p w14:paraId="15ED101E"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零基檢討作業，在現有的預算規模上，全面檢討財政資源的有效運用，並依循施政主軸本「先減法、後加法」原則，透過資源分配之競爭評比機制排列優先順序，妥善配置國家整體資源；精進中央對地方之補助與考核機制，有效增裕地方財源收入，促使地方落實財政自主自律之精神。</w:t>
      </w:r>
    </w:p>
    <w:p w14:paraId="428FFF27"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二、強化特種基金預算管理制度，提升基金資源運用效益</w:t>
      </w:r>
    </w:p>
    <w:p w14:paraId="293C541C"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強化特種基金預算審編及執行規定，監控特種基金財務預警指標，力守特種基金財政紀律，提升基金資源運用效益。</w:t>
      </w:r>
    </w:p>
    <w:p w14:paraId="0A7380F4"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三、健全政府會計制度，強化政府會計管理</w:t>
      </w:r>
    </w:p>
    <w:p w14:paraId="0C26CEC2"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掌握政府會計發展脈動，精進政府會計處理暨決算編製作業，提升我國政府會計報導品質；辦理各機關（基金）會計事務處理及決算查核，並編造決算報告；彙整中央各機關（基金）預算執行情形，並督促加速執行；持續強化內部審核，提升財務運用效能。</w:t>
      </w:r>
    </w:p>
    <w:p w14:paraId="47D6B235"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四、發揮內部控制功能，協助達成施政目標</w:t>
      </w:r>
    </w:p>
    <w:p w14:paraId="127F6AE8"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輔導機關簽署內部控制聲明書，並協助機關深化內部控制監督作業各項工作，以強化機關自主管理。</w:t>
      </w:r>
    </w:p>
    <w:p w14:paraId="3D34FCFB"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五、提升統計質量，優化統計服務</w:t>
      </w:r>
    </w:p>
    <w:p w14:paraId="34D9F397"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國民所得按季統計及5年修正作業，編布物價統計、社會保障支出統計、110年產業關聯基本表及總資源供需估測；為接軌國際，賡續參考國際間最新統計技術、方法及規範，精進各項統計業務，提升政府統計質量。</w:t>
      </w:r>
    </w:p>
    <w:p w14:paraId="2862A97F"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六、精進基本國勢及抽樣調查統計，提供施政決策所需資訊</w:t>
      </w:r>
    </w:p>
    <w:p w14:paraId="6C0D251B"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辦理農林漁牧業普查試驗調查，編製110年工業及服務業普查報告；辦理就業與薪資調查統計，編製常住人口統計及國富統計；運用大數據分析並精進統計調查技術，以提升普抽查作業效能。</w:t>
      </w:r>
    </w:p>
    <w:p w14:paraId="4F5570F2"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七、推動地方政府統計業務，提升統計服務效能</w:t>
      </w:r>
    </w:p>
    <w:p w14:paraId="1BDAE2BC"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辦理家庭收支統計及綠色國民所得統計，並輔導地方政府精進公務統計業務及優化公務統計業務資訊化加值服務。</w:t>
      </w:r>
    </w:p>
    <w:p w14:paraId="37391293"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八、優化主計資訊服務，提升主計管理效能</w:t>
      </w:r>
    </w:p>
    <w:p w14:paraId="238A67CC"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及精進各主計資訊系統與網站服務，並強化主計資訊基礎環境與整體資訊安全，提供穩定良好資訊服務品質；推廣共通性主計資訊系統應用，撙節各主計機構系統建置與維運成本；推動主計資料開放及數據分析，增進主計資訊加值應用。</w:t>
      </w:r>
    </w:p>
    <w:p w14:paraId="0FBCC126" w14:textId="77777777" w:rsidR="00A77B3E" w:rsidRDefault="000B7E5A" w:rsidP="00852B1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九、加強培育與訓練，提升主計人員之價值與能力</w:t>
      </w:r>
    </w:p>
    <w:p w14:paraId="574A7F95" w14:textId="77777777" w:rsidR="00A77B3E" w:rsidRDefault="000B7E5A" w:rsidP="00852B1F">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建構完整主計人員訓練體系，積極培養主計人員創新學習能力，持續與時俱進，形塑學習型組織，營造終身學習優良環境。</w:t>
      </w:r>
    </w:p>
    <w:p w14:paraId="7B551B57" w14:textId="77777777" w:rsidR="00A77B3E" w:rsidRDefault="000B7E5A">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r>
        <w:rPr>
          <w:rFonts w:ascii="新細明體" w:eastAsia="新細明體" w:hAnsi="新細明體" w:cs="新細明體"/>
          <w:b/>
          <w:color w:val="000000"/>
          <w:sz w:val="28"/>
        </w:rPr>
        <w:lastRenderedPageBreak/>
        <w:t>貳、年度重要計畫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D447D7" w14:paraId="1F0CC415" w14:textId="77777777">
        <w:trPr>
          <w:trHeight w:val="159"/>
          <w:tblHeader/>
        </w:trPr>
        <w:tc>
          <w:tcPr>
            <w:tcW w:w="750" w:type="pct"/>
            <w:shd w:val="clear" w:color="FFFFFF" w:fill="FFFFFF"/>
            <w:tcMar>
              <w:top w:w="0" w:type="dxa"/>
              <w:left w:w="0" w:type="dxa"/>
              <w:bottom w:w="0" w:type="dxa"/>
              <w:right w:w="0" w:type="dxa"/>
            </w:tcMar>
            <w:vAlign w:val="center"/>
          </w:tcPr>
          <w:p w14:paraId="0B06BFB6"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工作計畫名稱</w:t>
            </w:r>
          </w:p>
        </w:tc>
        <w:tc>
          <w:tcPr>
            <w:tcW w:w="750" w:type="pct"/>
            <w:shd w:val="clear" w:color="FFFFFF" w:fill="FFFFFF"/>
            <w:tcMar>
              <w:top w:w="0" w:type="dxa"/>
              <w:left w:w="0" w:type="dxa"/>
              <w:bottom w:w="0" w:type="dxa"/>
              <w:right w:w="0" w:type="dxa"/>
            </w:tcMar>
            <w:vAlign w:val="center"/>
          </w:tcPr>
          <w:p w14:paraId="1CF55A33"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重要計畫項目</w:t>
            </w:r>
          </w:p>
        </w:tc>
        <w:tc>
          <w:tcPr>
            <w:tcW w:w="275" w:type="pct"/>
            <w:shd w:val="clear" w:color="FFFFFF" w:fill="FFFFFF"/>
            <w:tcMar>
              <w:top w:w="0" w:type="dxa"/>
              <w:left w:w="0" w:type="dxa"/>
              <w:bottom w:w="0" w:type="dxa"/>
              <w:right w:w="0" w:type="dxa"/>
            </w:tcMar>
            <w:vAlign w:val="center"/>
          </w:tcPr>
          <w:p w14:paraId="0B920908"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計畫類別</w:t>
            </w:r>
          </w:p>
        </w:tc>
        <w:tc>
          <w:tcPr>
            <w:tcW w:w="3225" w:type="pct"/>
            <w:shd w:val="clear" w:color="FFFFFF" w:fill="FFFFFF"/>
            <w:tcMar>
              <w:top w:w="0" w:type="dxa"/>
              <w:left w:w="0" w:type="dxa"/>
              <w:bottom w:w="0" w:type="dxa"/>
              <w:right w:w="0" w:type="dxa"/>
            </w:tcMar>
            <w:vAlign w:val="center"/>
          </w:tcPr>
          <w:p w14:paraId="7C713BB7"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實施內容</w:t>
            </w:r>
          </w:p>
        </w:tc>
      </w:tr>
      <w:tr w:rsidR="00D447D7" w14:paraId="5DA0386C" w14:textId="77777777">
        <w:trPr>
          <w:trHeight w:val="159"/>
        </w:trPr>
        <w:tc>
          <w:tcPr>
            <w:tcW w:w="750" w:type="pct"/>
            <w:vMerge w:val="restart"/>
            <w:shd w:val="clear" w:color="FFFFFF" w:fill="FFFFFF"/>
            <w:tcMar>
              <w:top w:w="0" w:type="dxa"/>
              <w:left w:w="0" w:type="dxa"/>
              <w:bottom w:w="0" w:type="dxa"/>
              <w:right w:w="0" w:type="dxa"/>
            </w:tcMar>
          </w:tcPr>
          <w:p w14:paraId="47CB22FC" w14:textId="77777777"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中央總預算核編及執行</w:t>
            </w:r>
          </w:p>
        </w:tc>
        <w:tc>
          <w:tcPr>
            <w:tcW w:w="750" w:type="pct"/>
            <w:shd w:val="clear" w:color="FFFFFF" w:fill="FFFFFF"/>
            <w:tcMar>
              <w:top w:w="0" w:type="dxa"/>
              <w:left w:w="0" w:type="dxa"/>
              <w:bottom w:w="0" w:type="dxa"/>
              <w:right w:w="0" w:type="dxa"/>
            </w:tcMar>
          </w:tcPr>
          <w:p w14:paraId="5709F0B7" w14:textId="015D7781"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中央總預算核編及執行</w:t>
            </w:r>
          </w:p>
        </w:tc>
        <w:tc>
          <w:tcPr>
            <w:tcW w:w="275" w:type="pct"/>
            <w:shd w:val="clear" w:color="FFFFFF" w:fill="FFFFFF"/>
            <w:tcMar>
              <w:top w:w="0" w:type="dxa"/>
              <w:left w:w="0" w:type="dxa"/>
              <w:bottom w:w="0" w:type="dxa"/>
              <w:right w:w="0" w:type="dxa"/>
            </w:tcMar>
          </w:tcPr>
          <w:p w14:paraId="33648E26"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33AE1056"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一、研提增進公務及財務效能之建議，供行政院訂定施政方針參考。</w:t>
            </w:r>
          </w:p>
          <w:p w14:paraId="37B5867D"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二、參酌總資源供需估測趨勢，推估未來4年中程預算收支規模，核定分行各主管機關中程歲出概算額度。</w:t>
            </w:r>
          </w:p>
          <w:p w14:paraId="49F53BAE"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三、依照施政方針，擬訂114年度中央政府總預算編製辦法，並依照統籌財源合理分配之原則，訂定中央及地方政府預算籌編原則。</w:t>
            </w:r>
          </w:p>
          <w:p w14:paraId="5FFF6CFB"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四、審核中央政府各機關單位概算，彙編114年度中央政府總預算案，送立法院審議。</w:t>
            </w:r>
          </w:p>
          <w:p w14:paraId="6504D32A"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五、檢討修正114年度總預算編製與各機關單位預算執行規範。</w:t>
            </w:r>
          </w:p>
          <w:p w14:paraId="0525E76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六、精進中央對地方之補助與考核機制。</w:t>
            </w:r>
          </w:p>
          <w:p w14:paraId="1A29FDAF"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七、加強對地方預算編列與執行之督導及辦理相關預警機制等。</w:t>
            </w:r>
          </w:p>
          <w:p w14:paraId="57F5D1B4"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八、辦理113年度直轄市及縣（市）總預算彙編及建立歷年地方預算資料庫（含鄉、鎮、市、直轄市山地原住民區）。</w:t>
            </w:r>
          </w:p>
          <w:p w14:paraId="0C7AC9E6"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九、辦理地方災害防救經費之協助相關業務。</w:t>
            </w:r>
          </w:p>
        </w:tc>
      </w:tr>
      <w:tr w:rsidR="00D447D7" w14:paraId="342586CF" w14:textId="77777777">
        <w:trPr>
          <w:trHeight w:val="159"/>
        </w:trPr>
        <w:tc>
          <w:tcPr>
            <w:tcW w:w="750" w:type="pct"/>
            <w:vMerge w:val="restart"/>
            <w:shd w:val="clear" w:color="FFFFFF" w:fill="FFFFFF"/>
            <w:tcMar>
              <w:top w:w="0" w:type="dxa"/>
              <w:left w:w="0" w:type="dxa"/>
              <w:bottom w:w="0" w:type="dxa"/>
              <w:right w:w="0" w:type="dxa"/>
            </w:tcMar>
          </w:tcPr>
          <w:p w14:paraId="66A16617" w14:textId="77777777"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特種基金預算核編及執行</w:t>
            </w:r>
          </w:p>
        </w:tc>
        <w:tc>
          <w:tcPr>
            <w:tcW w:w="750" w:type="pct"/>
            <w:shd w:val="clear" w:color="FFFFFF" w:fill="FFFFFF"/>
            <w:tcMar>
              <w:top w:w="0" w:type="dxa"/>
              <w:left w:w="0" w:type="dxa"/>
              <w:bottom w:w="0" w:type="dxa"/>
              <w:right w:w="0" w:type="dxa"/>
            </w:tcMar>
          </w:tcPr>
          <w:p w14:paraId="58D67EE8" w14:textId="35110DD5"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特種基金預算核編及執行</w:t>
            </w:r>
          </w:p>
        </w:tc>
        <w:tc>
          <w:tcPr>
            <w:tcW w:w="275" w:type="pct"/>
            <w:shd w:val="clear" w:color="FFFFFF" w:fill="FFFFFF"/>
            <w:tcMar>
              <w:top w:w="0" w:type="dxa"/>
              <w:left w:w="0" w:type="dxa"/>
              <w:bottom w:w="0" w:type="dxa"/>
              <w:right w:w="0" w:type="dxa"/>
            </w:tcMar>
          </w:tcPr>
          <w:p w14:paraId="37CF8278"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2ECCF68F"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一、研提增進特種基金經營效能之建議，供行政院訂定施政方針參考。</w:t>
            </w:r>
          </w:p>
          <w:p w14:paraId="081B91F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二、擬訂114年度國營事業計畫總綱，陳院核定後分行各事業主管機關，據以擬定其事業計畫。</w:t>
            </w:r>
          </w:p>
          <w:p w14:paraId="24BA4A54"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三、擬訂114年度中央政府總預算附屬單位預算編製辦法、直轄市及縣（市）總預算附屬單位預算編製要點。</w:t>
            </w:r>
          </w:p>
          <w:p w14:paraId="19C23D74"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四、合理核列中央政府特種基金盈（賸）餘目標及重要投資計畫等，彙編114年度中央政府總預算案附屬單位預算及綜計表（營業及非營業部分），送立法院審議。</w:t>
            </w:r>
          </w:p>
          <w:p w14:paraId="4BBC42D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五、檢討修正附屬單位預算執行要點等相關規定，提升特種基金經費運用效能。</w:t>
            </w:r>
          </w:p>
          <w:p w14:paraId="105BFDD5"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六、監控特種基金財務預警指標，力守特種基金財政紀律。</w:t>
            </w:r>
          </w:p>
        </w:tc>
      </w:tr>
      <w:tr w:rsidR="00D447D7" w14:paraId="1DA714A3" w14:textId="77777777">
        <w:trPr>
          <w:trHeight w:val="159"/>
        </w:trPr>
        <w:tc>
          <w:tcPr>
            <w:tcW w:w="750" w:type="pct"/>
            <w:vMerge w:val="restart"/>
            <w:shd w:val="clear" w:color="FFFFFF" w:fill="FFFFFF"/>
            <w:tcMar>
              <w:top w:w="0" w:type="dxa"/>
              <w:left w:w="0" w:type="dxa"/>
              <w:bottom w:w="0" w:type="dxa"/>
              <w:right w:w="0" w:type="dxa"/>
            </w:tcMar>
          </w:tcPr>
          <w:p w14:paraId="1EB1700B"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會計及決算業務</w:t>
            </w:r>
          </w:p>
        </w:tc>
        <w:tc>
          <w:tcPr>
            <w:tcW w:w="750" w:type="pct"/>
            <w:shd w:val="clear" w:color="FFFFFF" w:fill="FFFFFF"/>
            <w:tcMar>
              <w:top w:w="0" w:type="dxa"/>
              <w:left w:w="0" w:type="dxa"/>
              <w:bottom w:w="0" w:type="dxa"/>
              <w:right w:w="0" w:type="dxa"/>
            </w:tcMar>
          </w:tcPr>
          <w:p w14:paraId="18241C5B" w14:textId="77777777"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會計事務處理及決算核編</w:t>
            </w:r>
          </w:p>
        </w:tc>
        <w:tc>
          <w:tcPr>
            <w:tcW w:w="275" w:type="pct"/>
            <w:shd w:val="clear" w:color="FFFFFF" w:fill="FFFFFF"/>
            <w:tcMar>
              <w:top w:w="0" w:type="dxa"/>
              <w:left w:w="0" w:type="dxa"/>
              <w:bottom w:w="0" w:type="dxa"/>
              <w:right w:w="0" w:type="dxa"/>
            </w:tcMar>
          </w:tcPr>
          <w:p w14:paraId="3C60980A"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60B58E53"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一、按月彙整中央政府各機關（基金）預算執行情形，針對執行進度落後機關（基金），適時督促加速執行。</w:t>
            </w:r>
          </w:p>
          <w:p w14:paraId="3021E61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二、編造112年度中央政府總決算暨附屬單位決算及綜計表（營業及非營業部分）。</w:t>
            </w:r>
          </w:p>
          <w:p w14:paraId="1F83BA79"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三、編造113年度中央政府總預算半年結算報告暨總預算附屬單位預算半年結算報告及綜計表（營業及非營業部分）。</w:t>
            </w:r>
          </w:p>
          <w:p w14:paraId="1B957273"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四、辦理中央政府各機關（基金）會計事務處理及112年度決算之查核作業。</w:t>
            </w:r>
          </w:p>
          <w:p w14:paraId="4F546BFC"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五、賡續推動政府會計研究發展。</w:t>
            </w:r>
          </w:p>
          <w:p w14:paraId="74BF83F3"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六、審議、核頒各類會計制度。</w:t>
            </w:r>
          </w:p>
          <w:p w14:paraId="72360692"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七、辦理內部審核相關規制檢討，精進內部審核作業。</w:t>
            </w:r>
          </w:p>
        </w:tc>
      </w:tr>
      <w:tr w:rsidR="00D447D7" w14:paraId="06F83355" w14:textId="77777777">
        <w:trPr>
          <w:trHeight w:val="159"/>
        </w:trPr>
        <w:tc>
          <w:tcPr>
            <w:tcW w:w="750" w:type="pct"/>
            <w:vMerge w:val="restart"/>
            <w:shd w:val="clear" w:color="FFFFFF" w:fill="FFFFFF"/>
            <w:tcMar>
              <w:top w:w="0" w:type="dxa"/>
              <w:left w:w="0" w:type="dxa"/>
              <w:bottom w:w="0" w:type="dxa"/>
              <w:right w:w="0" w:type="dxa"/>
            </w:tcMar>
          </w:tcPr>
          <w:p w14:paraId="2DCF85F6"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一般行政</w:t>
            </w:r>
          </w:p>
        </w:tc>
        <w:tc>
          <w:tcPr>
            <w:tcW w:w="750" w:type="pct"/>
            <w:shd w:val="clear" w:color="FFFFFF" w:fill="FFFFFF"/>
            <w:tcMar>
              <w:top w:w="0" w:type="dxa"/>
              <w:left w:w="0" w:type="dxa"/>
              <w:bottom w:w="0" w:type="dxa"/>
              <w:right w:w="0" w:type="dxa"/>
            </w:tcMar>
          </w:tcPr>
          <w:p w14:paraId="0D52F28E" w14:textId="77777777"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政府內部控制監督機制規劃及督導</w:t>
            </w:r>
          </w:p>
        </w:tc>
        <w:tc>
          <w:tcPr>
            <w:tcW w:w="275" w:type="pct"/>
            <w:shd w:val="clear" w:color="FFFFFF" w:fill="FFFFFF"/>
            <w:tcMar>
              <w:top w:w="0" w:type="dxa"/>
              <w:left w:w="0" w:type="dxa"/>
              <w:bottom w:w="0" w:type="dxa"/>
              <w:right w:w="0" w:type="dxa"/>
            </w:tcMar>
          </w:tcPr>
          <w:p w14:paraId="422FF04D"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44229516"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一、輔導機關簽署內部控制聲明書。</w:t>
            </w:r>
          </w:p>
          <w:p w14:paraId="7DBE4208"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二、協助機關深化內部控制監督作業各項工作，並推動運用資訊工具協助內部稽核。</w:t>
            </w:r>
          </w:p>
        </w:tc>
      </w:tr>
      <w:tr w:rsidR="00D447D7" w14:paraId="00D5D59F" w14:textId="77777777">
        <w:trPr>
          <w:trHeight w:val="159"/>
        </w:trPr>
        <w:tc>
          <w:tcPr>
            <w:tcW w:w="750" w:type="pct"/>
            <w:vMerge w:val="restart"/>
            <w:shd w:val="clear" w:color="FFFFFF" w:fill="FFFFFF"/>
            <w:tcMar>
              <w:top w:w="0" w:type="dxa"/>
              <w:left w:w="0" w:type="dxa"/>
              <w:bottom w:w="0" w:type="dxa"/>
              <w:right w:w="0" w:type="dxa"/>
            </w:tcMar>
          </w:tcPr>
          <w:p w14:paraId="7AD5F242"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綜合統計業務</w:t>
            </w:r>
          </w:p>
        </w:tc>
        <w:tc>
          <w:tcPr>
            <w:tcW w:w="750" w:type="pct"/>
            <w:shd w:val="clear" w:color="FFFFFF" w:fill="FFFFFF"/>
            <w:tcMar>
              <w:top w:w="0" w:type="dxa"/>
              <w:left w:w="0" w:type="dxa"/>
              <w:bottom w:w="0" w:type="dxa"/>
              <w:right w:w="0" w:type="dxa"/>
            </w:tcMar>
          </w:tcPr>
          <w:p w14:paraId="7CBBB885"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綜合統計與統計管理</w:t>
            </w:r>
          </w:p>
        </w:tc>
        <w:tc>
          <w:tcPr>
            <w:tcW w:w="275" w:type="pct"/>
            <w:shd w:val="clear" w:color="FFFFFF" w:fill="FFFFFF"/>
            <w:tcMar>
              <w:top w:w="0" w:type="dxa"/>
              <w:left w:w="0" w:type="dxa"/>
              <w:bottom w:w="0" w:type="dxa"/>
              <w:right w:w="0" w:type="dxa"/>
            </w:tcMar>
          </w:tcPr>
          <w:p w14:paraId="48A2D1E8"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295B9A68"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一、強化統計法制與公務統計行政管理。</w:t>
            </w:r>
          </w:p>
          <w:p w14:paraId="3A3F5B8D"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二、精進統計資料服務效能及管理機制；優化總體統計資料庫維運及統計業務資訊化等作業。</w:t>
            </w:r>
          </w:p>
          <w:p w14:paraId="2BA80CE9"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三、按月編布物價統計；辦理服務業生產者物價指數110年基期改編作業，及擴增編布住宿、餐飲等業別。</w:t>
            </w:r>
          </w:p>
          <w:p w14:paraId="69041491"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四、按季辦理國民所得統計，並完成113年國民所得統計5年修正作業；編布112 年社會保障支出統計及110年產業關聯基本表及供給使用表；辦理服務業營運及投資概況調查。</w:t>
            </w:r>
          </w:p>
          <w:p w14:paraId="5C95FB48"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五、辦理113年與114年總資源供需估測及編布各季經濟預測。</w:t>
            </w:r>
          </w:p>
        </w:tc>
      </w:tr>
      <w:tr w:rsidR="00D447D7" w14:paraId="3C531CE0" w14:textId="77777777">
        <w:trPr>
          <w:trHeight w:val="159"/>
        </w:trPr>
        <w:tc>
          <w:tcPr>
            <w:tcW w:w="750" w:type="pct"/>
            <w:vMerge/>
            <w:shd w:val="clear" w:color="FFFFFF" w:fill="FFFFFF"/>
            <w:tcMar>
              <w:top w:w="0" w:type="dxa"/>
              <w:left w:w="0" w:type="dxa"/>
              <w:bottom w:w="0" w:type="dxa"/>
              <w:right w:w="0" w:type="dxa"/>
            </w:tcMar>
          </w:tcPr>
          <w:p w14:paraId="2670EDC9"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綜合統計業務</w:t>
            </w:r>
          </w:p>
        </w:tc>
        <w:tc>
          <w:tcPr>
            <w:tcW w:w="750" w:type="pct"/>
            <w:shd w:val="clear" w:color="FFFFFF" w:fill="FFFFFF"/>
            <w:tcMar>
              <w:top w:w="0" w:type="dxa"/>
              <w:left w:w="0" w:type="dxa"/>
              <w:bottom w:w="0" w:type="dxa"/>
              <w:right w:w="0" w:type="dxa"/>
            </w:tcMar>
          </w:tcPr>
          <w:p w14:paraId="555EF443" w14:textId="77777777" w:rsidR="00A77B3E" w:rsidRDefault="000B7E5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綜合統計與輔導地方政府統計</w:t>
            </w:r>
          </w:p>
        </w:tc>
        <w:tc>
          <w:tcPr>
            <w:tcW w:w="275" w:type="pct"/>
            <w:shd w:val="clear" w:color="FFFFFF" w:fill="FFFFFF"/>
            <w:tcMar>
              <w:top w:w="0" w:type="dxa"/>
              <w:left w:w="0" w:type="dxa"/>
              <w:bottom w:w="0" w:type="dxa"/>
              <w:right w:w="0" w:type="dxa"/>
            </w:tcMar>
          </w:tcPr>
          <w:p w14:paraId="36CD952E"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07E0D7FC"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一、辦理家庭收支調查，並優化地方政府應用家戶面統計調查系統效能。</w:t>
            </w:r>
          </w:p>
          <w:p w14:paraId="57CAA2F5"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二、充實環境資源資料內涵，精進綠色國民所得統計之編算。</w:t>
            </w:r>
          </w:p>
          <w:p w14:paraId="13DA64A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三、輔導地方政府精進公務統計業務及建置公務統計管理資訊系統，並優化公務統計業務資訊化加值服務，提升地方政府公務統計服務效能。</w:t>
            </w:r>
          </w:p>
        </w:tc>
      </w:tr>
      <w:tr w:rsidR="00D447D7" w14:paraId="68216844" w14:textId="77777777">
        <w:trPr>
          <w:trHeight w:val="159"/>
        </w:trPr>
        <w:tc>
          <w:tcPr>
            <w:tcW w:w="750" w:type="pct"/>
            <w:vMerge w:val="restart"/>
            <w:shd w:val="clear" w:color="FFFFFF" w:fill="FFFFFF"/>
            <w:tcMar>
              <w:top w:w="0" w:type="dxa"/>
              <w:left w:w="0" w:type="dxa"/>
              <w:bottom w:w="0" w:type="dxa"/>
              <w:right w:w="0" w:type="dxa"/>
            </w:tcMar>
          </w:tcPr>
          <w:p w14:paraId="5B87938B"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國勢普查業務</w:t>
            </w:r>
          </w:p>
        </w:tc>
        <w:tc>
          <w:tcPr>
            <w:tcW w:w="750" w:type="pct"/>
            <w:shd w:val="clear" w:color="FFFFFF" w:fill="FFFFFF"/>
            <w:tcMar>
              <w:top w:w="0" w:type="dxa"/>
              <w:left w:w="0" w:type="dxa"/>
              <w:bottom w:w="0" w:type="dxa"/>
              <w:right w:w="0" w:type="dxa"/>
            </w:tcMar>
          </w:tcPr>
          <w:p w14:paraId="7B3410FC"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國勢普查業務</w:t>
            </w:r>
          </w:p>
        </w:tc>
        <w:tc>
          <w:tcPr>
            <w:tcW w:w="275" w:type="pct"/>
            <w:shd w:val="clear" w:color="FFFFFF" w:fill="FFFFFF"/>
            <w:tcMar>
              <w:top w:w="0" w:type="dxa"/>
              <w:left w:w="0" w:type="dxa"/>
              <w:bottom w:w="0" w:type="dxa"/>
              <w:right w:w="0" w:type="dxa"/>
            </w:tcMar>
          </w:tcPr>
          <w:p w14:paraId="177C9D6B"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22AFCDBE"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一、研訂114年農林漁牧業普查方案，並辦理試驗調查。</w:t>
            </w:r>
          </w:p>
          <w:p w14:paraId="4D74AA85"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二、辦理110年工業及服務業普查報告編製作業。</w:t>
            </w:r>
          </w:p>
          <w:p w14:paraId="0FBE8883"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三、辦理人口及住宅普查專題研究及編製常住人口統計。</w:t>
            </w:r>
          </w:p>
          <w:p w14:paraId="1B87B50D"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四、辦理地理資訊系統圖資、平臺與工業及服務業母體資料庫之更新、管理及維護。</w:t>
            </w:r>
          </w:p>
          <w:p w14:paraId="403974B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五、蒐集各部門資本存量資料，編製國富統計。</w:t>
            </w:r>
          </w:p>
          <w:p w14:paraId="773E49EB"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六、按月提供就業及失業狀況統計資訊；按年辦理人力運用相關專案調查統計。</w:t>
            </w:r>
          </w:p>
          <w:p w14:paraId="2BA6AF3D" w14:textId="5D93082E"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七、按月提供受僱員工薪資、工時及進退狀況統計結果；按</w:t>
            </w:r>
            <w:r w:rsidR="00E0341F">
              <w:rPr>
                <w:rFonts w:ascii="新細明體" w:eastAsia="新細明體" w:hAnsi="新細明體" w:cs="新細明體" w:hint="eastAsia"/>
                <w:color w:val="000000"/>
                <w:lang w:eastAsia="zh-TW"/>
              </w:rPr>
              <w:t>季</w:t>
            </w:r>
            <w:r>
              <w:rPr>
                <w:rFonts w:ascii="新細明體" w:eastAsia="新細明體" w:hAnsi="新細明體" w:cs="新細明體"/>
                <w:color w:val="000000"/>
                <w:lang w:eastAsia="zh-TW"/>
              </w:rPr>
              <w:t>辦理受僱員工補充性專案調查統計。</w:t>
            </w:r>
          </w:p>
          <w:p w14:paraId="349D7C2C"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八、辦理統計調查之審議與管理。</w:t>
            </w:r>
          </w:p>
          <w:p w14:paraId="18B162A1"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九、辦理普查及中央機關重要統計調查執行作業，定期蒐集經濟及社會基本資訊。</w:t>
            </w:r>
          </w:p>
        </w:tc>
      </w:tr>
      <w:tr w:rsidR="00D447D7" w14:paraId="5470235E" w14:textId="77777777">
        <w:trPr>
          <w:trHeight w:val="159"/>
        </w:trPr>
        <w:tc>
          <w:tcPr>
            <w:tcW w:w="750" w:type="pct"/>
            <w:vMerge w:val="restart"/>
            <w:shd w:val="clear" w:color="FFFFFF" w:fill="FFFFFF"/>
            <w:tcMar>
              <w:top w:w="0" w:type="dxa"/>
              <w:left w:w="0" w:type="dxa"/>
              <w:bottom w:w="0" w:type="dxa"/>
              <w:right w:w="0" w:type="dxa"/>
            </w:tcMar>
          </w:tcPr>
          <w:p w14:paraId="64A9F83B"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主計資訊業務</w:t>
            </w:r>
          </w:p>
        </w:tc>
        <w:tc>
          <w:tcPr>
            <w:tcW w:w="750" w:type="pct"/>
            <w:shd w:val="clear" w:color="FFFFFF" w:fill="FFFFFF"/>
            <w:tcMar>
              <w:top w:w="0" w:type="dxa"/>
              <w:left w:w="0" w:type="dxa"/>
              <w:bottom w:w="0" w:type="dxa"/>
              <w:right w:w="0" w:type="dxa"/>
            </w:tcMar>
          </w:tcPr>
          <w:p w14:paraId="67A4CF1D"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主計資訊業務</w:t>
            </w:r>
          </w:p>
        </w:tc>
        <w:tc>
          <w:tcPr>
            <w:tcW w:w="275" w:type="pct"/>
            <w:shd w:val="clear" w:color="FFFFFF" w:fill="FFFFFF"/>
            <w:tcMar>
              <w:top w:w="0" w:type="dxa"/>
              <w:left w:w="0" w:type="dxa"/>
              <w:bottom w:w="0" w:type="dxa"/>
              <w:right w:w="0" w:type="dxa"/>
            </w:tcMar>
          </w:tcPr>
          <w:p w14:paraId="38AA8A04"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017D865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一、辦理中央及地方政府歲計會計資訊共用軟體之規劃、開發、維運與推廣。</w:t>
            </w:r>
          </w:p>
          <w:p w14:paraId="479649C8"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二、辦理統計調查資料處理作業及共用軟體之規劃、開發、維運與推廣。</w:t>
            </w:r>
          </w:p>
          <w:p w14:paraId="6B9969A0"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三、辦理行政業務相關資訊系統之規劃、開發、維運與推廣。</w:t>
            </w:r>
          </w:p>
          <w:p w14:paraId="777620F9"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四、辦理主計資訊系統維運平臺、網路資源及資訊安全之規劃、建置與維運。</w:t>
            </w:r>
          </w:p>
          <w:p w14:paraId="09DBE86C" w14:textId="77777777" w:rsidR="00A77B3E" w:rsidRDefault="000B7E5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五、辦理政府主計資料開放、品質提升及推動數據分析應用。</w:t>
            </w:r>
          </w:p>
        </w:tc>
      </w:tr>
      <w:tr w:rsidR="00D447D7" w14:paraId="5D65F48E" w14:textId="77777777">
        <w:trPr>
          <w:trHeight w:val="159"/>
        </w:trPr>
        <w:tc>
          <w:tcPr>
            <w:tcW w:w="750" w:type="pct"/>
            <w:shd w:val="clear" w:color="FFFFFF" w:fill="FFFFFF"/>
            <w:tcMar>
              <w:top w:w="0" w:type="dxa"/>
              <w:left w:w="0" w:type="dxa"/>
              <w:bottom w:w="0" w:type="dxa"/>
              <w:right w:w="0" w:type="dxa"/>
            </w:tcMar>
          </w:tcPr>
          <w:p w14:paraId="6D09A676"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主計訓練業務</w:t>
            </w:r>
          </w:p>
        </w:tc>
        <w:tc>
          <w:tcPr>
            <w:tcW w:w="750" w:type="pct"/>
            <w:shd w:val="clear" w:color="FFFFFF" w:fill="FFFFFF"/>
            <w:tcMar>
              <w:top w:w="0" w:type="dxa"/>
              <w:left w:w="0" w:type="dxa"/>
              <w:bottom w:w="0" w:type="dxa"/>
              <w:right w:w="0" w:type="dxa"/>
            </w:tcMar>
          </w:tcPr>
          <w:p w14:paraId="2643EA7D" w14:textId="77777777" w:rsidR="00A77B3E" w:rsidRDefault="000B7E5A">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主計人員訓練</w:t>
            </w:r>
          </w:p>
        </w:tc>
        <w:tc>
          <w:tcPr>
            <w:tcW w:w="275" w:type="pct"/>
            <w:shd w:val="clear" w:color="FFFFFF" w:fill="FFFFFF"/>
            <w:tcMar>
              <w:top w:w="0" w:type="dxa"/>
              <w:left w:w="0" w:type="dxa"/>
              <w:bottom w:w="0" w:type="dxa"/>
              <w:right w:w="0" w:type="dxa"/>
            </w:tcMar>
          </w:tcPr>
          <w:p w14:paraId="16878D5D" w14:textId="77777777" w:rsidR="00A77B3E" w:rsidRDefault="000B7E5A">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6946D4FE" w14:textId="77777777" w:rsidR="00A77B3E" w:rsidRDefault="000B7E5A">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辦理主計人員基礎訓練班、養成訓練班、幹部培育班、領導研究班及專業研習班。</w:t>
            </w:r>
          </w:p>
        </w:tc>
      </w:tr>
    </w:tbl>
    <w:p w14:paraId="2B63D516" w14:textId="77777777" w:rsidR="00A77B3E" w:rsidRDefault="00A77B3E">
      <w:pPr>
        <w:spacing w:line="320" w:lineRule="exact"/>
        <w:jc w:val="both"/>
        <w:rPr>
          <w:rFonts w:ascii="新細明體" w:eastAsia="新細明體" w:hAnsi="新細明體" w:cs="新細明體"/>
          <w:color w:val="000000"/>
          <w:lang w:eastAsia="zh-TW"/>
        </w:rPr>
      </w:pPr>
    </w:p>
    <w:p w14:paraId="2FF27D3E"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BC02B" w14:textId="77777777" w:rsidR="002D01F9" w:rsidRDefault="000B7E5A">
      <w:r>
        <w:separator/>
      </w:r>
    </w:p>
  </w:endnote>
  <w:endnote w:type="continuationSeparator" w:id="0">
    <w:p w14:paraId="201A81B9" w14:textId="77777777" w:rsidR="002D01F9" w:rsidRDefault="000B7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965D5" w14:textId="264560B1" w:rsidR="00D447D7" w:rsidRDefault="00CB5694">
    <w:pPr>
      <w:jc w:val="center"/>
      <w:rPr>
        <w:rFonts w:ascii="新細明體" w:eastAsia="新細明體" w:hAnsi="新細明體" w:cs="新細明體"/>
      </w:rPr>
    </w:pPr>
    <w:r>
      <w:rPr>
        <w:rFonts w:ascii="新細明體" w:eastAsia="新細明體" w:hAnsi="新細明體" w:cs="新細明體" w:hint="eastAsia"/>
        <w:sz w:val="20"/>
        <w:lang w:eastAsia="zh-TW"/>
      </w:rPr>
      <w:t>26</w:t>
    </w:r>
    <w:r w:rsidR="000B7E5A">
      <w:rPr>
        <w:rFonts w:ascii="新細明體" w:eastAsia="新細明體" w:hAnsi="新細明體" w:cs="新細明體"/>
        <w:sz w:val="20"/>
      </w:rPr>
      <w:t>-</w:t>
    </w:r>
    <w:r w:rsidR="000B7E5A">
      <w:rPr>
        <w:rFonts w:ascii="新細明體" w:eastAsia="新細明體" w:hAnsi="新細明體" w:cs="新細明體"/>
        <w:sz w:val="20"/>
      </w:rPr>
      <w:fldChar w:fldCharType="begin"/>
    </w:r>
    <w:r w:rsidR="000B7E5A">
      <w:rPr>
        <w:rFonts w:ascii="新細明體" w:eastAsia="新細明體" w:hAnsi="新細明體" w:cs="新細明體"/>
        <w:sz w:val="20"/>
      </w:rPr>
      <w:instrText>PAGE</w:instrText>
    </w:r>
    <w:r w:rsidR="000B7E5A">
      <w:rPr>
        <w:rFonts w:ascii="新細明體" w:eastAsia="新細明體" w:hAnsi="新細明體" w:cs="新細明體"/>
        <w:sz w:val="20"/>
      </w:rPr>
      <w:fldChar w:fldCharType="separate"/>
    </w:r>
    <w:r w:rsidR="00D2765D">
      <w:rPr>
        <w:rFonts w:ascii="新細明體" w:eastAsia="新細明體" w:hAnsi="新細明體" w:cs="新細明體"/>
        <w:noProof/>
        <w:sz w:val="20"/>
      </w:rPr>
      <w:t>1</w:t>
    </w:r>
    <w:r w:rsidR="000B7E5A">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B7B9C" w14:textId="77777777" w:rsidR="002D01F9" w:rsidRDefault="000B7E5A">
      <w:r>
        <w:separator/>
      </w:r>
    </w:p>
  </w:footnote>
  <w:footnote w:type="continuationSeparator" w:id="0">
    <w:p w14:paraId="36A72BCF" w14:textId="77777777" w:rsidR="002D01F9" w:rsidRDefault="000B7E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B7E5A"/>
    <w:rsid w:val="002D01F9"/>
    <w:rsid w:val="0057009C"/>
    <w:rsid w:val="00852B1F"/>
    <w:rsid w:val="00A55E66"/>
    <w:rsid w:val="00A77B3E"/>
    <w:rsid w:val="00CA2A55"/>
    <w:rsid w:val="00CB5694"/>
    <w:rsid w:val="00D2765D"/>
    <w:rsid w:val="00D447D7"/>
    <w:rsid w:val="00E034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2157C"/>
  <w15:docId w15:val="{5AAF6313-0647-4C5C-ACBE-101DE4AC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D2765D"/>
    <w:pPr>
      <w:tabs>
        <w:tab w:val="center" w:pos="4153"/>
        <w:tab w:val="right" w:pos="8306"/>
      </w:tabs>
      <w:snapToGrid w:val="0"/>
    </w:pPr>
    <w:rPr>
      <w:sz w:val="20"/>
      <w:szCs w:val="20"/>
    </w:rPr>
  </w:style>
  <w:style w:type="character" w:customStyle="1" w:styleId="a4">
    <w:name w:val="頁首 字元"/>
    <w:basedOn w:val="a0"/>
    <w:link w:val="a3"/>
    <w:rsid w:val="00D2765D"/>
  </w:style>
  <w:style w:type="paragraph" w:styleId="a5">
    <w:name w:val="footer"/>
    <w:basedOn w:val="a"/>
    <w:link w:val="a6"/>
    <w:unhideWhenUsed/>
    <w:rsid w:val="00D2765D"/>
    <w:pPr>
      <w:tabs>
        <w:tab w:val="center" w:pos="4153"/>
        <w:tab w:val="right" w:pos="8306"/>
      </w:tabs>
      <w:snapToGrid w:val="0"/>
    </w:pPr>
    <w:rPr>
      <w:sz w:val="20"/>
      <w:szCs w:val="20"/>
    </w:rPr>
  </w:style>
  <w:style w:type="character" w:customStyle="1" w:styleId="a6">
    <w:name w:val="頁尾 字元"/>
    <w:basedOn w:val="a0"/>
    <w:link w:val="a5"/>
    <w:rsid w:val="00D27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3011</Words>
  <Characters>163</Characters>
  <Application>Microsoft Office Word</Application>
  <DocSecurity>0</DocSecurity>
  <Lines>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李政達</cp:lastModifiedBy>
  <cp:revision>6</cp:revision>
  <cp:lastPrinted>2023-07-31T09:08:00Z</cp:lastPrinted>
  <dcterms:created xsi:type="dcterms:W3CDTF">2023-07-31T09:09:00Z</dcterms:created>
  <dcterms:modified xsi:type="dcterms:W3CDTF">2023-08-07T00:31:00Z</dcterms:modified>
</cp:coreProperties>
</file>