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79" w:lineRule="exact"/>
        <w:rPr>
          <w:rFonts w:eastAsia="黑体"/>
          <w:szCs w:val="32"/>
        </w:rPr>
      </w:pPr>
      <w:r>
        <w:rPr>
          <w:rFonts w:eastAsia="黑体"/>
          <w:szCs w:val="32"/>
        </w:rPr>
        <w:t>附件1</w:t>
      </w:r>
    </w:p>
    <w:p>
      <w:pPr>
        <w:spacing w:line="579" w:lineRule="exact"/>
        <w:jc w:val="center"/>
        <w:rPr>
          <w:rFonts w:eastAsia="方正小标宋简体"/>
          <w:sz w:val="44"/>
          <w:szCs w:val="44"/>
        </w:rPr>
      </w:pPr>
    </w:p>
    <w:p>
      <w:pPr>
        <w:spacing w:line="579" w:lineRule="exact"/>
        <w:jc w:val="center"/>
        <w:rPr>
          <w:rFonts w:eastAsia="方正小标宋简体"/>
          <w:sz w:val="44"/>
          <w:szCs w:val="44"/>
        </w:rPr>
      </w:pPr>
      <w:r>
        <w:rPr>
          <w:rFonts w:eastAsia="方正小标宋简体"/>
          <w:sz w:val="44"/>
          <w:szCs w:val="44"/>
        </w:rPr>
        <w:t>浙江省冷链物流高质量发展三年行动计划（2023-2025年）</w:t>
      </w:r>
    </w:p>
    <w:p>
      <w:pPr>
        <w:spacing w:line="579" w:lineRule="exact"/>
      </w:pPr>
    </w:p>
    <w:p>
      <w:pPr>
        <w:spacing w:line="579" w:lineRule="exact"/>
        <w:ind w:firstLine="608" w:firstLineChars="200"/>
        <w:rPr>
          <w:szCs w:val="32"/>
        </w:rPr>
      </w:pPr>
      <w:r>
        <w:rPr>
          <w:szCs w:val="32"/>
        </w:rPr>
        <w:t>为贯彻落实《“十四五”现代物流发展规划》（国办发〔2022〕17号）</w:t>
      </w:r>
      <w:r>
        <w:rPr>
          <w:rFonts w:hint="eastAsia"/>
          <w:szCs w:val="32"/>
          <w:highlight w:val="none"/>
        </w:rPr>
        <w:t>、</w:t>
      </w:r>
      <w:r>
        <w:rPr>
          <w:szCs w:val="32"/>
        </w:rPr>
        <w:t>《“十四五”冷链物流发展规划》（国办发〔2021〕46号）、《国家骨干冷链物流基地建设实施方案》（发改经贸〔2021〕1809号）和《浙江省服务业高质量发展“百千万”工程实施方案（2023-2027）》</w:t>
      </w:r>
      <w:r>
        <w:rPr>
          <w:rFonts w:hint="eastAsia"/>
          <w:szCs w:val="32"/>
        </w:rPr>
        <w:t>（浙政办发〔2023〕8号）</w:t>
      </w:r>
      <w:r>
        <w:rPr>
          <w:szCs w:val="32"/>
        </w:rPr>
        <w:t>，接续推动全省冷链物流创新发展，更好满足人民日益增长的美好生活需要，助力高质量发展建设共同富裕示范区，立足我省实际，制定本行动计划。</w:t>
      </w:r>
    </w:p>
    <w:p>
      <w:pPr>
        <w:spacing w:line="579" w:lineRule="exact"/>
        <w:ind w:firstLine="608" w:firstLineChars="200"/>
        <w:rPr>
          <w:rFonts w:eastAsia="黑体"/>
          <w:szCs w:val="32"/>
        </w:rPr>
      </w:pPr>
      <w:r>
        <w:rPr>
          <w:rFonts w:eastAsia="黑体"/>
          <w:szCs w:val="32"/>
        </w:rPr>
        <w:t>一、总体要求</w:t>
      </w:r>
    </w:p>
    <w:p>
      <w:pPr>
        <w:spacing w:line="579" w:lineRule="exact"/>
        <w:ind w:firstLine="608" w:firstLineChars="200"/>
        <w:rPr>
          <w:rFonts w:eastAsia="楷体_GB2312"/>
          <w:szCs w:val="32"/>
        </w:rPr>
      </w:pPr>
      <w:r>
        <w:rPr>
          <w:rFonts w:eastAsia="楷体_GB2312"/>
          <w:b/>
          <w:bCs/>
          <w:szCs w:val="32"/>
        </w:rPr>
        <w:t>（一）指导思想</w:t>
      </w:r>
    </w:p>
    <w:p>
      <w:pPr>
        <w:spacing w:line="579" w:lineRule="exact"/>
        <w:ind w:firstLine="608" w:firstLineChars="200"/>
        <w:rPr>
          <w:szCs w:val="32"/>
        </w:rPr>
      </w:pPr>
      <w:r>
        <w:rPr>
          <w:szCs w:val="32"/>
        </w:rPr>
        <w:t>以习近平新时代中国特色社会主义思想为指导，全面贯彻党的二十大精神和省第十五次党代会、省委十五届二次全会部署，立足新发展阶段，完整、准确、全面贯彻新发展理念，以“两个先行”为引领，以改革创新为根本动力，以满足人民日益增长的美好生活需要为根本目的，统筹发展和安全，围绕冷链物流重要区域</w:t>
      </w:r>
      <w:r>
        <w:rPr>
          <w:rFonts w:hint="eastAsia"/>
          <w:szCs w:val="32"/>
        </w:rPr>
        <w:t>、</w:t>
      </w:r>
      <w:r>
        <w:rPr>
          <w:szCs w:val="32"/>
        </w:rPr>
        <w:t>关键环节、重点品类，加快实施冷链物流高质量发展五大计划，全方位提升冷链物流体系现代化水平，打造城乡冷链物流优质均衡协调发展的省域范例，推动我省建成“一带一路”国际冷链物流进出口重要枢纽、全国冷链物流骨干通道重要节点和长三角区域冷链物流一体化创新示范基地，打造全面实施服务业高质量发展“百千万”工程的标志性成果，为奋力谱写中国式现代化浙江篇章作出新的贡献。</w:t>
      </w:r>
    </w:p>
    <w:p>
      <w:pPr>
        <w:spacing w:line="579" w:lineRule="exact"/>
        <w:ind w:firstLine="608" w:firstLineChars="200"/>
        <w:rPr>
          <w:rFonts w:eastAsia="楷体_GB2312"/>
          <w:b/>
          <w:bCs/>
          <w:szCs w:val="32"/>
        </w:rPr>
      </w:pPr>
      <w:r>
        <w:rPr>
          <w:rFonts w:eastAsia="楷体_GB2312"/>
          <w:b/>
          <w:bCs/>
          <w:szCs w:val="32"/>
        </w:rPr>
        <w:t>（二）发展目标</w:t>
      </w:r>
    </w:p>
    <w:p>
      <w:pPr>
        <w:spacing w:line="579" w:lineRule="exact"/>
        <w:ind w:firstLine="608" w:firstLineChars="200"/>
        <w:rPr>
          <w:szCs w:val="32"/>
        </w:rPr>
      </w:pPr>
      <w:r>
        <w:rPr>
          <w:szCs w:val="32"/>
        </w:rPr>
        <w:t>到2025年，衔接产地销地、贯通城市乡村、融合国际国内的冷链物流网络更加完善，城乡冷链物流水平差距进一步缩小，调节农产品跨季节供需、支撑冷链产品跨区域流通的能力和效率显著提高，在国家骨干冷链物流基地网络中的重要性不断提升，建成集约高效、绿色安全、智慧畅通、保障有力的现代冷链物流体系。</w:t>
      </w:r>
    </w:p>
    <w:p>
      <w:pPr>
        <w:spacing w:line="579" w:lineRule="exact"/>
        <w:ind w:firstLine="608" w:firstLineChars="200"/>
        <w:rPr>
          <w:szCs w:val="32"/>
        </w:rPr>
      </w:pPr>
      <w:r>
        <w:rPr>
          <w:b/>
          <w:szCs w:val="32"/>
        </w:rPr>
        <w:t>——基础设施更加完善。</w:t>
      </w:r>
      <w:r>
        <w:rPr>
          <w:szCs w:val="32"/>
        </w:rPr>
        <w:t>冷链物流基础设施空间布局更加集约高效，力争创建国家骨干冷链物流基地2个，实现省级冷链物流基地11</w:t>
      </w:r>
      <w:r>
        <w:rPr>
          <w:rFonts w:hint="eastAsia"/>
          <w:szCs w:val="32"/>
          <w:lang w:val="en-US" w:eastAsia="zh-CN"/>
        </w:rPr>
        <w:t>个</w:t>
      </w:r>
      <w:r>
        <w:rPr>
          <w:szCs w:val="32"/>
        </w:rPr>
        <w:t>设区市全覆盖，新增6个省级冷链物流园区，产地/销地冷链</w:t>
      </w:r>
      <w:r>
        <w:rPr>
          <w:rFonts w:hint="eastAsia"/>
          <w:szCs w:val="32"/>
          <w:lang w:val="en-US" w:eastAsia="zh-CN"/>
        </w:rPr>
        <w:t>集配</w:t>
      </w:r>
      <w:r>
        <w:rPr>
          <w:szCs w:val="32"/>
        </w:rPr>
        <w:t>中心规模和设施利用效率持续提升，“骨干基地-物流园区-</w:t>
      </w:r>
      <w:r>
        <w:rPr>
          <w:rFonts w:hint="eastAsia"/>
          <w:szCs w:val="32"/>
          <w:lang w:val="en-US" w:eastAsia="zh-CN"/>
        </w:rPr>
        <w:t>集配</w:t>
      </w:r>
      <w:r>
        <w:rPr>
          <w:szCs w:val="32"/>
        </w:rPr>
        <w:t>中心-配送网点”四级冷链网络节点体系更加优化。冷链物流设施设备规模持续提升，冷库容量超2200万</w:t>
      </w:r>
      <w:r>
        <w:rPr>
          <w:color w:val="000000"/>
          <w:kern w:val="0"/>
          <w:szCs w:val="32"/>
          <w:lang w:bidi="ar"/>
        </w:rPr>
        <w:t>立方米</w:t>
      </w:r>
      <w:r>
        <w:rPr>
          <w:szCs w:val="32"/>
        </w:rPr>
        <w:t>，其中产地预冷保鲜设施容量达820万</w:t>
      </w:r>
      <w:r>
        <w:rPr>
          <w:color w:val="000000"/>
          <w:kern w:val="0"/>
          <w:szCs w:val="32"/>
          <w:lang w:bidi="ar"/>
        </w:rPr>
        <w:t>立方米</w:t>
      </w:r>
      <w:r>
        <w:rPr>
          <w:szCs w:val="32"/>
        </w:rPr>
        <w:t>以上，产地冷藏保鲜设施数量达3200个，冷藏运输车辆达25000辆以上。</w:t>
      </w:r>
    </w:p>
    <w:p>
      <w:pPr>
        <w:spacing w:line="579" w:lineRule="exact"/>
        <w:ind w:firstLine="608" w:firstLineChars="200"/>
        <w:rPr>
          <w:szCs w:val="32"/>
        </w:rPr>
      </w:pPr>
      <w:r>
        <w:rPr>
          <w:b/>
          <w:szCs w:val="32"/>
        </w:rPr>
        <w:t>——发展质量显著提高。</w:t>
      </w:r>
      <w:r>
        <w:rPr>
          <w:szCs w:val="32"/>
        </w:rPr>
        <w:t>冷链物流规模化组织效率大幅提升，标准化、智慧化、绿色化水平明显提高，精细化、多元化、品质化冷链物流服务能力显著增强，区域间冷链物流水平差异显著减小。形成一批具有较强国际竞争力的综合性龙头企业，新增全国百强冷链物流企业4家、星级冷链物流企业3家。冷链物流全链温度达标率持续提高，果蔬、肉类、水产品产地低温处理率分别达到30%、86%、85%，农产品产后损失和流通环节腐损率显著下降。</w:t>
      </w:r>
    </w:p>
    <w:p>
      <w:pPr>
        <w:spacing w:line="579" w:lineRule="exact"/>
        <w:ind w:firstLine="608" w:firstLineChars="200"/>
        <w:rPr>
          <w:szCs w:val="32"/>
        </w:rPr>
      </w:pPr>
      <w:r>
        <w:rPr>
          <w:b/>
          <w:szCs w:val="32"/>
        </w:rPr>
        <w:t>——服务水平明显提升。</w:t>
      </w:r>
      <w:r>
        <w:rPr>
          <w:szCs w:val="32"/>
        </w:rPr>
        <w:t>冷链物流监管法律法规进一步完善，“政府监管、企业自管、行业自律、社会监督”的监管机制基本建立，冷链食品追溯系统更加完善，冷链物流</w:t>
      </w:r>
      <w:r>
        <w:rPr>
          <w:rFonts w:hint="eastAsia"/>
          <w:szCs w:val="32"/>
        </w:rPr>
        <w:t>数字化监测监管体系基本形成。从事冷藏冷冻食品贮存业务的非食品生产经营者网上备案率（第三方冷库）达到98%以上，1000立方米以上冷库温湿度监控接入省级相关平台比例达50%，</w:t>
      </w:r>
      <w:r>
        <w:rPr>
          <w:szCs w:val="32"/>
        </w:rPr>
        <w:t>有效提升治理侧数字化监管能力。</w:t>
      </w:r>
    </w:p>
    <w:p>
      <w:pPr>
        <w:spacing w:line="579" w:lineRule="exact"/>
        <w:ind w:firstLine="608" w:firstLineChars="200"/>
        <w:rPr>
          <w:szCs w:val="32"/>
        </w:rPr>
      </w:pPr>
      <w:r>
        <w:rPr>
          <w:b/>
          <w:szCs w:val="32"/>
        </w:rPr>
        <w:t>——“百千万”工程支撑更加全面。</w:t>
      </w:r>
      <w:r>
        <w:rPr>
          <w:szCs w:val="32"/>
        </w:rPr>
        <w:t>依托国家骨干冷链物流基地、省级冷链物流基地和园区，鼓励发展以冷链物流为特色的省级现代服务业创新发展区。以物流A级企业、冷链物流百强企业、星级冷链物流企业为基础，培育5家左右省级冷链物流领军企业。加快推进冷链物流标志性项目建设，完成重大项目投资超500亿元</w:t>
      </w:r>
      <w:r>
        <w:rPr>
          <w:rFonts w:hint="eastAsia"/>
          <w:szCs w:val="32"/>
          <w:lang w:eastAsia="zh-CN"/>
        </w:rPr>
        <w:t>。</w:t>
      </w:r>
      <w:r>
        <w:rPr>
          <w:szCs w:val="32"/>
        </w:rPr>
        <w:t>完成冷链物流从业人员培训超33000人次。</w:t>
      </w:r>
    </w:p>
    <w:p>
      <w:pPr>
        <w:tabs>
          <w:tab w:val="right" w:pos="8306"/>
        </w:tabs>
        <w:spacing w:line="579" w:lineRule="exact"/>
        <w:jc w:val="center"/>
        <w:rPr>
          <w:rFonts w:eastAsia="黑体"/>
          <w:sz w:val="28"/>
          <w:szCs w:val="28"/>
        </w:rPr>
      </w:pPr>
      <w:r>
        <w:rPr>
          <w:rFonts w:eastAsia="黑体"/>
          <w:sz w:val="28"/>
          <w:szCs w:val="28"/>
        </w:rPr>
        <w:t>表1 浙江省冷链物流高质量发展主要指标现状及三年目标</w:t>
      </w:r>
    </w:p>
    <w:tbl>
      <w:tblPr>
        <w:tblStyle w:val="4"/>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1"/>
        <w:gridCol w:w="495"/>
        <w:gridCol w:w="2904"/>
        <w:gridCol w:w="1920"/>
        <w:gridCol w:w="1497"/>
        <w:gridCol w:w="15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Header/>
          <w:jc w:val="center"/>
        </w:trPr>
        <w:tc>
          <w:tcPr>
            <w:tcW w:w="72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rFonts w:eastAsia="黑体"/>
                <w:sz w:val="24"/>
                <w:szCs w:val="24"/>
              </w:rPr>
            </w:pPr>
            <w:r>
              <w:rPr>
                <w:rFonts w:eastAsia="黑体"/>
                <w:spacing w:val="11"/>
                <w:sz w:val="24"/>
                <w:szCs w:val="24"/>
              </w:rPr>
              <w:t>类别</w:t>
            </w:r>
          </w:p>
        </w:tc>
        <w:tc>
          <w:tcPr>
            <w:tcW w:w="485"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rFonts w:eastAsia="黑体"/>
                <w:spacing w:val="5"/>
                <w:sz w:val="24"/>
                <w:szCs w:val="24"/>
              </w:rPr>
            </w:pPr>
            <w:r>
              <w:rPr>
                <w:rFonts w:eastAsia="黑体"/>
                <w:spacing w:val="5"/>
                <w:sz w:val="24"/>
                <w:szCs w:val="24"/>
              </w:rPr>
              <w:t>序号</w:t>
            </w:r>
          </w:p>
        </w:tc>
        <w:tc>
          <w:tcPr>
            <w:tcW w:w="472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rFonts w:eastAsia="黑体"/>
                <w:spacing w:val="5"/>
                <w:sz w:val="24"/>
                <w:szCs w:val="24"/>
              </w:rPr>
            </w:pPr>
            <w:r>
              <w:rPr>
                <w:rFonts w:eastAsia="黑体"/>
                <w:spacing w:val="5"/>
                <w:sz w:val="24"/>
                <w:szCs w:val="24"/>
              </w:rPr>
              <w:t>指标</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rFonts w:eastAsia="黑体"/>
                <w:spacing w:val="2"/>
                <w:sz w:val="24"/>
                <w:szCs w:val="24"/>
              </w:rPr>
            </w:pPr>
            <w:r>
              <w:rPr>
                <w:rFonts w:eastAsia="黑体"/>
                <w:spacing w:val="2"/>
                <w:sz w:val="24"/>
                <w:szCs w:val="24"/>
              </w:rPr>
              <w:t>2022年</w:t>
            </w:r>
          </w:p>
          <w:p>
            <w:pPr>
              <w:widowControl/>
              <w:kinsoku w:val="0"/>
              <w:autoSpaceDE w:val="0"/>
              <w:autoSpaceDN w:val="0"/>
              <w:adjustRightInd w:val="0"/>
              <w:snapToGrid w:val="0"/>
              <w:spacing w:line="320" w:lineRule="exact"/>
              <w:jc w:val="center"/>
              <w:textAlignment w:val="baseline"/>
              <w:rPr>
                <w:rFonts w:eastAsia="黑体"/>
                <w:sz w:val="24"/>
                <w:szCs w:val="24"/>
              </w:rPr>
            </w:pPr>
            <w:r>
              <w:rPr>
                <w:rFonts w:eastAsia="黑体"/>
                <w:spacing w:val="2"/>
                <w:sz w:val="24"/>
                <w:szCs w:val="24"/>
              </w:rPr>
              <w:t>（现状）</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rFonts w:eastAsia="黑体"/>
                <w:spacing w:val="2"/>
                <w:sz w:val="24"/>
                <w:szCs w:val="24"/>
              </w:rPr>
            </w:pPr>
            <w:r>
              <w:rPr>
                <w:rFonts w:eastAsia="黑体"/>
                <w:spacing w:val="2"/>
                <w:sz w:val="24"/>
                <w:szCs w:val="24"/>
              </w:rPr>
              <w:t>2025年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restart"/>
            <w:tcBorders>
              <w:top w:val="single" w:color="000000" w:sz="4" w:space="0"/>
              <w:left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3"/>
                <w:sz w:val="24"/>
                <w:szCs w:val="24"/>
              </w:rPr>
            </w:pPr>
            <w:r>
              <w:rPr>
                <w:spacing w:val="3"/>
                <w:sz w:val="24"/>
                <w:szCs w:val="24"/>
              </w:rPr>
              <w:t>基础</w:t>
            </w:r>
          </w:p>
          <w:p>
            <w:pPr>
              <w:widowControl/>
              <w:kinsoku w:val="0"/>
              <w:autoSpaceDE w:val="0"/>
              <w:autoSpaceDN w:val="0"/>
              <w:adjustRightInd w:val="0"/>
              <w:snapToGrid w:val="0"/>
              <w:spacing w:line="320" w:lineRule="exact"/>
              <w:jc w:val="center"/>
              <w:textAlignment w:val="baseline"/>
              <w:rPr>
                <w:sz w:val="24"/>
                <w:szCs w:val="24"/>
              </w:rPr>
            </w:pPr>
            <w:r>
              <w:rPr>
                <w:spacing w:val="3"/>
                <w:sz w:val="24"/>
                <w:szCs w:val="24"/>
              </w:rPr>
              <w:t>设施</w:t>
            </w:r>
          </w:p>
        </w:tc>
        <w:tc>
          <w:tcPr>
            <w:tcW w:w="485"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z w:val="24"/>
                <w:szCs w:val="24"/>
              </w:rPr>
            </w:pPr>
            <w:r>
              <w:rPr>
                <w:sz w:val="24"/>
                <w:szCs w:val="24"/>
              </w:rPr>
              <w:t>1</w:t>
            </w:r>
          </w:p>
        </w:tc>
        <w:tc>
          <w:tcPr>
            <w:tcW w:w="472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z w:val="24"/>
                <w:szCs w:val="24"/>
              </w:rPr>
            </w:pPr>
            <w:r>
              <w:rPr>
                <w:sz w:val="24"/>
                <w:szCs w:val="24"/>
              </w:rPr>
              <w:t>冷库容量</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4"/>
                <w:sz w:val="24"/>
                <w:szCs w:val="24"/>
              </w:rPr>
            </w:pPr>
            <w:r>
              <w:rPr>
                <w:spacing w:val="4"/>
                <w:sz w:val="24"/>
                <w:szCs w:val="24"/>
              </w:rPr>
              <w:t>1817万</w:t>
            </w:r>
            <w:r>
              <w:rPr>
                <w:sz w:val="24"/>
                <w:szCs w:val="24"/>
              </w:rPr>
              <w:t>m</w:t>
            </w:r>
            <w:r>
              <w:rPr>
                <w:sz w:val="24"/>
                <w:szCs w:val="24"/>
                <w:vertAlign w:val="superscript"/>
              </w:rPr>
              <w:t>3</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4"/>
                <w:sz w:val="24"/>
                <w:szCs w:val="24"/>
              </w:rPr>
            </w:pPr>
            <w:r>
              <w:rPr>
                <w:spacing w:val="4"/>
                <w:sz w:val="24"/>
                <w:szCs w:val="24"/>
              </w:rPr>
              <w:t>2200万</w:t>
            </w:r>
            <w:r>
              <w:rPr>
                <w:sz w:val="24"/>
                <w:szCs w:val="24"/>
              </w:rPr>
              <w:t>m</w:t>
            </w:r>
            <w:r>
              <w:rPr>
                <w:sz w:val="24"/>
                <w:szCs w:val="24"/>
                <w:vertAlign w:val="superscript"/>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3"/>
                <w:sz w:val="24"/>
                <w:szCs w:val="24"/>
              </w:rPr>
            </w:pPr>
          </w:p>
        </w:tc>
        <w:tc>
          <w:tcPr>
            <w:tcW w:w="485"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z w:val="24"/>
                <w:szCs w:val="24"/>
              </w:rPr>
            </w:pPr>
            <w:r>
              <w:rPr>
                <w:sz w:val="24"/>
                <w:szCs w:val="24"/>
              </w:rPr>
              <w:t>2</w:t>
            </w:r>
          </w:p>
        </w:tc>
        <w:tc>
          <w:tcPr>
            <w:tcW w:w="472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z w:val="24"/>
                <w:szCs w:val="24"/>
              </w:rPr>
            </w:pPr>
            <w:r>
              <w:rPr>
                <w:sz w:val="24"/>
                <w:szCs w:val="24"/>
              </w:rPr>
              <w:t>（人均）冷库容量</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4"/>
                <w:sz w:val="24"/>
                <w:szCs w:val="24"/>
              </w:rPr>
            </w:pPr>
            <w:r>
              <w:rPr>
                <w:spacing w:val="4"/>
                <w:sz w:val="24"/>
                <w:szCs w:val="24"/>
              </w:rPr>
              <w:t>0.27m</w:t>
            </w:r>
            <w:r>
              <w:rPr>
                <w:spacing w:val="4"/>
                <w:sz w:val="24"/>
                <w:szCs w:val="24"/>
                <w:vertAlign w:val="superscript"/>
              </w:rPr>
              <w:t>3</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4"/>
                <w:sz w:val="24"/>
                <w:szCs w:val="24"/>
              </w:rPr>
            </w:pPr>
            <w:r>
              <w:rPr>
                <w:spacing w:val="4"/>
                <w:sz w:val="24"/>
                <w:szCs w:val="24"/>
              </w:rPr>
              <w:t>0.32m</w:t>
            </w:r>
            <w:r>
              <w:rPr>
                <w:spacing w:val="4"/>
                <w:sz w:val="24"/>
                <w:szCs w:val="24"/>
                <w:vertAlign w:val="superscript"/>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3"/>
                <w:sz w:val="24"/>
                <w:szCs w:val="24"/>
              </w:rPr>
            </w:pPr>
          </w:p>
        </w:tc>
        <w:tc>
          <w:tcPr>
            <w:tcW w:w="485"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1"/>
                <w:sz w:val="24"/>
                <w:szCs w:val="24"/>
              </w:rPr>
            </w:pPr>
            <w:r>
              <w:rPr>
                <w:spacing w:val="1"/>
                <w:sz w:val="24"/>
                <w:szCs w:val="24"/>
              </w:rPr>
              <w:t>3</w:t>
            </w:r>
          </w:p>
        </w:tc>
        <w:tc>
          <w:tcPr>
            <w:tcW w:w="472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z w:val="24"/>
                <w:szCs w:val="24"/>
              </w:rPr>
            </w:pPr>
            <w:r>
              <w:rPr>
                <w:spacing w:val="1"/>
                <w:sz w:val="24"/>
                <w:szCs w:val="24"/>
              </w:rPr>
              <w:t>产地冷藏保鲜设施库容</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4"/>
                <w:sz w:val="24"/>
                <w:szCs w:val="24"/>
              </w:rPr>
            </w:pPr>
            <w:r>
              <w:rPr>
                <w:spacing w:val="4"/>
                <w:sz w:val="24"/>
                <w:szCs w:val="24"/>
              </w:rPr>
              <w:t>610万m</w:t>
            </w:r>
            <w:r>
              <w:rPr>
                <w:spacing w:val="4"/>
                <w:sz w:val="24"/>
                <w:szCs w:val="24"/>
                <w:vertAlign w:val="superscript"/>
              </w:rPr>
              <w:t>3</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4"/>
                <w:sz w:val="24"/>
                <w:szCs w:val="24"/>
              </w:rPr>
            </w:pPr>
            <w:r>
              <w:rPr>
                <w:spacing w:val="4"/>
                <w:sz w:val="24"/>
                <w:szCs w:val="24"/>
              </w:rPr>
              <w:t>820万m</w:t>
            </w:r>
            <w:r>
              <w:rPr>
                <w:spacing w:val="4"/>
                <w:sz w:val="24"/>
                <w:szCs w:val="24"/>
                <w:vertAlign w:val="superscript"/>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3"/>
                <w:sz w:val="24"/>
                <w:szCs w:val="24"/>
              </w:rPr>
            </w:pPr>
          </w:p>
        </w:tc>
        <w:tc>
          <w:tcPr>
            <w:tcW w:w="485"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1"/>
                <w:sz w:val="24"/>
                <w:szCs w:val="24"/>
              </w:rPr>
            </w:pPr>
            <w:r>
              <w:rPr>
                <w:spacing w:val="1"/>
                <w:sz w:val="24"/>
                <w:szCs w:val="24"/>
              </w:rPr>
              <w:t>4</w:t>
            </w:r>
          </w:p>
        </w:tc>
        <w:tc>
          <w:tcPr>
            <w:tcW w:w="472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1"/>
                <w:sz w:val="24"/>
                <w:szCs w:val="24"/>
              </w:rPr>
            </w:pPr>
            <w:r>
              <w:rPr>
                <w:spacing w:val="1"/>
                <w:sz w:val="24"/>
                <w:szCs w:val="24"/>
              </w:rPr>
              <w:t>产地冷藏保鲜设施数量</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4"/>
                <w:sz w:val="24"/>
                <w:szCs w:val="24"/>
              </w:rPr>
            </w:pPr>
            <w:r>
              <w:rPr>
                <w:spacing w:val="4"/>
                <w:sz w:val="24"/>
                <w:szCs w:val="24"/>
              </w:rPr>
              <w:t>2008个</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4"/>
                <w:sz w:val="24"/>
                <w:szCs w:val="24"/>
              </w:rPr>
            </w:pPr>
            <w:r>
              <w:rPr>
                <w:spacing w:val="4"/>
                <w:sz w:val="24"/>
                <w:szCs w:val="24"/>
              </w:rPr>
              <w:t>3200个</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p>
        </w:tc>
        <w:tc>
          <w:tcPr>
            <w:tcW w:w="485"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1"/>
                <w:sz w:val="24"/>
                <w:szCs w:val="24"/>
              </w:rPr>
            </w:pPr>
            <w:r>
              <w:rPr>
                <w:spacing w:val="1"/>
                <w:sz w:val="24"/>
                <w:szCs w:val="24"/>
              </w:rPr>
              <w:t>5</w:t>
            </w:r>
          </w:p>
        </w:tc>
        <w:tc>
          <w:tcPr>
            <w:tcW w:w="472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z w:val="24"/>
                <w:szCs w:val="24"/>
              </w:rPr>
            </w:pPr>
            <w:r>
              <w:rPr>
                <w:spacing w:val="1"/>
                <w:sz w:val="24"/>
                <w:szCs w:val="24"/>
              </w:rPr>
              <w:t>冷藏运输车辆</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4"/>
                <w:sz w:val="24"/>
                <w:szCs w:val="24"/>
              </w:rPr>
            </w:pPr>
            <w:r>
              <w:rPr>
                <w:spacing w:val="4"/>
                <w:sz w:val="24"/>
                <w:szCs w:val="24"/>
              </w:rPr>
              <w:t>18168辆</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4"/>
                <w:sz w:val="24"/>
                <w:szCs w:val="24"/>
              </w:rPr>
            </w:pPr>
            <w:r>
              <w:rPr>
                <w:spacing w:val="4"/>
                <w:sz w:val="24"/>
                <w:szCs w:val="24"/>
              </w:rPr>
              <w:t>25000辆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000000" w:sz="4" w:space="0"/>
              <w:right w:val="single" w:color="000000" w:sz="4" w:space="0"/>
            </w:tcBorders>
            <w:noWrap w:val="0"/>
            <w:vAlign w:val="center"/>
          </w:tcPr>
          <w:p>
            <w:pPr>
              <w:widowControl/>
              <w:spacing w:line="320" w:lineRule="exact"/>
              <w:jc w:val="center"/>
              <w:rPr>
                <w:sz w:val="24"/>
                <w:szCs w:val="24"/>
              </w:rPr>
            </w:pPr>
          </w:p>
        </w:tc>
        <w:tc>
          <w:tcPr>
            <w:tcW w:w="485"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z w:val="24"/>
                <w:szCs w:val="24"/>
              </w:rPr>
            </w:pPr>
            <w:r>
              <w:rPr>
                <w:sz w:val="24"/>
                <w:szCs w:val="24"/>
              </w:rPr>
              <w:t>6</w:t>
            </w:r>
          </w:p>
        </w:tc>
        <w:tc>
          <w:tcPr>
            <w:tcW w:w="472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z w:val="24"/>
                <w:szCs w:val="24"/>
              </w:rPr>
            </w:pPr>
            <w:r>
              <w:rPr>
                <w:sz w:val="24"/>
                <w:szCs w:val="24"/>
              </w:rPr>
              <w:t>国家级冷链物流骨干基地</w:t>
            </w:r>
          </w:p>
          <w:p>
            <w:pPr>
              <w:widowControl/>
              <w:kinsoku w:val="0"/>
              <w:autoSpaceDE w:val="0"/>
              <w:autoSpaceDN w:val="0"/>
              <w:adjustRightInd w:val="0"/>
              <w:snapToGrid w:val="0"/>
              <w:spacing w:line="360" w:lineRule="exact"/>
              <w:jc w:val="center"/>
              <w:textAlignment w:val="baseline"/>
              <w:rPr>
                <w:sz w:val="24"/>
                <w:szCs w:val="24"/>
              </w:rPr>
            </w:pPr>
            <w:r>
              <w:rPr>
                <w:sz w:val="24"/>
                <w:szCs w:val="24"/>
              </w:rPr>
              <w:t>（库容</w:t>
            </w:r>
            <w:r>
              <w:rPr>
                <w:spacing w:val="29"/>
                <w:sz w:val="24"/>
                <w:szCs w:val="24"/>
              </w:rPr>
              <w:t>≥25万m³）</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z w:val="24"/>
                <w:szCs w:val="24"/>
              </w:rPr>
            </w:pPr>
            <w:r>
              <w:rPr>
                <w:spacing w:val="4"/>
                <w:sz w:val="24"/>
                <w:szCs w:val="24"/>
              </w:rPr>
              <w:t>3个</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60" w:lineRule="exact"/>
              <w:jc w:val="center"/>
              <w:textAlignment w:val="baseline"/>
              <w:rPr>
                <w:spacing w:val="4"/>
                <w:sz w:val="24"/>
                <w:szCs w:val="24"/>
              </w:rPr>
            </w:pPr>
            <w:r>
              <w:rPr>
                <w:spacing w:val="4"/>
                <w:sz w:val="24"/>
                <w:szCs w:val="24"/>
              </w:rPr>
              <w:t>5个</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000000" w:sz="4" w:space="0"/>
              <w:right w:val="single" w:color="000000" w:sz="4" w:space="0"/>
            </w:tcBorders>
            <w:noWrap w:val="0"/>
            <w:vAlign w:val="center"/>
          </w:tcPr>
          <w:p>
            <w:pPr>
              <w:widowControl/>
              <w:spacing w:line="320" w:lineRule="exact"/>
              <w:jc w:val="center"/>
              <w:rPr>
                <w:sz w:val="24"/>
                <w:szCs w:val="24"/>
              </w:rPr>
            </w:pPr>
          </w:p>
        </w:tc>
        <w:tc>
          <w:tcPr>
            <w:tcW w:w="485"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z w:val="24"/>
                <w:szCs w:val="24"/>
              </w:rPr>
              <w:t>7</w:t>
            </w:r>
          </w:p>
        </w:tc>
        <w:tc>
          <w:tcPr>
            <w:tcW w:w="472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z w:val="24"/>
                <w:szCs w:val="24"/>
              </w:rPr>
              <w:t>省级冷链物流骨干基地</w:t>
            </w:r>
          </w:p>
          <w:p>
            <w:pPr>
              <w:widowControl/>
              <w:kinsoku w:val="0"/>
              <w:autoSpaceDE w:val="0"/>
              <w:autoSpaceDN w:val="0"/>
              <w:adjustRightInd w:val="0"/>
              <w:snapToGrid w:val="0"/>
              <w:spacing w:line="320" w:lineRule="exact"/>
              <w:jc w:val="center"/>
              <w:textAlignment w:val="baseline"/>
              <w:rPr>
                <w:sz w:val="24"/>
                <w:szCs w:val="24"/>
              </w:rPr>
            </w:pPr>
            <w:r>
              <w:rPr>
                <w:sz w:val="24"/>
                <w:szCs w:val="24"/>
              </w:rPr>
              <w:t>（库容</w:t>
            </w:r>
            <w:r>
              <w:rPr>
                <w:spacing w:val="29"/>
                <w:sz w:val="24"/>
                <w:szCs w:val="24"/>
              </w:rPr>
              <w:t>≥25万m³）</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4"/>
                <w:sz w:val="24"/>
                <w:szCs w:val="24"/>
              </w:rPr>
            </w:pPr>
            <w:r>
              <w:rPr>
                <w:spacing w:val="4"/>
                <w:sz w:val="24"/>
                <w:szCs w:val="24"/>
              </w:rPr>
              <w:t>1</w:t>
            </w:r>
            <w:r>
              <w:rPr>
                <w:rFonts w:hint="eastAsia"/>
                <w:spacing w:val="4"/>
                <w:sz w:val="24"/>
                <w:szCs w:val="24"/>
                <w:lang w:val="en-US" w:eastAsia="zh-CN"/>
              </w:rPr>
              <w:t>2</w:t>
            </w:r>
            <w:r>
              <w:rPr>
                <w:spacing w:val="4"/>
                <w:sz w:val="24"/>
                <w:szCs w:val="24"/>
              </w:rPr>
              <w:t>个</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4"/>
                <w:sz w:val="24"/>
                <w:szCs w:val="24"/>
              </w:rPr>
            </w:pPr>
            <w:r>
              <w:rPr>
                <w:spacing w:val="4"/>
                <w:sz w:val="24"/>
                <w:szCs w:val="24"/>
              </w:rPr>
              <w:t>11</w:t>
            </w:r>
            <w:r>
              <w:rPr>
                <w:rFonts w:hint="eastAsia"/>
                <w:spacing w:val="4"/>
                <w:sz w:val="24"/>
                <w:szCs w:val="24"/>
                <w:lang w:val="en-US" w:eastAsia="zh-CN"/>
              </w:rPr>
              <w:t>个</w:t>
            </w:r>
            <w:r>
              <w:rPr>
                <w:spacing w:val="4"/>
                <w:sz w:val="24"/>
                <w:szCs w:val="24"/>
              </w:rPr>
              <w:t>设区市全覆盖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000000" w:sz="4" w:space="0"/>
              <w:right w:val="single" w:color="000000" w:sz="4" w:space="0"/>
            </w:tcBorders>
            <w:noWrap w:val="0"/>
            <w:vAlign w:val="center"/>
          </w:tcPr>
          <w:p>
            <w:pPr>
              <w:widowControl/>
              <w:spacing w:line="320" w:lineRule="exact"/>
              <w:jc w:val="center"/>
              <w:rPr>
                <w:sz w:val="24"/>
                <w:szCs w:val="24"/>
              </w:rPr>
            </w:pPr>
          </w:p>
        </w:tc>
        <w:tc>
          <w:tcPr>
            <w:tcW w:w="485"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1"/>
                <w:sz w:val="24"/>
                <w:szCs w:val="24"/>
              </w:rPr>
            </w:pPr>
            <w:r>
              <w:rPr>
                <w:spacing w:val="1"/>
                <w:sz w:val="24"/>
                <w:szCs w:val="24"/>
              </w:rPr>
              <w:t>8</w:t>
            </w:r>
          </w:p>
        </w:tc>
        <w:tc>
          <w:tcPr>
            <w:tcW w:w="4726"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1"/>
                <w:sz w:val="24"/>
                <w:szCs w:val="24"/>
              </w:rPr>
            </w:pPr>
            <w:r>
              <w:rPr>
                <w:spacing w:val="1"/>
                <w:sz w:val="24"/>
                <w:szCs w:val="24"/>
              </w:rPr>
              <w:t>冷链物流园区</w:t>
            </w:r>
          </w:p>
          <w:p>
            <w:pPr>
              <w:widowControl/>
              <w:kinsoku w:val="0"/>
              <w:autoSpaceDE w:val="0"/>
              <w:autoSpaceDN w:val="0"/>
              <w:adjustRightInd w:val="0"/>
              <w:snapToGrid w:val="0"/>
              <w:spacing w:line="320" w:lineRule="exact"/>
              <w:jc w:val="center"/>
              <w:textAlignment w:val="baseline"/>
              <w:rPr>
                <w:sz w:val="24"/>
                <w:szCs w:val="24"/>
              </w:rPr>
            </w:pPr>
            <w:r>
              <w:rPr>
                <w:spacing w:val="1"/>
                <w:sz w:val="24"/>
                <w:szCs w:val="24"/>
              </w:rPr>
              <w:t>（库容≥8万</w:t>
            </w:r>
            <w:r>
              <w:rPr>
                <w:spacing w:val="-1"/>
                <w:sz w:val="24"/>
                <w:szCs w:val="24"/>
              </w:rPr>
              <w:t>m³）</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4"/>
                <w:sz w:val="24"/>
                <w:szCs w:val="24"/>
              </w:rPr>
              <w:t>27个</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22"/>
                <w:w w:val="116"/>
                <w:sz w:val="24"/>
                <w:szCs w:val="24"/>
              </w:rPr>
            </w:pPr>
            <w:r>
              <w:rPr>
                <w:spacing w:val="4"/>
                <w:sz w:val="24"/>
                <w:szCs w:val="24"/>
              </w:rPr>
              <w:t>33个</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restart"/>
            <w:tcBorders>
              <w:top w:val="single" w:color="auto" w:sz="4" w:space="0"/>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3"/>
                <w:sz w:val="24"/>
                <w:szCs w:val="24"/>
              </w:rPr>
            </w:pPr>
            <w:r>
              <w:rPr>
                <w:spacing w:val="3"/>
                <w:sz w:val="24"/>
                <w:szCs w:val="24"/>
              </w:rPr>
              <w:t>发展</w:t>
            </w:r>
          </w:p>
          <w:p>
            <w:pPr>
              <w:widowControl/>
              <w:kinsoku w:val="0"/>
              <w:autoSpaceDE w:val="0"/>
              <w:autoSpaceDN w:val="0"/>
              <w:adjustRightInd w:val="0"/>
              <w:snapToGrid w:val="0"/>
              <w:spacing w:line="320" w:lineRule="exact"/>
              <w:jc w:val="center"/>
              <w:textAlignment w:val="baseline"/>
              <w:rPr>
                <w:sz w:val="24"/>
                <w:szCs w:val="24"/>
              </w:rPr>
            </w:pPr>
            <w:r>
              <w:rPr>
                <w:spacing w:val="3"/>
                <w:sz w:val="24"/>
                <w:szCs w:val="24"/>
              </w:rPr>
              <w:t>质量</w:t>
            </w:r>
          </w:p>
        </w:tc>
        <w:tc>
          <w:tcPr>
            <w:tcW w:w="485" w:type="dxa"/>
            <w:vMerge w:val="restart"/>
            <w:tcBorders>
              <w:top w:val="single" w:color="auto" w:sz="4" w:space="0"/>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3"/>
                <w:sz w:val="24"/>
                <w:szCs w:val="24"/>
              </w:rPr>
              <w:t>9</w:t>
            </w:r>
          </w:p>
        </w:tc>
        <w:tc>
          <w:tcPr>
            <w:tcW w:w="2845"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3"/>
                <w:sz w:val="24"/>
                <w:szCs w:val="24"/>
              </w:rPr>
              <w:t>产地低温处理率</w:t>
            </w:r>
          </w:p>
        </w:tc>
        <w:tc>
          <w:tcPr>
            <w:tcW w:w="1881" w:type="dxa"/>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6"/>
                <w:sz w:val="24"/>
                <w:szCs w:val="24"/>
              </w:rPr>
              <w:t>果蔬</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4"/>
                <w:sz w:val="24"/>
                <w:szCs w:val="24"/>
              </w:rPr>
              <w:t>12%</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4"/>
                <w:sz w:val="24"/>
                <w:szCs w:val="24"/>
              </w:rPr>
            </w:pPr>
            <w:r>
              <w:rPr>
                <w:spacing w:val="-4"/>
                <w:sz w:val="24"/>
                <w:szCs w:val="24"/>
              </w:rPr>
              <w:t>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auto" w:sz="4" w:space="0"/>
              <w:right w:val="single" w:color="auto" w:sz="4" w:space="0"/>
            </w:tcBorders>
            <w:noWrap w:val="0"/>
            <w:vAlign w:val="center"/>
          </w:tcPr>
          <w:p>
            <w:pPr>
              <w:widowControl/>
              <w:spacing w:line="320" w:lineRule="exact"/>
              <w:jc w:val="center"/>
              <w:rPr>
                <w:sz w:val="24"/>
                <w:szCs w:val="24"/>
              </w:rPr>
            </w:pPr>
          </w:p>
        </w:tc>
        <w:tc>
          <w:tcPr>
            <w:tcW w:w="485" w:type="dxa"/>
            <w:vMerge w:val="continue"/>
            <w:tcBorders>
              <w:left w:val="single" w:color="auto" w:sz="4" w:space="0"/>
              <w:right w:val="single" w:color="auto" w:sz="4" w:space="0"/>
            </w:tcBorders>
            <w:noWrap w:val="0"/>
            <w:vAlign w:val="center"/>
          </w:tcPr>
          <w:p>
            <w:pPr>
              <w:widowControl/>
              <w:spacing w:line="320" w:lineRule="exact"/>
              <w:jc w:val="center"/>
              <w:rPr>
                <w:sz w:val="24"/>
                <w:szCs w:val="24"/>
              </w:rPr>
            </w:pPr>
          </w:p>
        </w:tc>
        <w:tc>
          <w:tcPr>
            <w:tcW w:w="2845"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spacing w:line="320" w:lineRule="exact"/>
              <w:jc w:val="center"/>
              <w:rPr>
                <w:sz w:val="24"/>
                <w:szCs w:val="24"/>
              </w:rPr>
            </w:pPr>
          </w:p>
        </w:tc>
        <w:tc>
          <w:tcPr>
            <w:tcW w:w="1881" w:type="dxa"/>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6"/>
                <w:sz w:val="24"/>
                <w:szCs w:val="24"/>
              </w:rPr>
              <w:t>肉类</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3"/>
                <w:sz w:val="24"/>
                <w:szCs w:val="24"/>
              </w:rPr>
              <w:t>80%</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3"/>
                <w:sz w:val="24"/>
                <w:szCs w:val="24"/>
              </w:rPr>
            </w:pPr>
            <w:r>
              <w:rPr>
                <w:spacing w:val="-3"/>
                <w:sz w:val="24"/>
                <w:szCs w:val="24"/>
              </w:rPr>
              <w:t>86%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auto" w:sz="4" w:space="0"/>
              <w:right w:val="single" w:color="auto" w:sz="4" w:space="0"/>
            </w:tcBorders>
            <w:noWrap w:val="0"/>
            <w:vAlign w:val="center"/>
          </w:tcPr>
          <w:p>
            <w:pPr>
              <w:widowControl/>
              <w:spacing w:line="320" w:lineRule="exact"/>
              <w:jc w:val="center"/>
              <w:rPr>
                <w:sz w:val="24"/>
                <w:szCs w:val="24"/>
              </w:rPr>
            </w:pPr>
          </w:p>
        </w:tc>
        <w:tc>
          <w:tcPr>
            <w:tcW w:w="485" w:type="dxa"/>
            <w:vMerge w:val="continue"/>
            <w:tcBorders>
              <w:left w:val="single" w:color="auto" w:sz="4" w:space="0"/>
              <w:bottom w:val="single" w:color="auto" w:sz="4" w:space="0"/>
              <w:right w:val="single" w:color="auto" w:sz="4" w:space="0"/>
            </w:tcBorders>
            <w:noWrap w:val="0"/>
            <w:vAlign w:val="center"/>
          </w:tcPr>
          <w:p>
            <w:pPr>
              <w:widowControl/>
              <w:spacing w:line="320" w:lineRule="exact"/>
              <w:jc w:val="center"/>
              <w:rPr>
                <w:sz w:val="24"/>
                <w:szCs w:val="24"/>
              </w:rPr>
            </w:pPr>
          </w:p>
        </w:tc>
        <w:tc>
          <w:tcPr>
            <w:tcW w:w="2845"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spacing w:line="320" w:lineRule="exact"/>
              <w:jc w:val="center"/>
              <w:rPr>
                <w:sz w:val="24"/>
                <w:szCs w:val="24"/>
              </w:rPr>
            </w:pPr>
          </w:p>
        </w:tc>
        <w:tc>
          <w:tcPr>
            <w:tcW w:w="1881" w:type="dxa"/>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9"/>
                <w:sz w:val="24"/>
                <w:szCs w:val="24"/>
              </w:rPr>
              <w:t>水产品</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4"/>
                <w:sz w:val="24"/>
                <w:szCs w:val="24"/>
              </w:rPr>
              <w:t>80%</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4"/>
                <w:sz w:val="24"/>
                <w:szCs w:val="24"/>
              </w:rPr>
            </w:pPr>
            <w:r>
              <w:rPr>
                <w:spacing w:val="-4"/>
                <w:sz w:val="24"/>
                <w:szCs w:val="24"/>
              </w:rPr>
              <w:t>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auto" w:sz="4" w:space="0"/>
              <w:right w:val="single" w:color="auto" w:sz="4" w:space="0"/>
            </w:tcBorders>
            <w:noWrap w:val="0"/>
            <w:vAlign w:val="center"/>
          </w:tcPr>
          <w:p>
            <w:pPr>
              <w:widowControl/>
              <w:spacing w:line="320" w:lineRule="exact"/>
              <w:jc w:val="center"/>
              <w:rPr>
                <w:sz w:val="24"/>
                <w:szCs w:val="24"/>
              </w:rPr>
            </w:pPr>
          </w:p>
        </w:tc>
        <w:tc>
          <w:tcPr>
            <w:tcW w:w="485" w:type="dxa"/>
            <w:tcBorders>
              <w:top w:val="single" w:color="auto" w:sz="4" w:space="0"/>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3"/>
                <w:sz w:val="24"/>
                <w:szCs w:val="24"/>
              </w:rPr>
            </w:pPr>
            <w:r>
              <w:rPr>
                <w:spacing w:val="3"/>
                <w:sz w:val="24"/>
                <w:szCs w:val="24"/>
              </w:rPr>
              <w:t>10</w:t>
            </w:r>
          </w:p>
        </w:tc>
        <w:tc>
          <w:tcPr>
            <w:tcW w:w="4726" w:type="dxa"/>
            <w:gridSpan w:val="2"/>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1"/>
                <w:sz w:val="24"/>
                <w:szCs w:val="24"/>
              </w:rPr>
              <w:t>冷链物流百强企业</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2"/>
                <w:sz w:val="24"/>
                <w:szCs w:val="24"/>
              </w:rPr>
              <w:t>1家</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2"/>
                <w:sz w:val="24"/>
                <w:szCs w:val="24"/>
              </w:rPr>
            </w:pPr>
            <w:r>
              <w:rPr>
                <w:spacing w:val="2"/>
                <w:sz w:val="24"/>
                <w:szCs w:val="24"/>
              </w:rPr>
              <w:t>5家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auto" w:sz="4" w:space="0"/>
              <w:right w:val="single" w:color="auto" w:sz="4" w:space="0"/>
            </w:tcBorders>
            <w:noWrap w:val="0"/>
            <w:vAlign w:val="center"/>
          </w:tcPr>
          <w:p>
            <w:pPr>
              <w:widowControl/>
              <w:spacing w:line="320" w:lineRule="exact"/>
              <w:jc w:val="center"/>
              <w:rPr>
                <w:sz w:val="24"/>
                <w:szCs w:val="24"/>
              </w:rPr>
            </w:pPr>
          </w:p>
        </w:tc>
        <w:tc>
          <w:tcPr>
            <w:tcW w:w="485" w:type="dxa"/>
            <w:tcBorders>
              <w:left w:val="single" w:color="auto" w:sz="4" w:space="0"/>
              <w:bottom w:val="single" w:color="auto" w:sz="4" w:space="0"/>
              <w:right w:val="single" w:color="auto" w:sz="4" w:space="0"/>
            </w:tcBorders>
            <w:noWrap w:val="0"/>
            <w:vAlign w:val="center"/>
          </w:tcPr>
          <w:p>
            <w:pPr>
              <w:widowControl/>
              <w:spacing w:line="320" w:lineRule="exact"/>
              <w:jc w:val="center"/>
              <w:rPr>
                <w:sz w:val="24"/>
                <w:szCs w:val="24"/>
              </w:rPr>
            </w:pPr>
            <w:r>
              <w:rPr>
                <w:sz w:val="24"/>
                <w:szCs w:val="24"/>
              </w:rPr>
              <w:t>11</w:t>
            </w:r>
          </w:p>
        </w:tc>
        <w:tc>
          <w:tcPr>
            <w:tcW w:w="4726" w:type="dxa"/>
            <w:gridSpan w:val="2"/>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1"/>
                <w:sz w:val="24"/>
                <w:szCs w:val="24"/>
              </w:rPr>
              <w:t>星级冷链物流企业</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4"/>
                <w:sz w:val="24"/>
                <w:szCs w:val="24"/>
              </w:rPr>
              <w:t>2家</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4"/>
                <w:sz w:val="24"/>
                <w:szCs w:val="24"/>
              </w:rPr>
            </w:pPr>
            <w:r>
              <w:rPr>
                <w:spacing w:val="4"/>
                <w:sz w:val="24"/>
                <w:szCs w:val="24"/>
              </w:rPr>
              <w:t>5家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auto" w:sz="4" w:space="0"/>
              <w:right w:val="single" w:color="auto" w:sz="4" w:space="0"/>
            </w:tcBorders>
            <w:noWrap w:val="0"/>
            <w:vAlign w:val="center"/>
          </w:tcPr>
          <w:p>
            <w:pPr>
              <w:widowControl/>
              <w:spacing w:line="320" w:lineRule="exact"/>
              <w:jc w:val="center"/>
              <w:rPr>
                <w:sz w:val="24"/>
                <w:szCs w:val="24"/>
              </w:rPr>
            </w:pPr>
          </w:p>
        </w:tc>
        <w:tc>
          <w:tcPr>
            <w:tcW w:w="485" w:type="dxa"/>
            <w:vMerge w:val="restart"/>
            <w:tcBorders>
              <w:top w:val="single" w:color="auto" w:sz="4" w:space="0"/>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z w:val="24"/>
                <w:szCs w:val="24"/>
              </w:rPr>
              <w:t>12</w:t>
            </w:r>
          </w:p>
        </w:tc>
        <w:tc>
          <w:tcPr>
            <w:tcW w:w="2845" w:type="dxa"/>
            <w:vMerge w:val="restart"/>
            <w:tcBorders>
              <w:top w:val="single" w:color="auto" w:sz="4" w:space="0"/>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z w:val="24"/>
                <w:szCs w:val="24"/>
              </w:rPr>
              <w:t>技术设备</w:t>
            </w:r>
          </w:p>
        </w:tc>
        <w:tc>
          <w:tcPr>
            <w:tcW w:w="1881" w:type="dxa"/>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z w:val="24"/>
                <w:szCs w:val="24"/>
              </w:rPr>
              <w:t>新能源冷藏车</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4"/>
                <w:sz w:val="24"/>
                <w:szCs w:val="24"/>
              </w:rPr>
              <w:t>131辆</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5"/>
                <w:sz w:val="24"/>
                <w:szCs w:val="24"/>
              </w:rPr>
            </w:pPr>
            <w:r>
              <w:rPr>
                <w:spacing w:val="-5"/>
                <w:sz w:val="24"/>
                <w:szCs w:val="24"/>
              </w:rPr>
              <w:t>500辆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auto" w:sz="4" w:space="0"/>
              <w:right w:val="single" w:color="auto" w:sz="4" w:space="0"/>
            </w:tcBorders>
            <w:noWrap w:val="0"/>
            <w:vAlign w:val="center"/>
          </w:tcPr>
          <w:p>
            <w:pPr>
              <w:widowControl/>
              <w:spacing w:line="320" w:lineRule="exact"/>
              <w:jc w:val="center"/>
              <w:rPr>
                <w:sz w:val="24"/>
                <w:szCs w:val="24"/>
              </w:rPr>
            </w:pPr>
          </w:p>
        </w:tc>
        <w:tc>
          <w:tcPr>
            <w:tcW w:w="485" w:type="dxa"/>
            <w:vMerge w:val="continue"/>
            <w:tcBorders>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p>
        </w:tc>
        <w:tc>
          <w:tcPr>
            <w:tcW w:w="2845" w:type="dxa"/>
            <w:vMerge w:val="continue"/>
            <w:tcBorders>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p>
        </w:tc>
        <w:tc>
          <w:tcPr>
            <w:tcW w:w="1881" w:type="dxa"/>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9"/>
                <w:sz w:val="24"/>
                <w:szCs w:val="24"/>
              </w:rPr>
            </w:pPr>
            <w:r>
              <w:rPr>
                <w:spacing w:val="1"/>
                <w:sz w:val="24"/>
                <w:szCs w:val="24"/>
              </w:rPr>
              <w:t>农批市场交易型冷库</w:t>
            </w:r>
            <w:r>
              <w:rPr>
                <w:spacing w:val="9"/>
                <w:sz w:val="24"/>
                <w:szCs w:val="24"/>
              </w:rPr>
              <w:t>封闭式月台比例</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5"/>
                <w:sz w:val="24"/>
                <w:szCs w:val="24"/>
              </w:rPr>
            </w:pPr>
            <w:r>
              <w:rPr>
                <w:spacing w:val="-5"/>
                <w:sz w:val="24"/>
                <w:szCs w:val="24"/>
              </w:rPr>
              <w:t>-</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5"/>
                <w:sz w:val="24"/>
                <w:szCs w:val="24"/>
              </w:rPr>
            </w:pPr>
            <w:r>
              <w:rPr>
                <w:spacing w:val="-5"/>
                <w:sz w:val="24"/>
                <w:szCs w:val="24"/>
              </w:rPr>
              <w:t>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restart"/>
            <w:tcBorders>
              <w:top w:val="single" w:color="auto" w:sz="4" w:space="0"/>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b/>
                <w:bCs/>
                <w:sz w:val="24"/>
                <w:szCs w:val="24"/>
              </w:rPr>
            </w:pPr>
            <w:r>
              <w:rPr>
                <w:spacing w:val="3"/>
                <w:sz w:val="24"/>
                <w:szCs w:val="24"/>
              </w:rPr>
              <w:t>服务水平</w:t>
            </w:r>
          </w:p>
        </w:tc>
        <w:tc>
          <w:tcPr>
            <w:tcW w:w="485" w:type="dxa"/>
            <w:vMerge w:val="restart"/>
            <w:tcBorders>
              <w:top w:val="single" w:color="auto" w:sz="4" w:space="0"/>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1"/>
                <w:sz w:val="24"/>
                <w:szCs w:val="24"/>
              </w:rPr>
            </w:pPr>
            <w:r>
              <w:rPr>
                <w:spacing w:val="1"/>
                <w:sz w:val="24"/>
                <w:szCs w:val="24"/>
              </w:rPr>
              <w:t>13</w:t>
            </w:r>
          </w:p>
        </w:tc>
        <w:tc>
          <w:tcPr>
            <w:tcW w:w="2845" w:type="dxa"/>
            <w:vMerge w:val="restart"/>
            <w:tcBorders>
              <w:top w:val="single" w:color="auto" w:sz="4" w:space="0"/>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2"/>
                <w:sz w:val="24"/>
                <w:szCs w:val="24"/>
              </w:rPr>
            </w:pPr>
            <w:r>
              <w:rPr>
                <w:spacing w:val="1"/>
                <w:sz w:val="24"/>
                <w:szCs w:val="24"/>
              </w:rPr>
              <w:t>数字化监测监管</w:t>
            </w:r>
          </w:p>
        </w:tc>
        <w:tc>
          <w:tcPr>
            <w:tcW w:w="1881" w:type="dxa"/>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1"/>
                <w:sz w:val="24"/>
                <w:szCs w:val="24"/>
              </w:rPr>
            </w:pPr>
            <w:r>
              <w:rPr>
                <w:spacing w:val="1"/>
                <w:sz w:val="24"/>
                <w:szCs w:val="24"/>
              </w:rPr>
              <w:t>第三方冷库网上备案率</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5"/>
                <w:sz w:val="24"/>
                <w:szCs w:val="24"/>
              </w:rPr>
            </w:pPr>
            <w:r>
              <w:rPr>
                <w:spacing w:val="-5"/>
                <w:sz w:val="24"/>
                <w:szCs w:val="24"/>
              </w:rPr>
              <w:t>95%</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5"/>
                <w:sz w:val="24"/>
                <w:szCs w:val="24"/>
              </w:rPr>
            </w:pPr>
            <w:r>
              <w:rPr>
                <w:spacing w:val="-5"/>
                <w:sz w:val="24"/>
                <w:szCs w:val="24"/>
              </w:rPr>
              <w:t>98%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auto" w:sz="4" w:space="0"/>
              <w:right w:val="single" w:color="auto" w:sz="4" w:space="0"/>
            </w:tcBorders>
            <w:noWrap w:val="0"/>
            <w:vAlign w:val="center"/>
          </w:tcPr>
          <w:p>
            <w:pPr>
              <w:widowControl/>
              <w:spacing w:line="320" w:lineRule="exact"/>
              <w:jc w:val="center"/>
              <w:rPr>
                <w:b/>
                <w:bCs/>
                <w:sz w:val="24"/>
                <w:szCs w:val="24"/>
              </w:rPr>
            </w:pPr>
          </w:p>
        </w:tc>
        <w:tc>
          <w:tcPr>
            <w:tcW w:w="485" w:type="dxa"/>
            <w:vMerge w:val="continue"/>
            <w:tcBorders>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2"/>
                <w:sz w:val="24"/>
                <w:szCs w:val="24"/>
              </w:rPr>
            </w:pPr>
          </w:p>
        </w:tc>
        <w:tc>
          <w:tcPr>
            <w:tcW w:w="2845" w:type="dxa"/>
            <w:vMerge w:val="continue"/>
            <w:tcBorders>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2"/>
                <w:sz w:val="24"/>
                <w:szCs w:val="24"/>
              </w:rPr>
            </w:pPr>
          </w:p>
        </w:tc>
        <w:tc>
          <w:tcPr>
            <w:tcW w:w="1881" w:type="dxa"/>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1"/>
                <w:sz w:val="24"/>
                <w:szCs w:val="24"/>
              </w:rPr>
            </w:pPr>
            <w:r>
              <w:rPr>
                <w:spacing w:val="1"/>
                <w:sz w:val="24"/>
                <w:szCs w:val="24"/>
              </w:rPr>
              <w:t>10</w:t>
            </w:r>
            <w:r>
              <w:rPr>
                <w:spacing w:val="4"/>
                <w:sz w:val="24"/>
                <w:szCs w:val="24"/>
              </w:rPr>
              <w:t>00m</w:t>
            </w:r>
            <w:r>
              <w:rPr>
                <w:spacing w:val="4"/>
                <w:sz w:val="24"/>
                <w:szCs w:val="24"/>
                <w:vertAlign w:val="superscript"/>
              </w:rPr>
              <w:t>3</w:t>
            </w:r>
            <w:r>
              <w:rPr>
                <w:spacing w:val="1"/>
                <w:sz w:val="24"/>
                <w:szCs w:val="24"/>
              </w:rPr>
              <w:t>以上冷库温湿度监控接入平台比例</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5"/>
                <w:sz w:val="24"/>
                <w:szCs w:val="24"/>
              </w:rPr>
            </w:pPr>
            <w:r>
              <w:rPr>
                <w:spacing w:val="-5"/>
                <w:sz w:val="24"/>
                <w:szCs w:val="24"/>
              </w:rPr>
              <w:t>14.8%</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5"/>
                <w:sz w:val="24"/>
                <w:szCs w:val="24"/>
              </w:rPr>
            </w:pPr>
            <w:r>
              <w:rPr>
                <w:spacing w:val="-5"/>
                <w:sz w:val="24"/>
                <w:szCs w:val="24"/>
              </w:rPr>
              <w:t>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restart"/>
            <w:tcBorders>
              <w:left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b/>
                <w:bCs/>
                <w:sz w:val="24"/>
                <w:szCs w:val="24"/>
              </w:rPr>
            </w:pPr>
            <w:r>
              <w:rPr>
                <w:rFonts w:hint="eastAsia"/>
                <w:spacing w:val="3"/>
                <w:sz w:val="24"/>
                <w:szCs w:val="24"/>
              </w:rPr>
              <w:t>百千万工程支撑</w:t>
            </w:r>
          </w:p>
        </w:tc>
        <w:tc>
          <w:tcPr>
            <w:tcW w:w="485" w:type="dxa"/>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1"/>
                <w:sz w:val="24"/>
                <w:szCs w:val="24"/>
              </w:rPr>
            </w:pPr>
            <w:r>
              <w:rPr>
                <w:spacing w:val="1"/>
                <w:sz w:val="24"/>
                <w:szCs w:val="24"/>
              </w:rPr>
              <w:t>14</w:t>
            </w:r>
          </w:p>
        </w:tc>
        <w:tc>
          <w:tcPr>
            <w:tcW w:w="4726" w:type="dxa"/>
            <w:gridSpan w:val="2"/>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z w:val="24"/>
                <w:szCs w:val="24"/>
              </w:rPr>
              <w:t>省级冷链物流领军企业</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z w:val="24"/>
                <w:szCs w:val="24"/>
              </w:rPr>
              <w:t>-</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2"/>
                <w:sz w:val="24"/>
                <w:szCs w:val="24"/>
              </w:rPr>
            </w:pPr>
            <w:r>
              <w:rPr>
                <w:spacing w:val="2"/>
                <w:sz w:val="24"/>
                <w:szCs w:val="24"/>
              </w:rPr>
              <w:t>5家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auto" w:sz="4" w:space="0"/>
              <w:right w:val="single" w:color="auto" w:sz="4" w:space="0"/>
            </w:tcBorders>
            <w:noWrap w:val="0"/>
            <w:vAlign w:val="center"/>
          </w:tcPr>
          <w:p>
            <w:pPr>
              <w:widowControl/>
              <w:spacing w:line="320" w:lineRule="exact"/>
              <w:jc w:val="center"/>
              <w:rPr>
                <w:b/>
                <w:bCs/>
                <w:sz w:val="24"/>
                <w:szCs w:val="24"/>
              </w:rPr>
            </w:pPr>
          </w:p>
        </w:tc>
        <w:tc>
          <w:tcPr>
            <w:tcW w:w="485" w:type="dxa"/>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1"/>
                <w:sz w:val="24"/>
                <w:szCs w:val="24"/>
              </w:rPr>
            </w:pPr>
            <w:r>
              <w:rPr>
                <w:spacing w:val="1"/>
                <w:sz w:val="24"/>
                <w:szCs w:val="24"/>
              </w:rPr>
              <w:t>15</w:t>
            </w:r>
          </w:p>
        </w:tc>
        <w:tc>
          <w:tcPr>
            <w:tcW w:w="4726" w:type="dxa"/>
            <w:gridSpan w:val="2"/>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3"/>
                <w:sz w:val="24"/>
                <w:szCs w:val="24"/>
              </w:rPr>
              <w:t>重大项目投资</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z w:val="24"/>
                <w:szCs w:val="24"/>
              </w:rPr>
            </w:pPr>
            <w:r>
              <w:rPr>
                <w:spacing w:val="-5"/>
                <w:sz w:val="24"/>
                <w:szCs w:val="24"/>
              </w:rPr>
              <w:t>362亿元</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2"/>
                <w:sz w:val="24"/>
                <w:szCs w:val="24"/>
              </w:rPr>
            </w:pPr>
            <w:r>
              <w:rPr>
                <w:spacing w:val="1"/>
                <w:sz w:val="24"/>
                <w:szCs w:val="24"/>
              </w:rPr>
              <w:t>500亿元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727" w:type="dxa"/>
            <w:vMerge w:val="continue"/>
            <w:tcBorders>
              <w:left w:val="single" w:color="auto" w:sz="4" w:space="0"/>
              <w:bottom w:val="single" w:color="auto" w:sz="4" w:space="0"/>
              <w:right w:val="single" w:color="auto" w:sz="4" w:space="0"/>
            </w:tcBorders>
            <w:noWrap w:val="0"/>
            <w:vAlign w:val="center"/>
          </w:tcPr>
          <w:p>
            <w:pPr>
              <w:widowControl/>
              <w:spacing w:line="320" w:lineRule="exact"/>
              <w:jc w:val="center"/>
              <w:rPr>
                <w:b/>
                <w:bCs/>
                <w:sz w:val="24"/>
                <w:szCs w:val="24"/>
              </w:rPr>
            </w:pPr>
          </w:p>
        </w:tc>
        <w:tc>
          <w:tcPr>
            <w:tcW w:w="485" w:type="dxa"/>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1"/>
                <w:sz w:val="24"/>
                <w:szCs w:val="24"/>
              </w:rPr>
            </w:pPr>
            <w:r>
              <w:rPr>
                <w:spacing w:val="1"/>
                <w:sz w:val="24"/>
                <w:szCs w:val="24"/>
              </w:rPr>
              <w:t>16</w:t>
            </w:r>
          </w:p>
        </w:tc>
        <w:tc>
          <w:tcPr>
            <w:tcW w:w="4726" w:type="dxa"/>
            <w:gridSpan w:val="2"/>
            <w:tcBorders>
              <w:top w:val="single" w:color="auto" w:sz="4" w:space="0"/>
              <w:left w:val="single" w:color="auto" w:sz="4" w:space="0"/>
              <w:bottom w:val="single" w:color="auto" w:sz="4" w:space="0"/>
              <w:right w:val="single" w:color="auto" w:sz="4" w:space="0"/>
            </w:tcBorders>
            <w:noWrap w:val="0"/>
            <w:vAlign w:val="center"/>
          </w:tcPr>
          <w:p>
            <w:pPr>
              <w:widowControl/>
              <w:kinsoku w:val="0"/>
              <w:autoSpaceDE w:val="0"/>
              <w:autoSpaceDN w:val="0"/>
              <w:adjustRightInd w:val="0"/>
              <w:snapToGrid w:val="0"/>
              <w:spacing w:line="320" w:lineRule="exact"/>
              <w:jc w:val="center"/>
              <w:textAlignment w:val="baseline"/>
              <w:rPr>
                <w:spacing w:val="3"/>
                <w:sz w:val="24"/>
                <w:szCs w:val="24"/>
              </w:rPr>
            </w:pPr>
            <w:r>
              <w:rPr>
                <w:spacing w:val="1"/>
                <w:sz w:val="24"/>
                <w:szCs w:val="24"/>
              </w:rPr>
              <w:t>冷链物流从业人员培训次数</w:t>
            </w:r>
          </w:p>
        </w:tc>
        <w:tc>
          <w:tcPr>
            <w:tcW w:w="1467"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5"/>
                <w:sz w:val="24"/>
                <w:szCs w:val="24"/>
              </w:rPr>
            </w:pPr>
            <w:r>
              <w:rPr>
                <w:spacing w:val="-5"/>
                <w:sz w:val="24"/>
                <w:szCs w:val="24"/>
              </w:rPr>
              <w:t>-</w:t>
            </w:r>
          </w:p>
        </w:tc>
        <w:tc>
          <w:tcPr>
            <w:tcW w:w="1483" w:type="dxa"/>
            <w:tcBorders>
              <w:top w:val="single" w:color="000000" w:sz="4" w:space="0"/>
              <w:left w:val="single" w:color="000000" w:sz="4" w:space="0"/>
              <w:bottom w:val="single" w:color="000000" w:sz="4" w:space="0"/>
              <w:right w:val="single" w:color="000000" w:sz="4" w:space="0"/>
            </w:tcBorders>
            <w:noWrap w:val="0"/>
            <w:vAlign w:val="center"/>
          </w:tcPr>
          <w:p>
            <w:pPr>
              <w:widowControl/>
              <w:kinsoku w:val="0"/>
              <w:autoSpaceDE w:val="0"/>
              <w:autoSpaceDN w:val="0"/>
              <w:adjustRightInd w:val="0"/>
              <w:snapToGrid w:val="0"/>
              <w:spacing w:line="320" w:lineRule="exact"/>
              <w:jc w:val="center"/>
              <w:textAlignment w:val="baseline"/>
              <w:rPr>
                <w:spacing w:val="1"/>
                <w:sz w:val="24"/>
                <w:szCs w:val="24"/>
              </w:rPr>
            </w:pPr>
            <w:r>
              <w:rPr>
                <w:spacing w:val="-5"/>
                <w:sz w:val="24"/>
                <w:szCs w:val="24"/>
              </w:rPr>
              <w:t>33000人次</w:t>
            </w:r>
          </w:p>
        </w:tc>
      </w:tr>
    </w:tbl>
    <w:p>
      <w:pPr>
        <w:spacing w:line="579" w:lineRule="exact"/>
        <w:ind w:firstLine="608" w:firstLineChars="200"/>
        <w:rPr>
          <w:rFonts w:eastAsia="黑体"/>
          <w:szCs w:val="32"/>
        </w:rPr>
      </w:pPr>
      <w:r>
        <w:rPr>
          <w:rFonts w:eastAsia="黑体"/>
          <w:szCs w:val="32"/>
        </w:rPr>
        <w:t>二、主要任务</w:t>
      </w:r>
    </w:p>
    <w:p>
      <w:pPr>
        <w:spacing w:line="579" w:lineRule="exact"/>
        <w:ind w:firstLine="608" w:firstLineChars="200"/>
        <w:rPr>
          <w:rFonts w:eastAsia="楷体_GB2312"/>
          <w:b/>
          <w:bCs/>
          <w:szCs w:val="32"/>
        </w:rPr>
      </w:pPr>
      <w:r>
        <w:rPr>
          <w:rFonts w:eastAsia="楷体_GB2312"/>
          <w:b/>
          <w:bCs/>
          <w:szCs w:val="32"/>
        </w:rPr>
        <w:t>（一）实施冷链物流基础设施“强网</w:t>
      </w:r>
      <w:r>
        <w:rPr>
          <w:rFonts w:hint="eastAsia" w:eastAsia="楷体_GB2312"/>
          <w:b/>
          <w:bCs/>
          <w:szCs w:val="32"/>
        </w:rPr>
        <w:t>强</w:t>
      </w:r>
      <w:r>
        <w:rPr>
          <w:rFonts w:eastAsia="楷体_GB2312"/>
          <w:b/>
          <w:bCs/>
          <w:szCs w:val="32"/>
        </w:rPr>
        <w:t>基”计划</w:t>
      </w:r>
    </w:p>
    <w:p>
      <w:pPr>
        <w:spacing w:line="579" w:lineRule="exact"/>
        <w:ind w:firstLine="608" w:firstLineChars="200"/>
        <w:rPr>
          <w:szCs w:val="32"/>
        </w:rPr>
      </w:pPr>
      <w:r>
        <w:rPr>
          <w:b/>
          <w:bCs/>
          <w:szCs w:val="32"/>
        </w:rPr>
        <w:t>1.提升骨干冷链物流基地支撑衔接能力。</w:t>
      </w:r>
      <w:r>
        <w:rPr>
          <w:szCs w:val="32"/>
        </w:rPr>
        <w:t>以精准高效服务跨区域、跨季节冷链运输需求为导向，提升我省舟山、宁波、嘉兴国家骨干冷链物流基地支撑国家冷链物流东南沿海骨干大通道能力，持续推动省级骨干冷链物流基地完善冷链设施设备、增强全程冷链服务规模和水平，实现骨干基地间设施设备、信息数据等冷链物流要素空间集约、互联共享。积极支持杭州、温州和台州创建“十四五”国家骨干冷链物流基地，加强我省沿海地区与国内外冷链通道衔接能力。</w:t>
      </w:r>
      <w:r>
        <w:rPr>
          <w:rFonts w:eastAsia="楷体_GB2312"/>
          <w:szCs w:val="32"/>
        </w:rPr>
        <w:t>（省发展改革委、省商务厅、省农业农村厅、省自然资源厅；各设区市人民政府，以下各项任务均需各设区市人民政府根据本地实际落实责任，不再列出）</w:t>
      </w:r>
    </w:p>
    <w:p>
      <w:pPr>
        <w:spacing w:line="579" w:lineRule="exact"/>
        <w:ind w:firstLine="608" w:firstLineChars="200"/>
        <w:rPr>
          <w:szCs w:val="32"/>
        </w:rPr>
      </w:pPr>
      <w:r>
        <w:rPr>
          <w:b/>
          <w:bCs/>
          <w:szCs w:val="32"/>
        </w:rPr>
        <w:t>2.补齐以山区海岛为重点的产地冷链物流设施短板。一是</w:t>
      </w:r>
      <w:r>
        <w:rPr>
          <w:szCs w:val="32"/>
        </w:rPr>
        <w:t>以山区海岛特色农产品优势区、鲜活农产品产地为重点，依托已建省级冷链物流园区，布局一批产地冷链物流园区，集约建设产地冷藏保鲜设施，强化产地预冷、仓储保鲜、初加工等能力。</w:t>
      </w:r>
      <w:r>
        <w:rPr>
          <w:rFonts w:eastAsia="楷体_GB2312"/>
          <w:szCs w:val="32"/>
        </w:rPr>
        <w:t>（省农业农村厅、省自然资源厅）</w:t>
      </w:r>
      <w:r>
        <w:rPr>
          <w:b/>
          <w:bCs/>
          <w:szCs w:val="32"/>
        </w:rPr>
        <w:t>二是</w:t>
      </w:r>
      <w:r>
        <w:rPr>
          <w:szCs w:val="32"/>
        </w:rPr>
        <w:t>推动县级产地冷链</w:t>
      </w:r>
      <w:r>
        <w:rPr>
          <w:rFonts w:hint="eastAsia"/>
          <w:szCs w:val="32"/>
          <w:lang w:val="en-US" w:eastAsia="zh-CN"/>
        </w:rPr>
        <w:t>集配</w:t>
      </w:r>
      <w:r>
        <w:rPr>
          <w:szCs w:val="32"/>
        </w:rPr>
        <w:t>中心建设，重点增强商品化处理、田头市场、冷藏保鲜、集散分销等能力，提升农产品产后集散和商品化处理效率。</w:t>
      </w:r>
      <w:r>
        <w:rPr>
          <w:rFonts w:eastAsia="楷体_GB2312"/>
          <w:szCs w:val="32"/>
        </w:rPr>
        <w:t>（省农业农村厅、省发展改革委、省商务厅、省邮政管理局）</w:t>
      </w:r>
      <w:r>
        <w:rPr>
          <w:b/>
          <w:bCs/>
          <w:szCs w:val="32"/>
        </w:rPr>
        <w:t>三是</w:t>
      </w:r>
      <w:r>
        <w:rPr>
          <w:szCs w:val="32"/>
        </w:rPr>
        <w:t>推动产地存量冷藏设施有效共享，引导形成设施共享的市场化机制，提高冷链设施利用率，降低政府重复建设投入。</w:t>
      </w:r>
      <w:r>
        <w:rPr>
          <w:rFonts w:eastAsia="楷体_GB2312"/>
          <w:szCs w:val="32"/>
        </w:rPr>
        <w:t>（省农业农村厅、省交通运输厅）</w:t>
      </w:r>
    </w:p>
    <w:p>
      <w:pPr>
        <w:spacing w:line="579" w:lineRule="exact"/>
        <w:ind w:firstLine="608" w:firstLineChars="200"/>
        <w:rPr>
          <w:b/>
          <w:bCs/>
          <w:szCs w:val="32"/>
        </w:rPr>
      </w:pPr>
      <w:r>
        <w:rPr>
          <w:b/>
          <w:bCs/>
          <w:szCs w:val="32"/>
        </w:rPr>
        <w:t>3.优化满足城乡差异</w:t>
      </w:r>
      <w:r>
        <w:rPr>
          <w:rFonts w:hint="eastAsia"/>
          <w:b/>
          <w:bCs/>
          <w:szCs w:val="32"/>
        </w:rPr>
        <w:t>化</w:t>
      </w:r>
      <w:r>
        <w:rPr>
          <w:b/>
          <w:bCs/>
          <w:szCs w:val="32"/>
        </w:rPr>
        <w:t>需求的销地冷链物流设施布局。</w:t>
      </w:r>
      <w:r>
        <w:rPr>
          <w:b/>
          <w:szCs w:val="32"/>
        </w:rPr>
        <w:t>一是</w:t>
      </w:r>
      <w:r>
        <w:rPr>
          <w:szCs w:val="32"/>
        </w:rPr>
        <w:t>以四大都市区为重点，依托现有省级冷链物流园区，在城市绕城高速公路沿线等近郊区域整合和改扩建一批城市销地冷链</w:t>
      </w:r>
      <w:r>
        <w:rPr>
          <w:rFonts w:hint="eastAsia"/>
          <w:szCs w:val="32"/>
          <w:lang w:val="en-US" w:eastAsia="zh-CN"/>
        </w:rPr>
        <w:t>集配</w:t>
      </w:r>
      <w:r>
        <w:rPr>
          <w:szCs w:val="32"/>
        </w:rPr>
        <w:t>中心，引导冷库等设施布局合理集中，补全流通加工、区域分拨、城市配送等功能设施，提高冷链干支线衔接效率。</w:t>
      </w:r>
      <w:r>
        <w:rPr>
          <w:rFonts w:eastAsia="楷体_GB2312"/>
          <w:szCs w:val="32"/>
        </w:rPr>
        <w:t>（省发展改革委、省自然资源厅、省商务厅）</w:t>
      </w:r>
      <w:r>
        <w:rPr>
          <w:b/>
          <w:szCs w:val="32"/>
        </w:rPr>
        <w:t>二是</w:t>
      </w:r>
      <w:r>
        <w:rPr>
          <w:szCs w:val="32"/>
        </w:rPr>
        <w:t>拓展县级产地冷链</w:t>
      </w:r>
      <w:r>
        <w:rPr>
          <w:rFonts w:hint="eastAsia"/>
          <w:szCs w:val="32"/>
          <w:lang w:val="en-US" w:eastAsia="zh-CN"/>
        </w:rPr>
        <w:t>集配</w:t>
      </w:r>
      <w:r>
        <w:rPr>
          <w:szCs w:val="32"/>
        </w:rPr>
        <w:t>中心中转集散、分拨配送功能，推进县级销地冷链分</w:t>
      </w:r>
      <w:r>
        <w:rPr>
          <w:rFonts w:hint="eastAsia"/>
          <w:szCs w:val="32"/>
          <w:lang w:val="en-US" w:eastAsia="zh-CN"/>
        </w:rPr>
        <w:t>集配</w:t>
      </w:r>
      <w:r>
        <w:rPr>
          <w:szCs w:val="32"/>
        </w:rPr>
        <w:t>中心建设，引导大型供销、邮政快递、交通运输、生鲜电商等企业参与建设，推动冷链物流配送服务网络下沉至中小城镇和农村。</w:t>
      </w:r>
      <w:r>
        <w:rPr>
          <w:rFonts w:eastAsia="楷体_GB2312"/>
          <w:szCs w:val="32"/>
        </w:rPr>
        <w:t>（省发展改革委、省商务厅、省交通运输厅、省邮政管理局、省供销社）</w:t>
      </w:r>
      <w:r>
        <w:rPr>
          <w:b/>
          <w:szCs w:val="32"/>
        </w:rPr>
        <w:t>三是</w:t>
      </w:r>
      <w:r>
        <w:rPr>
          <w:szCs w:val="32"/>
        </w:rPr>
        <w:t>完善城乡末端冷链设施布局。加大城市人口密集区域的冷链前置仓等“最后一公里”设施建设力度，支持移动冷库、</w:t>
      </w:r>
      <w:r>
        <w:rPr>
          <w:bCs/>
          <w:szCs w:val="32"/>
        </w:rPr>
        <w:t>无人零售智能售货柜</w:t>
      </w:r>
      <w:r>
        <w:rPr>
          <w:szCs w:val="32"/>
        </w:rPr>
        <w:t>、冷链自提柜、</w:t>
      </w:r>
      <w:r>
        <w:rPr>
          <w:bCs/>
          <w:szCs w:val="32"/>
        </w:rPr>
        <w:t>智能冷藏奶箱</w:t>
      </w:r>
      <w:r>
        <w:rPr>
          <w:szCs w:val="32"/>
        </w:rPr>
        <w:t>等在企事业单位和大型社区广泛应用。鼓励商超、生鲜连锁店根据市场需求进行零售端冷链设施增设和改造升级，提高冷链物流服务能力。加快实施“快递进村”工程，推动乡镇冷链配送服务站点建设改造，依托现有配置扩大乡村冷链网络覆盖范围。</w:t>
      </w:r>
      <w:r>
        <w:rPr>
          <w:rFonts w:eastAsia="楷体_GB2312"/>
          <w:szCs w:val="32"/>
        </w:rPr>
        <w:t>（省商务厅、省邮政管理局）</w:t>
      </w:r>
    </w:p>
    <w:tbl>
      <w:tblPr>
        <w:tblStyle w:val="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pPr>
              <w:spacing w:line="440" w:lineRule="exact"/>
              <w:ind w:firstLine="448" w:firstLineChars="200"/>
              <w:jc w:val="center"/>
              <w:rPr>
                <w:rFonts w:eastAsia="黑体"/>
                <w:b/>
                <w:bCs/>
                <w:kern w:val="0"/>
                <w:sz w:val="24"/>
                <w:szCs w:val="24"/>
              </w:rPr>
            </w:pPr>
            <w:r>
              <w:rPr>
                <w:rFonts w:eastAsia="黑体"/>
                <w:kern w:val="0"/>
                <w:sz w:val="24"/>
                <w:szCs w:val="24"/>
              </w:rPr>
              <w:t>专栏1  两端冷链物流设施补短优化工程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pPr>
              <w:spacing w:line="440" w:lineRule="exact"/>
              <w:ind w:firstLine="448" w:firstLineChars="200"/>
              <w:rPr>
                <w:kern w:val="0"/>
                <w:sz w:val="24"/>
                <w:szCs w:val="24"/>
              </w:rPr>
            </w:pPr>
            <w:r>
              <w:rPr>
                <w:b/>
                <w:bCs/>
                <w:kern w:val="0"/>
                <w:sz w:val="24"/>
                <w:szCs w:val="24"/>
              </w:rPr>
              <w:t>农产品冷链物流“百千”工程。</w:t>
            </w:r>
            <w:r>
              <w:rPr>
                <w:kern w:val="0"/>
                <w:sz w:val="24"/>
                <w:szCs w:val="24"/>
              </w:rPr>
              <w:t>按照区位优势突出、服务功能衔接的要求，依托各类市场主体、产地园区和渠道网络，整合优化冷链物流设施存量资源，通过新建、改建、扩建等手段，分类分级建设产地冷链</w:t>
            </w:r>
            <w:r>
              <w:rPr>
                <w:rFonts w:hint="eastAsia"/>
                <w:kern w:val="0"/>
                <w:sz w:val="24"/>
                <w:szCs w:val="24"/>
                <w:lang w:eastAsia="zh-CN"/>
              </w:rPr>
              <w:t>集配</w:t>
            </w:r>
            <w:r>
              <w:rPr>
                <w:rFonts w:hint="eastAsia"/>
                <w:kern w:val="0"/>
                <w:sz w:val="24"/>
                <w:szCs w:val="24"/>
              </w:rPr>
              <w:t>中心</w:t>
            </w:r>
            <w:r>
              <w:rPr>
                <w:kern w:val="0"/>
                <w:sz w:val="24"/>
                <w:szCs w:val="24"/>
              </w:rPr>
              <w:t>60个；支持家庭农场、农民专业合作社、农村集体经济组织等主体，在鲜活农产品主产区，合理集中布局建设产地冷藏保鲜设施600个。强化产地冷藏保鲜设施、产地冷链</w:t>
            </w:r>
            <w:r>
              <w:rPr>
                <w:rFonts w:hint="eastAsia"/>
                <w:kern w:val="0"/>
                <w:sz w:val="24"/>
                <w:szCs w:val="24"/>
                <w:lang w:val="en-US" w:eastAsia="zh-CN"/>
              </w:rPr>
              <w:t>集配</w:t>
            </w:r>
            <w:r>
              <w:rPr>
                <w:kern w:val="0"/>
                <w:sz w:val="24"/>
                <w:szCs w:val="24"/>
              </w:rPr>
              <w:t>中心与农产品冷链物流基地、</w:t>
            </w:r>
            <w:r>
              <w:rPr>
                <w:rFonts w:hint="eastAsia"/>
                <w:kern w:val="0"/>
                <w:sz w:val="24"/>
                <w:szCs w:val="24"/>
                <w:lang w:val="en-US" w:eastAsia="zh-CN"/>
              </w:rPr>
              <w:t>城市</w:t>
            </w:r>
            <w:r>
              <w:rPr>
                <w:kern w:val="0"/>
                <w:sz w:val="24"/>
                <w:szCs w:val="24"/>
              </w:rPr>
              <w:t>低温配送网点有效衔接，构建功能衔接、上下贯通、集约高效的产地冷链物流服务体系。</w:t>
            </w:r>
          </w:p>
          <w:p>
            <w:pPr>
              <w:spacing w:line="440" w:lineRule="exact"/>
              <w:ind w:firstLine="448" w:firstLineChars="200"/>
              <w:rPr>
                <w:b/>
                <w:bCs/>
                <w:kern w:val="0"/>
                <w:sz w:val="24"/>
                <w:szCs w:val="24"/>
              </w:rPr>
            </w:pPr>
            <w:r>
              <w:rPr>
                <w:b/>
                <w:bCs/>
                <w:kern w:val="0"/>
                <w:sz w:val="24"/>
                <w:szCs w:val="24"/>
              </w:rPr>
              <w:t>城乡冷链配送网点优化工程。</w:t>
            </w:r>
            <w:r>
              <w:rPr>
                <w:kern w:val="0"/>
                <w:sz w:val="24"/>
                <w:szCs w:val="24"/>
              </w:rPr>
              <w:t>依托大型商超、农贸市场、药店、快递网点、社区便利店、生鲜电商等，建设一批满足城乡差异化需求、支持不同冷链配送模式的末端配送网点，重点补齐人口规模较大和密度较高的大型城市社区冷链配送网点缺口，实现冷链到家。</w:t>
            </w:r>
          </w:p>
        </w:tc>
      </w:tr>
    </w:tbl>
    <w:p>
      <w:pPr>
        <w:spacing w:line="579" w:lineRule="exact"/>
        <w:ind w:firstLine="608" w:firstLineChars="200"/>
        <w:rPr>
          <w:rFonts w:eastAsia="楷体_GB2312"/>
          <w:b/>
          <w:bCs/>
          <w:szCs w:val="32"/>
        </w:rPr>
      </w:pPr>
      <w:r>
        <w:rPr>
          <w:rFonts w:eastAsia="楷体_GB2312"/>
          <w:b/>
          <w:bCs/>
          <w:szCs w:val="32"/>
        </w:rPr>
        <w:t>（二）实施冷链物流技术装备“提标</w:t>
      </w:r>
      <w:r>
        <w:rPr>
          <w:rFonts w:hint="eastAsia" w:eastAsia="楷体_GB2312"/>
          <w:b/>
          <w:bCs/>
          <w:szCs w:val="32"/>
        </w:rPr>
        <w:t>提效</w:t>
      </w:r>
      <w:r>
        <w:rPr>
          <w:rFonts w:eastAsia="楷体_GB2312"/>
          <w:b/>
          <w:bCs/>
          <w:szCs w:val="32"/>
        </w:rPr>
        <w:t>”计划</w:t>
      </w:r>
    </w:p>
    <w:p>
      <w:pPr>
        <w:spacing w:line="579" w:lineRule="exact"/>
        <w:ind w:firstLine="608" w:firstLineChars="200"/>
        <w:rPr>
          <w:rFonts w:eastAsia="楷体_GB2312"/>
          <w:b/>
          <w:szCs w:val="32"/>
        </w:rPr>
      </w:pPr>
      <w:r>
        <w:rPr>
          <w:szCs w:val="32"/>
        </w:rPr>
        <w:t>1.</w:t>
      </w:r>
      <w:r>
        <w:rPr>
          <w:b/>
          <w:szCs w:val="32"/>
        </w:rPr>
        <w:t>推动冷链运载装备更绿色高效。</w:t>
      </w:r>
      <w:r>
        <w:rPr>
          <w:szCs w:val="32"/>
        </w:rPr>
        <w:t>一</w:t>
      </w:r>
      <w:r>
        <w:rPr>
          <w:b/>
          <w:bCs/>
          <w:szCs w:val="32"/>
        </w:rPr>
        <w:t>是</w:t>
      </w:r>
      <w:r>
        <w:rPr>
          <w:szCs w:val="32"/>
        </w:rPr>
        <w:t>加快推动冷藏车绿色化，研发推广微型、轻型新能源冷藏车和增程式冷藏车，建立更加简洁合规的新能源冷藏车上牌和年检制度，完善新能源冷藏车充电设施布局，推动骨干冷链物流基地、冷链物流园区和产销冷链</w:t>
      </w:r>
      <w:r>
        <w:rPr>
          <w:rFonts w:hint="eastAsia"/>
          <w:szCs w:val="32"/>
          <w:lang w:eastAsia="zh-CN"/>
        </w:rPr>
        <w:t>集配</w:t>
      </w:r>
      <w:r>
        <w:rPr>
          <w:szCs w:val="32"/>
        </w:rPr>
        <w:t>中心等节点的公共充电桩、加气站建设，有序淘汰高排放冷藏车。</w:t>
      </w:r>
      <w:r>
        <w:rPr>
          <w:rFonts w:eastAsia="楷体_GB2312"/>
          <w:szCs w:val="32"/>
        </w:rPr>
        <w:t>（省科技厅、省发展改革委、省交通运输厅、省公安厅）</w:t>
      </w:r>
      <w:r>
        <w:rPr>
          <w:szCs w:val="32"/>
        </w:rPr>
        <w:t>二</w:t>
      </w:r>
      <w:r>
        <w:rPr>
          <w:b/>
          <w:bCs/>
          <w:szCs w:val="32"/>
        </w:rPr>
        <w:t>是</w:t>
      </w:r>
      <w:r>
        <w:rPr>
          <w:bCs/>
          <w:szCs w:val="32"/>
        </w:rPr>
        <w:t>有序</w:t>
      </w:r>
      <w:r>
        <w:rPr>
          <w:szCs w:val="32"/>
        </w:rPr>
        <w:t>推进冷藏车标准化，研究制定分环节、分品类的标准化冷藏车配置方案，以提高装卸效率为导向，加快形成适应干线运输、支线转运、城市配送等不同需求的冷藏车车型和规格标准，生产推广一批统一等级标识、配置要求的标准化冷藏车，分步淘汰非标准化冷藏车。</w:t>
      </w:r>
      <w:r>
        <w:rPr>
          <w:rFonts w:eastAsia="楷体_GB2312"/>
          <w:szCs w:val="32"/>
        </w:rPr>
        <w:t>（省交通运输厅、省公安厅、省市场监管局）</w:t>
      </w:r>
      <w:r>
        <w:rPr>
          <w:b/>
          <w:szCs w:val="32"/>
        </w:rPr>
        <w:t>三是</w:t>
      </w:r>
      <w:r>
        <w:rPr>
          <w:szCs w:val="32"/>
        </w:rPr>
        <w:t>推广单元化标准化冷链运载器具，鼓励批发、零售、电商和运输企业在采购订货和收验货过程中，使用适合不同产品的标准化托盘、周转箱（筐）以及可循环的绿色环保冷藏快递储存箱或保冷袋等作为计量单元和运载单元，实现冷链运输全程“不倒托”、“不倒箱”。根据不同冷链产品需求，加强标准化冷链运载器具循环共用体系建设，完善运载器具租赁、维修、保养、调度等公共运营服务，提高标准化冷链运载器具利用率。</w:t>
      </w:r>
      <w:r>
        <w:rPr>
          <w:rFonts w:eastAsia="楷体_GB2312"/>
          <w:szCs w:val="32"/>
        </w:rPr>
        <w:t>（省市场监管局、省科技厅、省商务厅）</w:t>
      </w:r>
    </w:p>
    <w:p>
      <w:pPr>
        <w:spacing w:line="579" w:lineRule="exact"/>
        <w:ind w:firstLine="608" w:firstLineChars="200"/>
        <w:rPr>
          <w:szCs w:val="32"/>
        </w:rPr>
      </w:pPr>
      <w:r>
        <w:rPr>
          <w:b/>
          <w:szCs w:val="32"/>
        </w:rPr>
        <w:t>2.推动冷链仓储装备更专业安全。一是</w:t>
      </w:r>
      <w:r>
        <w:rPr>
          <w:szCs w:val="32"/>
        </w:rPr>
        <w:t>改造提升产地冷藏保鲜设施，改造提升产地存量单温区机械冷库、气调贮藏库或通风等单一冷库，满足不同产品和季节的预冷需求。推广移动式产地预冷加工设备，探索建设租赁共享式“田头小站”等移动冷库，提高产地预冷设施综合利用效率。</w:t>
      </w:r>
      <w:r>
        <w:rPr>
          <w:rFonts w:eastAsia="楷体_GB2312"/>
          <w:szCs w:val="32"/>
        </w:rPr>
        <w:t>（省农业农村厅）</w:t>
      </w:r>
      <w:r>
        <w:rPr>
          <w:b/>
          <w:szCs w:val="32"/>
        </w:rPr>
        <w:t>二是</w:t>
      </w:r>
      <w:r>
        <w:rPr>
          <w:szCs w:val="32"/>
        </w:rPr>
        <w:t>加快升级城郊中转冷库设施，推动农产品批发市场冷库升级改造，优化封闭式装卸站台等设施，完善流通加工、分拨配送、质量安全控制等功能。</w:t>
      </w:r>
      <w:r>
        <w:rPr>
          <w:rFonts w:eastAsia="楷体_GB2312"/>
          <w:szCs w:val="32"/>
        </w:rPr>
        <w:t>（省商务厅、省农业农村厅）</w:t>
      </w:r>
      <w:r>
        <w:rPr>
          <w:b/>
          <w:bCs/>
          <w:szCs w:val="32"/>
        </w:rPr>
        <w:t>三是</w:t>
      </w:r>
      <w:r>
        <w:rPr>
          <w:szCs w:val="32"/>
        </w:rPr>
        <w:t>加快推动冷链仓储标准和制冷技术推广应用，严格落实冷库建设的节能标准和安全要求，提升企业新建、改造冷库及低温加工装备过程的设计管理水平，减少重复改造的成本。支持企业创新利用自然冷能、太阳能等清洁能源，因地制宜使用绿色低碳的二氧化碳复叠制冷等高效制冷技术和保温耗材，有效提升冷库（冻结间）的保温阻燃性能、制冷效率和安全性，有序淘汰关停不合规不合法冷库。</w:t>
      </w:r>
      <w:r>
        <w:rPr>
          <w:rFonts w:eastAsia="楷体_GB2312"/>
          <w:szCs w:val="32"/>
        </w:rPr>
        <w:t>（省商务厅、省市场监管局、省生态环境厅）</w:t>
      </w:r>
    </w:p>
    <w:p>
      <w:pPr>
        <w:spacing w:line="579" w:lineRule="exact"/>
        <w:ind w:firstLine="608" w:firstLineChars="200"/>
        <w:rPr>
          <w:b/>
          <w:bCs/>
          <w:szCs w:val="32"/>
        </w:rPr>
      </w:pPr>
      <w:r>
        <w:rPr>
          <w:b/>
          <w:szCs w:val="32"/>
        </w:rPr>
        <w:t>3.推动冷链数字设施更智能互联</w:t>
      </w:r>
      <w:r>
        <w:rPr>
          <w:szCs w:val="32"/>
        </w:rPr>
        <w:t>。</w:t>
      </w:r>
      <w:r>
        <w:rPr>
          <w:b/>
          <w:bCs/>
          <w:szCs w:val="32"/>
        </w:rPr>
        <w:t>一是</w:t>
      </w:r>
      <w:r>
        <w:rPr>
          <w:szCs w:val="32"/>
        </w:rPr>
        <w:t>推动专业冷链物流信息平台建设，支持国家和省级骨干冷链物流基地、园区建设运营主体搭建专业冷链物流信息平台，广泛集成区域</w:t>
      </w:r>
      <w:r>
        <w:rPr>
          <w:rFonts w:hint="eastAsia"/>
          <w:szCs w:val="32"/>
          <w:lang w:val="en-US" w:eastAsia="zh-CN"/>
        </w:rPr>
        <w:t>内</w:t>
      </w:r>
      <w:r>
        <w:rPr>
          <w:szCs w:val="32"/>
        </w:rPr>
        <w:t>冷链货源、运力、库存等市场信息，为冷链业务一体化运作提供平台支撑。</w:t>
      </w:r>
      <w:r>
        <w:rPr>
          <w:rFonts w:eastAsia="楷体_GB2312"/>
          <w:szCs w:val="32"/>
        </w:rPr>
        <w:t>（省发展改革委、省交通运输厅、省市场监管局）</w:t>
      </w:r>
      <w:r>
        <w:rPr>
          <w:b/>
          <w:bCs/>
          <w:szCs w:val="32"/>
        </w:rPr>
        <w:t>二是</w:t>
      </w:r>
      <w:r>
        <w:rPr>
          <w:szCs w:val="32"/>
        </w:rPr>
        <w:t>推广应用数字化冷链配送运载单元，鼓励商贸流通骨干企业、邮政快递企业、供销合作社等在车载冷藏箱、保温周转箱、冷藏快递储存箱等设施设备中加强互联网技术的应用，提升城市低温配送时效。</w:t>
      </w:r>
      <w:r>
        <w:rPr>
          <w:rFonts w:eastAsia="楷体_GB2312"/>
          <w:szCs w:val="32"/>
        </w:rPr>
        <w:t>（省商务厅、省邮政管理局、省供销社、省交通运输厅）</w:t>
      </w:r>
      <w:r>
        <w:rPr>
          <w:b/>
          <w:bCs/>
          <w:szCs w:val="32"/>
        </w:rPr>
        <w:t>三是</w:t>
      </w:r>
      <w:r>
        <w:rPr>
          <w:szCs w:val="32"/>
        </w:rPr>
        <w:t>挖掘利用冷链物流运行大数据，研究制定冷链大数据采集共享标准，支持企业通过大数据开展精准营销和个性化供应链服务，辅助生鲜食品生产加工企业和农产品生产主体合理安排计划、精准组织生产，助力销售企业实现自动补货和智能调拨。</w:t>
      </w:r>
      <w:r>
        <w:rPr>
          <w:rFonts w:eastAsia="楷体_GB2312"/>
          <w:szCs w:val="32"/>
        </w:rPr>
        <w:t>（省市场监管局、省大数据局、省经信厅）</w:t>
      </w:r>
    </w:p>
    <w:tbl>
      <w:tblPr>
        <w:tblStyle w:val="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pPr>
              <w:spacing w:line="440" w:lineRule="exact"/>
              <w:ind w:firstLine="448" w:firstLineChars="200"/>
              <w:jc w:val="center"/>
              <w:rPr>
                <w:rFonts w:eastAsia="黑体"/>
                <w:b/>
                <w:bCs/>
                <w:kern w:val="0"/>
                <w:sz w:val="24"/>
                <w:szCs w:val="24"/>
              </w:rPr>
            </w:pPr>
            <w:r>
              <w:rPr>
                <w:rFonts w:eastAsia="黑体"/>
                <w:kern w:val="0"/>
                <w:sz w:val="24"/>
                <w:szCs w:val="24"/>
              </w:rPr>
              <w:t>专栏2  冷链物流设施装备更新提质工程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pPr>
              <w:spacing w:line="440" w:lineRule="exact"/>
              <w:ind w:firstLine="448" w:firstLineChars="200"/>
              <w:rPr>
                <w:b/>
                <w:bCs/>
                <w:kern w:val="0"/>
                <w:sz w:val="24"/>
                <w:szCs w:val="24"/>
              </w:rPr>
            </w:pPr>
            <w:r>
              <w:rPr>
                <w:b/>
                <w:bCs/>
                <w:kern w:val="0"/>
                <w:sz w:val="24"/>
                <w:szCs w:val="24"/>
              </w:rPr>
              <w:t>移动冷库推广应用工程。</w:t>
            </w:r>
            <w:r>
              <w:rPr>
                <w:kern w:val="0"/>
                <w:sz w:val="24"/>
                <w:szCs w:val="24"/>
              </w:rPr>
              <w:t>以</w:t>
            </w:r>
            <w:r>
              <w:rPr>
                <w:color w:val="000000"/>
                <w:kern w:val="0"/>
                <w:sz w:val="24"/>
                <w:szCs w:val="24"/>
              </w:rPr>
              <w:t>全省430个特色农产品优势区为重点，探索发展共享式“田头小站”等移动冷库，制定符合浙江实际的移动冷库建设标准，推广一批适应产地需求、标准化程度高的移动冷库。</w:t>
            </w:r>
          </w:p>
          <w:p>
            <w:pPr>
              <w:spacing w:line="440" w:lineRule="exact"/>
              <w:ind w:firstLine="448" w:firstLineChars="200"/>
              <w:rPr>
                <w:b/>
                <w:bCs/>
                <w:kern w:val="0"/>
                <w:sz w:val="24"/>
                <w:szCs w:val="24"/>
              </w:rPr>
            </w:pPr>
            <w:r>
              <w:rPr>
                <w:b/>
                <w:bCs/>
                <w:kern w:val="0"/>
                <w:sz w:val="24"/>
                <w:szCs w:val="24"/>
              </w:rPr>
              <w:t>城市冷链物流设施升级工程。</w:t>
            </w:r>
            <w:r>
              <w:rPr>
                <w:kern w:val="0"/>
                <w:sz w:val="24"/>
                <w:szCs w:val="24"/>
              </w:rPr>
              <w:t>支持</w:t>
            </w:r>
            <w:r>
              <w:rPr>
                <w:bCs/>
                <w:kern w:val="0"/>
                <w:sz w:val="24"/>
                <w:szCs w:val="24"/>
              </w:rPr>
              <w:t>企业建设一批高标准冷库，开展城郊农产品批发市场老旧冷库改造升级行动，建设封闭式装卸站台，根据冷链需求使用合适的环境友好型制冷剂，鼓励建设公共冷库、净菜加工车间等设施，安装符合标准要求的</w:t>
            </w:r>
            <w:r>
              <w:rPr>
                <w:kern w:val="0"/>
                <w:sz w:val="24"/>
                <w:szCs w:val="24"/>
              </w:rPr>
              <w:t>温湿度监测设备。推动具有冷链设施的快递末端网点和温控功能的智能快件箱、智能信包箱、冷链智能自提柜等纳入城市建筑工程公共基础设施配建标准，分类有序推动新建、改扩建城市社区按标准配套设置智能快件箱、智能信包箱等自助服务设备。</w:t>
            </w:r>
          </w:p>
          <w:p>
            <w:pPr>
              <w:spacing w:line="440" w:lineRule="exact"/>
              <w:ind w:firstLine="448" w:firstLineChars="200"/>
              <w:rPr>
                <w:b/>
                <w:bCs/>
                <w:kern w:val="0"/>
                <w:sz w:val="24"/>
                <w:szCs w:val="24"/>
              </w:rPr>
            </w:pPr>
            <w:r>
              <w:rPr>
                <w:b/>
                <w:bCs/>
                <w:kern w:val="0"/>
                <w:sz w:val="24"/>
                <w:szCs w:val="24"/>
              </w:rPr>
              <w:t>冷链物流数字平台培育工程。</w:t>
            </w:r>
            <w:r>
              <w:rPr>
                <w:bCs/>
                <w:kern w:val="0"/>
                <w:sz w:val="24"/>
                <w:szCs w:val="24"/>
              </w:rPr>
              <w:t>支持骨干冷链物流基地、园区、龙头企业</w:t>
            </w:r>
            <w:r>
              <w:rPr>
                <w:kern w:val="0"/>
                <w:sz w:val="24"/>
                <w:szCs w:val="24"/>
              </w:rPr>
              <w:t>建设集在线交易、信息发布、位置跟踪、质量追溯、数据分析、技术咨询和行业分析等功能于一体的第三方冷链物流公共信息服务平台，拓展“一键找库”“一键找车”等服务应用，完善冷链物流智能监控与追溯功能，提高冷藏车和冷库的利用率。</w:t>
            </w:r>
          </w:p>
        </w:tc>
      </w:tr>
    </w:tbl>
    <w:p>
      <w:pPr>
        <w:pStyle w:val="6"/>
        <w:spacing w:line="579" w:lineRule="exact"/>
        <w:ind w:left="640" w:firstLine="0" w:firstLineChars="0"/>
        <w:rPr>
          <w:rFonts w:eastAsia="楷体_GB2312"/>
          <w:b/>
          <w:bCs/>
          <w:szCs w:val="32"/>
        </w:rPr>
      </w:pPr>
      <w:r>
        <w:rPr>
          <w:rFonts w:eastAsia="楷体_GB2312"/>
          <w:b/>
          <w:bCs/>
          <w:szCs w:val="32"/>
        </w:rPr>
        <w:t>（三）实施冷链物流服务</w:t>
      </w:r>
      <w:r>
        <w:rPr>
          <w:rFonts w:hint="eastAsia" w:eastAsia="楷体_GB2312"/>
          <w:b/>
          <w:bCs/>
          <w:szCs w:val="32"/>
        </w:rPr>
        <w:t>品质</w:t>
      </w:r>
      <w:r>
        <w:rPr>
          <w:rFonts w:eastAsia="楷体_GB2312"/>
          <w:b/>
          <w:bCs/>
          <w:szCs w:val="32"/>
        </w:rPr>
        <w:t>“优创优享”计划</w:t>
      </w:r>
    </w:p>
    <w:p>
      <w:pPr>
        <w:spacing w:line="579" w:lineRule="exact"/>
        <w:ind w:firstLine="608" w:firstLineChars="200"/>
        <w:rPr>
          <w:bCs/>
          <w:szCs w:val="32"/>
        </w:rPr>
      </w:pPr>
      <w:r>
        <w:rPr>
          <w:b/>
          <w:szCs w:val="32"/>
        </w:rPr>
        <w:t>1.强化产地冷链物流服务能力。一是</w:t>
      </w:r>
      <w:r>
        <w:rPr>
          <w:bCs/>
          <w:szCs w:val="32"/>
        </w:rPr>
        <w:t>鼓励各类农业经营主体和冷链物流企业加强合作，培育一批产地移动冷库和冷藏车社会化服务主体，发展设施巡回租赁、“移动冷库+</w:t>
      </w:r>
      <w:r>
        <w:rPr>
          <w:rFonts w:hint="eastAsia"/>
          <w:bCs/>
          <w:szCs w:val="32"/>
          <w:lang w:eastAsia="zh-CN"/>
        </w:rPr>
        <w:t>集配</w:t>
      </w:r>
      <w:r>
        <w:rPr>
          <w:rFonts w:hint="eastAsia"/>
          <w:bCs/>
          <w:szCs w:val="32"/>
        </w:rPr>
        <w:t>中心</w:t>
      </w:r>
      <w:r>
        <w:rPr>
          <w:bCs/>
          <w:szCs w:val="32"/>
        </w:rPr>
        <w:t>（物流园区）”等模式，提高从田间地头向产地冷藏保鲜设施、移动冷库等的集货效率。</w:t>
      </w:r>
      <w:r>
        <w:rPr>
          <w:rFonts w:eastAsia="楷体_GB2312"/>
          <w:szCs w:val="32"/>
        </w:rPr>
        <w:t>（省农业农村厅）</w:t>
      </w:r>
      <w:r>
        <w:rPr>
          <w:b/>
          <w:szCs w:val="32"/>
        </w:rPr>
        <w:t>二是</w:t>
      </w:r>
      <w:r>
        <w:rPr>
          <w:bCs/>
          <w:szCs w:val="32"/>
        </w:rPr>
        <w:t>鼓励电商、快递企业利用既有物流网络，整合产地冷链物流资源，拓展农产品出村进城冷链物流服务渠道。</w:t>
      </w:r>
      <w:r>
        <w:rPr>
          <w:rFonts w:eastAsia="楷体_GB2312"/>
          <w:szCs w:val="32"/>
        </w:rPr>
        <w:t>（省农业农村厅、省邮政管理局）</w:t>
      </w:r>
      <w:r>
        <w:rPr>
          <w:b/>
          <w:szCs w:val="32"/>
        </w:rPr>
        <w:t>三是</w:t>
      </w:r>
      <w:r>
        <w:rPr>
          <w:bCs/>
          <w:szCs w:val="32"/>
        </w:rPr>
        <w:t>引导专业冷链物流企业开展从冷链源头基点到冷链</w:t>
      </w:r>
      <w:r>
        <w:rPr>
          <w:rFonts w:hint="eastAsia"/>
          <w:bCs/>
          <w:szCs w:val="32"/>
          <w:lang w:eastAsia="zh-CN"/>
        </w:rPr>
        <w:t>集配</w:t>
      </w:r>
      <w:r>
        <w:rPr>
          <w:rFonts w:hint="eastAsia"/>
          <w:bCs/>
          <w:szCs w:val="32"/>
        </w:rPr>
        <w:t>中心</w:t>
      </w:r>
      <w:r>
        <w:rPr>
          <w:bCs/>
          <w:szCs w:val="32"/>
        </w:rPr>
        <w:t>、基地（园区）的衔接运输组织，构建稳定、高效、低成本运行的农产品出村进城冷链物流网络</w:t>
      </w:r>
      <w:r>
        <w:rPr>
          <w:rFonts w:hint="eastAsia"/>
          <w:bCs/>
          <w:szCs w:val="32"/>
          <w:lang w:eastAsia="zh-CN"/>
        </w:rPr>
        <w:t>，</w:t>
      </w:r>
      <w:r>
        <w:rPr>
          <w:bCs/>
          <w:szCs w:val="32"/>
        </w:rPr>
        <w:t>促进农产品产地直供发展。</w:t>
      </w:r>
      <w:r>
        <w:rPr>
          <w:rFonts w:eastAsia="楷体_GB2312"/>
          <w:szCs w:val="32"/>
        </w:rPr>
        <w:t>（省农业农村厅、省邮政管理局、省供销社、省商务厅）</w:t>
      </w:r>
    </w:p>
    <w:p>
      <w:pPr>
        <w:spacing w:line="579" w:lineRule="exact"/>
        <w:ind w:firstLine="608" w:firstLineChars="200"/>
        <w:rPr>
          <w:b/>
          <w:szCs w:val="32"/>
        </w:rPr>
      </w:pPr>
      <w:r>
        <w:rPr>
          <w:b/>
          <w:szCs w:val="32"/>
        </w:rPr>
        <w:t>2.优化销地冷链物流服务模式。</w:t>
      </w:r>
      <w:r>
        <w:rPr>
          <w:b/>
          <w:bCs/>
          <w:szCs w:val="32"/>
        </w:rPr>
        <w:t>一是</w:t>
      </w:r>
      <w:r>
        <w:rPr>
          <w:szCs w:val="32"/>
        </w:rPr>
        <w:t>依托生鲜农产品经营企业、社区生鲜电商和生鲜门店等行业主体，加强与物流、电商、快递等企业合作，加快发展“生鲜电商+中央厨房+冷链宅配”等新型社区冷链物流业务模式。支持有条件的地方发展城市冷链即时配送，促进生鲜零售、餐饮、体验式消费融合创新。</w:t>
      </w:r>
      <w:r>
        <w:rPr>
          <w:rFonts w:eastAsia="楷体_GB2312"/>
          <w:szCs w:val="32"/>
        </w:rPr>
        <w:t>（省商务厅、省交通运输厅、省公安厅、省邮政管理局）</w:t>
      </w:r>
      <w:r>
        <w:rPr>
          <w:b/>
          <w:bCs/>
          <w:szCs w:val="32"/>
        </w:rPr>
        <w:t>二是</w:t>
      </w:r>
      <w:r>
        <w:rPr>
          <w:szCs w:val="32"/>
        </w:rPr>
        <w:t>大力推广冷链共同配送模式，开展多品种、小批量、多批次的冷链共同配送服务。鼓励各设区市开展城市冷链物流共同配送试点，设立城市冷链物流配送示范区和配送专线，推广应用多温区配送车、蓄冷保温箱和保温柜等，培育冷链物流跨界融合新模式。</w:t>
      </w:r>
      <w:r>
        <w:rPr>
          <w:rFonts w:eastAsia="楷体_GB2312"/>
          <w:szCs w:val="32"/>
        </w:rPr>
        <w:t>（省发展改革委、省商务厅）</w:t>
      </w:r>
    </w:p>
    <w:p>
      <w:pPr>
        <w:spacing w:line="579" w:lineRule="exact"/>
        <w:ind w:firstLine="608" w:firstLineChars="200"/>
        <w:rPr>
          <w:b/>
          <w:bCs/>
          <w:szCs w:val="32"/>
        </w:rPr>
      </w:pPr>
      <w:r>
        <w:rPr>
          <w:b/>
          <w:szCs w:val="32"/>
        </w:rPr>
        <w:t>3.</w:t>
      </w:r>
      <w:r>
        <w:t xml:space="preserve"> </w:t>
      </w:r>
      <w:r>
        <w:rPr>
          <w:b/>
          <w:szCs w:val="32"/>
        </w:rPr>
        <w:t>细化全品类冷链物流服务精度。</w:t>
      </w:r>
      <w:r>
        <w:rPr>
          <w:b/>
          <w:bCs/>
          <w:szCs w:val="32"/>
        </w:rPr>
        <w:t>一是</w:t>
      </w:r>
      <w:r>
        <w:rPr>
          <w:szCs w:val="32"/>
        </w:rPr>
        <w:t>提升果蔬产地低温处理率，推进果蔬产品商品化包装与冷链包装一体化，</w:t>
      </w:r>
      <w:r>
        <w:rPr>
          <w:bCs/>
          <w:szCs w:val="32"/>
        </w:rPr>
        <w:t>提升产地冷加工自动化水平，研究制定分品类的果蔬冷链物流标准，减少后期流通损耗成本。</w:t>
      </w:r>
      <w:r>
        <w:rPr>
          <w:rFonts w:eastAsia="楷体_GB2312"/>
          <w:bCs/>
          <w:szCs w:val="32"/>
        </w:rPr>
        <w:t>（省市场监管局、省农业农村厅、省商务厅、省科技厅）</w:t>
      </w:r>
      <w:r>
        <w:rPr>
          <w:b/>
          <w:szCs w:val="32"/>
        </w:rPr>
        <w:t>二是</w:t>
      </w:r>
      <w:r>
        <w:rPr>
          <w:bCs/>
          <w:szCs w:val="32"/>
        </w:rPr>
        <w:t>完善肉类供应链追溯体系，</w:t>
      </w:r>
      <w:r>
        <w:rPr>
          <w:rFonts w:hint="eastAsia"/>
          <w:bCs/>
          <w:szCs w:val="32"/>
        </w:rPr>
        <w:t>引导</w:t>
      </w:r>
      <w:r>
        <w:rPr>
          <w:bCs/>
          <w:szCs w:val="32"/>
        </w:rPr>
        <w:t>肉类经营者</w:t>
      </w:r>
      <w:r>
        <w:rPr>
          <w:rFonts w:hint="eastAsia"/>
          <w:bCs/>
          <w:szCs w:val="32"/>
        </w:rPr>
        <w:t>在</w:t>
      </w:r>
      <w:r>
        <w:rPr>
          <w:bCs/>
          <w:szCs w:val="32"/>
        </w:rPr>
        <w:t>省食品安全追溯系统</w:t>
      </w:r>
      <w:r>
        <w:rPr>
          <w:rFonts w:hint="eastAsia"/>
          <w:bCs/>
          <w:szCs w:val="32"/>
        </w:rPr>
        <w:t>中录入</w:t>
      </w:r>
      <w:r>
        <w:rPr>
          <w:bCs/>
          <w:szCs w:val="32"/>
        </w:rPr>
        <w:t>检验检疫信息，实现肉类从屠宰源头至市场销售的全链条无纸化交易，推动三星级以上农贸市场配备肉类销售制冷设备。</w:t>
      </w:r>
      <w:r>
        <w:rPr>
          <w:rFonts w:eastAsia="楷体_GB2312"/>
          <w:szCs w:val="32"/>
        </w:rPr>
        <w:t>（省农业农村厅、省市场监管局、省商务厅）</w:t>
      </w:r>
      <w:r>
        <w:rPr>
          <w:b/>
          <w:bCs/>
          <w:szCs w:val="32"/>
        </w:rPr>
        <w:t>三是</w:t>
      </w:r>
      <w:r>
        <w:rPr>
          <w:szCs w:val="32"/>
        </w:rPr>
        <w:t>提高水产品消费品质，鼓励活鱼纯氧高密度冷链等鲜活水产品冷链配送技术创新，加快应用二氧化碳高效水产速冻技术，打造一批高品质远洋水产品知名品牌。</w:t>
      </w:r>
      <w:r>
        <w:rPr>
          <w:rFonts w:eastAsia="楷体_GB2312"/>
          <w:szCs w:val="32"/>
        </w:rPr>
        <w:t>（省科技厅、省农业农村厅、省市场监管局）</w:t>
      </w:r>
      <w:r>
        <w:rPr>
          <w:b/>
          <w:bCs/>
          <w:szCs w:val="32"/>
        </w:rPr>
        <w:t>四是</w:t>
      </w:r>
      <w:r>
        <w:rPr>
          <w:szCs w:val="32"/>
        </w:rPr>
        <w:t>发挥龙头乳品企业以及电商、连锁超市等流通渠道作用，完善从生产厂商至消费者的低温液态奶全程冷链物流系统，规范销售终端温度控制管理，建设低温乳制品宅配仓，发展网格化、高频率的配送到家服务，提高配送时效。</w:t>
      </w:r>
      <w:r>
        <w:rPr>
          <w:rFonts w:eastAsia="楷体_GB2312"/>
          <w:szCs w:val="32"/>
        </w:rPr>
        <w:t>（省农业农村厅、省建设厅）</w:t>
      </w:r>
      <w:r>
        <w:rPr>
          <w:b/>
          <w:bCs/>
          <w:szCs w:val="32"/>
        </w:rPr>
        <w:t>五是</w:t>
      </w:r>
      <w:r>
        <w:rPr>
          <w:szCs w:val="32"/>
        </w:rPr>
        <w:t>督促食品生产经营企业加强速冻食品品控能力建设，配套完善品控设施，加强品控管理，打通原材料采购、产品加工销售、检验检测的全流程链条，完善速冻食品生产经营企业冷链物流服务追溯体系。</w:t>
      </w:r>
      <w:r>
        <w:rPr>
          <w:rFonts w:eastAsia="楷体_GB2312"/>
          <w:szCs w:val="32"/>
        </w:rPr>
        <w:t>（省市场监管局、省商务厅）</w:t>
      </w:r>
      <w:r>
        <w:rPr>
          <w:b/>
          <w:szCs w:val="32"/>
        </w:rPr>
        <w:t>六是</w:t>
      </w:r>
      <w:r>
        <w:rPr>
          <w:szCs w:val="32"/>
        </w:rPr>
        <w:t>加强医药冷链高效运行和应急保供能力，持续推动疫苗冷链储存运输和温度监测设备更新升级，完善省级疫苗冷链物流数字平台建设，鼓励发展多温共配、接力配送等模式，加强医药物流</w:t>
      </w:r>
      <w:r>
        <w:rPr>
          <w:rFonts w:hint="eastAsia"/>
          <w:szCs w:val="32"/>
          <w:lang w:eastAsia="zh-CN"/>
        </w:rPr>
        <w:t>集配</w:t>
      </w:r>
      <w:r>
        <w:rPr>
          <w:szCs w:val="32"/>
        </w:rPr>
        <w:t>中心与末端设施的无缝衔接，构建广覆盖、高效率、低成本、安全可靠的医药产品冷链物流网络。健全应急联动服务及统一调度机制，严格落实全国统一的医药产品冷链物流特别管理机制，保障紧急状态下疫苗及其他医药产品冷链运输畅通和物流过程质量安全。</w:t>
      </w:r>
      <w:r>
        <w:rPr>
          <w:rFonts w:eastAsia="楷体_GB2312"/>
          <w:szCs w:val="32"/>
        </w:rPr>
        <w:t>（省卫生健康委、省经信厅、省交通运输厅、省药监局）</w:t>
      </w:r>
    </w:p>
    <w:tbl>
      <w:tblPr>
        <w:tblStyle w:val="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pPr>
              <w:spacing w:line="500" w:lineRule="exact"/>
              <w:ind w:firstLine="448" w:firstLineChars="200"/>
              <w:jc w:val="center"/>
              <w:rPr>
                <w:rFonts w:eastAsia="黑体"/>
                <w:b/>
                <w:bCs/>
                <w:kern w:val="0"/>
                <w:sz w:val="24"/>
                <w:szCs w:val="24"/>
              </w:rPr>
            </w:pPr>
            <w:r>
              <w:rPr>
                <w:rFonts w:eastAsia="黑体"/>
                <w:kern w:val="0"/>
                <w:sz w:val="24"/>
                <w:szCs w:val="24"/>
              </w:rPr>
              <w:t>专栏3  冷链物流模式创新发展工程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pPr>
              <w:spacing w:line="500" w:lineRule="exact"/>
              <w:ind w:firstLine="448" w:firstLineChars="200"/>
              <w:rPr>
                <w:kern w:val="0"/>
                <w:sz w:val="24"/>
                <w:szCs w:val="24"/>
              </w:rPr>
            </w:pPr>
            <w:r>
              <w:rPr>
                <w:b/>
                <w:bCs/>
                <w:kern w:val="0"/>
                <w:sz w:val="24"/>
                <w:szCs w:val="24"/>
              </w:rPr>
              <w:t>农产品产地直供发展工程。</w:t>
            </w:r>
            <w:r>
              <w:rPr>
                <w:kern w:val="0"/>
                <w:sz w:val="24"/>
                <w:szCs w:val="24"/>
              </w:rPr>
              <w:t>推动农产品产地直供模式发展，鼓励大中型农业经营主体发展农超对接、农商对接、农企对接等农产品“短链”流通模式，支持生鲜电商+产地仓、生鲜农产品宅配等新型流通业态发展，打造特色鲜明、品质一流的农产品品牌。鼓励小规模农业经营主体统一集货至产地冷链</w:t>
            </w:r>
            <w:r>
              <w:rPr>
                <w:rFonts w:hint="eastAsia"/>
                <w:kern w:val="0"/>
                <w:sz w:val="24"/>
                <w:szCs w:val="24"/>
                <w:lang w:eastAsia="zh-CN"/>
              </w:rPr>
              <w:t>集配</w:t>
            </w:r>
            <w:r>
              <w:rPr>
                <w:kern w:val="0"/>
                <w:sz w:val="24"/>
                <w:szCs w:val="24"/>
              </w:rPr>
              <w:t>中心，鼓励开展净菜、预制菜加工，为社区生鲜电商、餐饮企业、学校、企事业单位等终端客户提供直供直配服务。</w:t>
            </w:r>
          </w:p>
          <w:p>
            <w:pPr>
              <w:spacing w:line="500" w:lineRule="exact"/>
              <w:ind w:firstLine="448" w:firstLineChars="200"/>
              <w:rPr>
                <w:b/>
                <w:bCs/>
                <w:kern w:val="0"/>
                <w:sz w:val="24"/>
                <w:szCs w:val="24"/>
              </w:rPr>
            </w:pPr>
            <w:r>
              <w:rPr>
                <w:b/>
                <w:bCs/>
                <w:kern w:val="0"/>
                <w:sz w:val="24"/>
                <w:szCs w:val="24"/>
              </w:rPr>
              <w:t>城市冷链配送挖潜增效工程。</w:t>
            </w:r>
            <w:r>
              <w:rPr>
                <w:kern w:val="0"/>
                <w:sz w:val="24"/>
                <w:szCs w:val="24"/>
              </w:rPr>
              <w:t>引导冷链物流企业建立城市群共同配送联盟，组建冷链运输车队，搭建公共配送平台，支持城市商业街区、商圈、农贸市场共建共享小型公共冷库，开展城市多温共配模式创新试点，培育一批冷链配送品牌。</w:t>
            </w:r>
          </w:p>
          <w:p>
            <w:pPr>
              <w:spacing w:line="500" w:lineRule="exact"/>
              <w:ind w:firstLine="448" w:firstLineChars="200"/>
              <w:rPr>
                <w:b/>
                <w:bCs/>
                <w:kern w:val="0"/>
                <w:sz w:val="24"/>
                <w:szCs w:val="24"/>
              </w:rPr>
            </w:pPr>
            <w:r>
              <w:rPr>
                <w:b/>
                <w:bCs/>
                <w:kern w:val="0"/>
                <w:sz w:val="24"/>
                <w:szCs w:val="24"/>
              </w:rPr>
              <w:t>乡村冷链配送协同提速工程。</w:t>
            </w:r>
            <w:r>
              <w:rPr>
                <w:bCs/>
                <w:kern w:val="0"/>
                <w:sz w:val="24"/>
                <w:szCs w:val="24"/>
              </w:rPr>
              <w:t>支持乡镇快递企业基于乡村共同配送联盟，拓展乡村冷链共同配送业务，</w:t>
            </w:r>
            <w:r>
              <w:rPr>
                <w:kern w:val="0"/>
                <w:sz w:val="24"/>
                <w:szCs w:val="24"/>
              </w:rPr>
              <w:t>通过股本互换、供应链合作等方式，</w:t>
            </w:r>
            <w:r>
              <w:rPr>
                <w:bCs/>
                <w:kern w:val="0"/>
                <w:sz w:val="24"/>
                <w:szCs w:val="24"/>
              </w:rPr>
              <w:t>升级冷链设施设备，共享共用乡镇末端配送网点和冷藏车，提高存量网络资源利用率。</w:t>
            </w:r>
          </w:p>
        </w:tc>
      </w:tr>
    </w:tbl>
    <w:p>
      <w:pPr>
        <w:spacing w:line="550" w:lineRule="exact"/>
        <w:ind w:firstLine="608" w:firstLineChars="200"/>
        <w:rPr>
          <w:rFonts w:eastAsia="楷体_GB2312"/>
          <w:b/>
          <w:bCs/>
          <w:szCs w:val="32"/>
        </w:rPr>
      </w:pPr>
      <w:r>
        <w:rPr>
          <w:rFonts w:eastAsia="楷体_GB2312"/>
          <w:b/>
          <w:bCs/>
          <w:szCs w:val="32"/>
        </w:rPr>
        <w:t>（四）实施冷链物流</w:t>
      </w:r>
      <w:r>
        <w:rPr>
          <w:rFonts w:hint="eastAsia" w:eastAsia="楷体_GB2312"/>
          <w:b/>
          <w:bCs/>
          <w:szCs w:val="32"/>
        </w:rPr>
        <w:t>产业能级</w:t>
      </w:r>
      <w:r>
        <w:rPr>
          <w:rFonts w:eastAsia="楷体_GB2312"/>
          <w:b/>
          <w:bCs/>
          <w:szCs w:val="32"/>
        </w:rPr>
        <w:t>“</w:t>
      </w:r>
      <w:r>
        <w:rPr>
          <w:rFonts w:hint="eastAsia" w:eastAsia="楷体_GB2312"/>
          <w:b/>
          <w:bCs/>
          <w:szCs w:val="32"/>
        </w:rPr>
        <w:t>进阶进位</w:t>
      </w:r>
      <w:r>
        <w:rPr>
          <w:rFonts w:eastAsia="楷体_GB2312"/>
          <w:b/>
          <w:bCs/>
          <w:szCs w:val="32"/>
        </w:rPr>
        <w:t>”计划</w:t>
      </w:r>
    </w:p>
    <w:p>
      <w:pPr>
        <w:spacing w:line="550" w:lineRule="exact"/>
        <w:ind w:firstLine="608" w:firstLineChars="200"/>
        <w:rPr>
          <w:szCs w:val="32"/>
        </w:rPr>
      </w:pPr>
      <w:r>
        <w:rPr>
          <w:b/>
          <w:szCs w:val="32"/>
        </w:rPr>
        <w:t>1.</w:t>
      </w:r>
      <w:r>
        <w:rPr>
          <w:rFonts w:hint="eastAsia"/>
          <w:b/>
          <w:szCs w:val="32"/>
          <w:lang w:val="en-US" w:eastAsia="zh-CN"/>
        </w:rPr>
        <w:t>发展培育</w:t>
      </w:r>
      <w:r>
        <w:rPr>
          <w:b/>
          <w:szCs w:val="32"/>
        </w:rPr>
        <w:t>冷链物流服务业创新发展区。</w:t>
      </w:r>
      <w:r>
        <w:rPr>
          <w:szCs w:val="32"/>
        </w:rPr>
        <w:t>依托国家和省级骨干冷链物流基地、省级物流园区等核心载体，围绕各地市优势产业，以冷链业务、项目为纽带，加快形成冷链物流与实体经济深度融合模式，鼓励发展以冷链物流为特色的省级现代服务业创新发展区，增强数字经济对冷链物流产业的支撑能力，加大应用型、低能耗技术装备创新研发支持力度，加快构建冷链物流与实体经济、数字经济深度融合发展的产业新生态。</w:t>
      </w:r>
      <w:r>
        <w:rPr>
          <w:rFonts w:eastAsia="楷体_GB2312"/>
          <w:szCs w:val="32"/>
        </w:rPr>
        <w:t>（省发展改革委、省农业农村厅、省科技厅、省财政厅）</w:t>
      </w:r>
    </w:p>
    <w:p>
      <w:pPr>
        <w:spacing w:line="550" w:lineRule="exact"/>
        <w:ind w:firstLine="608" w:firstLineChars="200"/>
        <w:rPr>
          <w:szCs w:val="32"/>
        </w:rPr>
      </w:pPr>
      <w:r>
        <w:rPr>
          <w:b/>
          <w:szCs w:val="32"/>
        </w:rPr>
        <w:t>2.引进培育冷链物流领军企业。</w:t>
      </w:r>
      <w:r>
        <w:rPr>
          <w:szCs w:val="32"/>
        </w:rPr>
        <w:t>加强全省冷链物流产业上下游资源整合，鼓励现有的冷链物流企业兼并重组、合资协作等形式进行业务整合，培育集约化、多元化的冷链物流领军企业。支持龙头农产品企业、供应链企业和数字经济企业拓展冷链物流业务，推动冷链物流技术装备研发企业做大做强，打造培育一批冷链物流与农业、制造业、数字经济深度融合的领军企业。</w:t>
      </w:r>
      <w:r>
        <w:rPr>
          <w:rFonts w:eastAsia="楷体_GB2312"/>
          <w:szCs w:val="32"/>
        </w:rPr>
        <w:t>（省发展改革委）</w:t>
      </w:r>
    </w:p>
    <w:p>
      <w:pPr>
        <w:spacing w:line="550" w:lineRule="exact"/>
        <w:ind w:firstLine="608" w:firstLineChars="200"/>
        <w:rPr>
          <w:b/>
          <w:bCs/>
          <w:szCs w:val="32"/>
        </w:rPr>
      </w:pPr>
      <w:r>
        <w:rPr>
          <w:b/>
          <w:szCs w:val="32"/>
        </w:rPr>
        <w:t>3.扩大本土冷链物流品牌影响力。</w:t>
      </w:r>
      <w:r>
        <w:rPr>
          <w:szCs w:val="32"/>
        </w:rPr>
        <w:t>积极发挥龙头企业作用，引导冷链物流企业加强与果蔬、水产、肉类等生产加工企业的联盟合作，培育全程冷链“品字标浙江服务”品牌，支持具备实力的龙头冷链物流企业打造具有国际知名度的物流服务品牌。开展国际冷链物流合作，深度参与全球冷链产品生产和贸易组织，布局建设冷链海外仓，构建国内外衔接的物流通道网络，提升跨境冷链物流国际供应链全程组织管理能力和竞争力。</w:t>
      </w:r>
      <w:r>
        <w:rPr>
          <w:rFonts w:eastAsia="楷体_GB2312"/>
          <w:szCs w:val="32"/>
        </w:rPr>
        <w:t>（省市场监管局、省交通运输厅、省商务厅）</w:t>
      </w:r>
    </w:p>
    <w:tbl>
      <w:tblPr>
        <w:tblStyle w:val="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pPr>
              <w:spacing w:line="440" w:lineRule="exact"/>
              <w:ind w:firstLine="448" w:firstLineChars="200"/>
              <w:jc w:val="center"/>
              <w:rPr>
                <w:rFonts w:eastAsia="黑体"/>
                <w:b/>
                <w:bCs/>
                <w:kern w:val="0"/>
                <w:sz w:val="24"/>
                <w:szCs w:val="24"/>
              </w:rPr>
            </w:pPr>
            <w:r>
              <w:rPr>
                <w:rFonts w:eastAsia="黑体"/>
                <w:kern w:val="0"/>
                <w:sz w:val="24"/>
                <w:szCs w:val="24"/>
              </w:rPr>
              <w:t>专栏4  冷链物流产业提能升级工程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pPr>
              <w:spacing w:line="440" w:lineRule="exact"/>
              <w:ind w:firstLine="448" w:firstLineChars="200"/>
              <w:rPr>
                <w:b/>
                <w:bCs/>
                <w:kern w:val="0"/>
                <w:sz w:val="24"/>
                <w:szCs w:val="24"/>
              </w:rPr>
            </w:pPr>
            <w:r>
              <w:rPr>
                <w:b/>
                <w:bCs/>
                <w:kern w:val="0"/>
                <w:sz w:val="24"/>
                <w:szCs w:val="24"/>
              </w:rPr>
              <w:t>重点冷链产业平台打造工程。</w:t>
            </w:r>
            <w:r>
              <w:rPr>
                <w:bCs/>
                <w:kern w:val="0"/>
                <w:sz w:val="24"/>
                <w:szCs w:val="24"/>
              </w:rPr>
              <w:t>依托</w:t>
            </w:r>
            <w:r>
              <w:rPr>
                <w:kern w:val="0"/>
                <w:sz w:val="24"/>
                <w:szCs w:val="24"/>
              </w:rPr>
              <w:t>国家和省级骨干冷链基地、冷链物流园区，打造重点冷链产业平台，找准冷链物流与特色产业的融合路径，通过冷链带动销售、销售促进生产等方式，整合生产网络、销售网络、冷链网络等网络资源，探索“冷链物流+种养殖”“冷链物流+生产加工”“冷链基地+新零售”“村社共享冷库+冷链企业共同配送”等产业联动新模式。</w:t>
            </w:r>
          </w:p>
          <w:p>
            <w:pPr>
              <w:spacing w:line="440" w:lineRule="exact"/>
              <w:ind w:firstLine="448" w:firstLineChars="200"/>
              <w:rPr>
                <w:kern w:val="0"/>
                <w:sz w:val="24"/>
                <w:szCs w:val="24"/>
              </w:rPr>
            </w:pPr>
            <w:r>
              <w:rPr>
                <w:b/>
                <w:bCs/>
                <w:kern w:val="0"/>
                <w:sz w:val="24"/>
                <w:szCs w:val="24"/>
              </w:rPr>
              <w:t>冷链物流</w:t>
            </w:r>
            <w:r>
              <w:rPr>
                <w:rFonts w:hint="eastAsia"/>
                <w:b/>
                <w:bCs/>
                <w:kern w:val="0"/>
                <w:sz w:val="24"/>
                <w:szCs w:val="24"/>
                <w:lang w:val="en-US" w:eastAsia="zh-CN"/>
              </w:rPr>
              <w:t>领军</w:t>
            </w:r>
            <w:r>
              <w:rPr>
                <w:b/>
                <w:bCs/>
                <w:kern w:val="0"/>
                <w:sz w:val="24"/>
                <w:szCs w:val="24"/>
              </w:rPr>
              <w:t>企业培育工程。</w:t>
            </w:r>
            <w:r>
              <w:rPr>
                <w:kern w:val="0"/>
                <w:sz w:val="24"/>
                <w:szCs w:val="24"/>
              </w:rPr>
              <w:t>围绕果蔬、肉类、水产品、乳制品和医药产品等细分领域，以冷链产业融合发展模式为重点，遴选一批冷链物流与农业、制造业和数字经济融合创新的企业试点，提供冷藏物流、分级分选、初精加工、分拨集散等冷链产业综合服务和物联网、云计算、大数据等数字经济服务，形成一批专业化运作能力强、具备区域竞争力的冷链物流</w:t>
            </w:r>
            <w:r>
              <w:rPr>
                <w:rFonts w:hint="eastAsia"/>
                <w:kern w:val="0"/>
                <w:sz w:val="24"/>
                <w:szCs w:val="24"/>
                <w:lang w:val="en-US" w:eastAsia="zh-CN"/>
              </w:rPr>
              <w:t>领军</w:t>
            </w:r>
            <w:r>
              <w:rPr>
                <w:kern w:val="0"/>
                <w:sz w:val="24"/>
                <w:szCs w:val="24"/>
              </w:rPr>
              <w:t>企业。</w:t>
            </w:r>
          </w:p>
          <w:p>
            <w:pPr>
              <w:spacing w:line="440" w:lineRule="exact"/>
              <w:ind w:firstLine="448" w:firstLineChars="200"/>
              <w:rPr>
                <w:b/>
                <w:bCs/>
                <w:kern w:val="0"/>
                <w:sz w:val="24"/>
                <w:szCs w:val="24"/>
              </w:rPr>
            </w:pPr>
            <w:r>
              <w:rPr>
                <w:b/>
                <w:bCs/>
                <w:kern w:val="0"/>
                <w:sz w:val="24"/>
                <w:szCs w:val="24"/>
              </w:rPr>
              <w:t>专业冷链物流人才引育工程。</w:t>
            </w:r>
            <w:r>
              <w:rPr>
                <w:bCs/>
                <w:kern w:val="0"/>
                <w:sz w:val="24"/>
                <w:szCs w:val="24"/>
              </w:rPr>
              <w:t>完善政产学研用结合的多层次冷链物流人才引育体系，支持有条件的普通本科院校、职业院校和培训机构开设冷链物流相关专业或</w:t>
            </w:r>
            <w:r>
              <w:rPr>
                <w:rFonts w:hint="eastAsia"/>
                <w:bCs/>
                <w:kern w:val="0"/>
                <w:sz w:val="24"/>
                <w:szCs w:val="24"/>
              </w:rPr>
              <w:t>培训</w:t>
            </w:r>
            <w:r>
              <w:rPr>
                <w:bCs/>
                <w:kern w:val="0"/>
                <w:sz w:val="24"/>
                <w:szCs w:val="24"/>
              </w:rPr>
              <w:t>课程，以应用为导向发展冷链物流继续教育，重点培养冷链产品供应链管理、冷链物流系统规划、冷链物流技术和企业运营等方面的专业人才。</w:t>
            </w:r>
          </w:p>
        </w:tc>
      </w:tr>
    </w:tbl>
    <w:p>
      <w:pPr>
        <w:spacing w:line="540" w:lineRule="exact"/>
        <w:ind w:firstLine="608" w:firstLineChars="200"/>
        <w:rPr>
          <w:rFonts w:eastAsia="楷体_GB2312"/>
          <w:b/>
          <w:bCs/>
          <w:szCs w:val="32"/>
        </w:rPr>
      </w:pPr>
      <w:r>
        <w:rPr>
          <w:rFonts w:eastAsia="楷体_GB2312"/>
          <w:b/>
          <w:bCs/>
          <w:szCs w:val="32"/>
        </w:rPr>
        <w:t>（五）实施冷链物流</w:t>
      </w:r>
      <w:r>
        <w:rPr>
          <w:rFonts w:hint="eastAsia" w:eastAsia="楷体_GB2312"/>
          <w:b/>
          <w:bCs/>
          <w:szCs w:val="32"/>
        </w:rPr>
        <w:t>治理模式</w:t>
      </w:r>
      <w:r>
        <w:rPr>
          <w:rFonts w:eastAsia="楷体_GB2312"/>
          <w:b/>
          <w:bCs/>
          <w:szCs w:val="32"/>
        </w:rPr>
        <w:t>“改革改进”计划</w:t>
      </w:r>
    </w:p>
    <w:p>
      <w:pPr>
        <w:spacing w:line="540" w:lineRule="exact"/>
        <w:ind w:firstLine="608" w:firstLineChars="200"/>
        <w:rPr>
          <w:b/>
          <w:szCs w:val="32"/>
        </w:rPr>
      </w:pPr>
      <w:r>
        <w:rPr>
          <w:b/>
          <w:szCs w:val="32"/>
        </w:rPr>
        <w:t>1.建立体系化闭环化工作滚动推进机制。</w:t>
      </w:r>
      <w:r>
        <w:rPr>
          <w:szCs w:val="32"/>
        </w:rPr>
        <w:t>以提升冷链物流治理实效为目标，细化梳理六张清单和四大体系，建立常态化实时归集相关数据的数据交互机制，集成一系列模型、算法、组件，谋划构建冷链物流工作的“指标动态-监测预警-决策支持-服务路径-评价反馈”闭环滚动推进机制，为我省优化冷链物流治理体系和治理能力提供机制保障。</w:t>
      </w:r>
      <w:r>
        <w:rPr>
          <w:rFonts w:eastAsia="楷体_GB2312"/>
          <w:bCs/>
          <w:color w:val="000000"/>
          <w:szCs w:val="32"/>
        </w:rPr>
        <w:t>（省发展改革</w:t>
      </w:r>
      <w:r>
        <w:rPr>
          <w:rFonts w:hint="eastAsia" w:eastAsia="楷体_GB2312"/>
          <w:bCs/>
          <w:color w:val="000000"/>
          <w:szCs w:val="32"/>
          <w:lang w:val="en-US" w:eastAsia="zh-CN"/>
        </w:rPr>
        <w:t>委</w:t>
      </w:r>
      <w:r>
        <w:rPr>
          <w:rFonts w:eastAsia="楷体_GB2312"/>
          <w:szCs w:val="32"/>
        </w:rPr>
        <w:t>、省交通运输厅、省大数据局</w:t>
      </w:r>
      <w:r>
        <w:rPr>
          <w:rFonts w:eastAsia="楷体_GB2312"/>
          <w:bCs/>
          <w:color w:val="000000"/>
          <w:szCs w:val="32"/>
        </w:rPr>
        <w:t>）</w:t>
      </w:r>
    </w:p>
    <w:p>
      <w:pPr>
        <w:spacing w:line="540" w:lineRule="exact"/>
        <w:ind w:firstLine="608" w:firstLineChars="200"/>
        <w:rPr>
          <w:szCs w:val="32"/>
        </w:rPr>
      </w:pPr>
      <w:r>
        <w:rPr>
          <w:b/>
          <w:szCs w:val="32"/>
        </w:rPr>
        <w:t>2.强化冷链物流全链监管能力。</w:t>
      </w:r>
      <w:r>
        <w:rPr>
          <w:b/>
          <w:bCs/>
          <w:szCs w:val="32"/>
        </w:rPr>
        <w:t>一是</w:t>
      </w:r>
      <w:r>
        <w:rPr>
          <w:szCs w:val="32"/>
        </w:rPr>
        <w:t>引导冷链物流企业在产地预冷、冷链运输、冷链仓储、终端配送等各个环节按照规范要求对现有冷藏车安装定位跟踪以及全程温度自动监测、记录设备，在冷库、冷藏集装箱等设施中安装温湿度传感器、记录仪等监测设备，有效提升冷链物流食品品质监测和仓储运输过程温湿度智能感知能力。</w:t>
      </w:r>
      <w:r>
        <w:rPr>
          <w:rFonts w:eastAsia="楷体_GB2312"/>
          <w:szCs w:val="32"/>
        </w:rPr>
        <w:t>（省交通运输厅、省市场监管局、省商务厅）</w:t>
      </w:r>
      <w:r>
        <w:rPr>
          <w:b/>
          <w:bCs/>
          <w:szCs w:val="32"/>
        </w:rPr>
        <w:t>二是</w:t>
      </w:r>
      <w:r>
        <w:rPr>
          <w:szCs w:val="32"/>
        </w:rPr>
        <w:t>推进冷链食品追溯体系建设，强化“浙食链”系统推广应用，推动从事冷藏冷冻食品贮存业务的非食品生产经营者网上备案，完善冷链食品品类和经营户贮存冷链食品的冷库信息模块，逐步实现冷链食品重点品类可追溯。</w:t>
      </w:r>
      <w:r>
        <w:rPr>
          <w:rFonts w:eastAsia="楷体_GB2312"/>
          <w:szCs w:val="32"/>
        </w:rPr>
        <w:t>（省农业农村厅、省市场监管局）</w:t>
      </w:r>
    </w:p>
    <w:p>
      <w:pPr>
        <w:spacing w:line="540" w:lineRule="exact"/>
        <w:ind w:firstLine="608" w:firstLineChars="200"/>
        <w:rPr>
          <w:b/>
          <w:bCs/>
          <w:szCs w:val="32"/>
        </w:rPr>
      </w:pPr>
      <w:r>
        <w:rPr>
          <w:b/>
          <w:szCs w:val="32"/>
        </w:rPr>
        <w:t>3.促进数字化治理场景互联增效。</w:t>
      </w:r>
      <w:r>
        <w:rPr>
          <w:b/>
          <w:bCs/>
          <w:szCs w:val="32"/>
        </w:rPr>
        <w:t>一是</w:t>
      </w:r>
      <w:r>
        <w:rPr>
          <w:szCs w:val="32"/>
        </w:rPr>
        <w:t>加快区块链技术在冷链物流智慧监测追溯系统建设中的应用，推动海关、市场监管、交通运输等部门</w:t>
      </w:r>
      <w:r>
        <w:rPr>
          <w:rFonts w:hint="eastAsia"/>
          <w:szCs w:val="32"/>
        </w:rPr>
        <w:t>进行</w:t>
      </w:r>
      <w:r>
        <w:rPr>
          <w:szCs w:val="32"/>
        </w:rPr>
        <w:t>协同监管和数据融合，依托“浙冷链”“浙食链”，形成全链条追溯体系，提升冷链监管效能。</w:t>
      </w:r>
      <w:r>
        <w:rPr>
          <w:rFonts w:eastAsia="楷体_GB2312"/>
          <w:szCs w:val="32"/>
        </w:rPr>
        <w:t>（省市场监管局、省交通运输厅、杭州海关、省大数据局）</w:t>
      </w:r>
      <w:r>
        <w:rPr>
          <w:b/>
          <w:bCs/>
          <w:szCs w:val="32"/>
        </w:rPr>
        <w:t>二是</w:t>
      </w:r>
      <w:r>
        <w:rPr>
          <w:szCs w:val="32"/>
        </w:rPr>
        <w:t>在物流大脑（浙里e物流）应用场景增加冷链物流模块，依托一体化智能化公共数据平台，整合全省冷链物流企业、市场、车辆等多源数据，谋划开发冷链物流产业地图，实现冷链物流</w:t>
      </w:r>
      <w:r>
        <w:rPr>
          <w:bCs/>
          <w:color w:val="000000"/>
          <w:szCs w:val="32"/>
        </w:rPr>
        <w:t>运行态势的</w:t>
      </w:r>
      <w:r>
        <w:rPr>
          <w:szCs w:val="32"/>
        </w:rPr>
        <w:t>监测预警和</w:t>
      </w:r>
      <w:r>
        <w:rPr>
          <w:bCs/>
          <w:color w:val="000000"/>
          <w:szCs w:val="32"/>
        </w:rPr>
        <w:t>趋势研判，</w:t>
      </w:r>
      <w:r>
        <w:rPr>
          <w:szCs w:val="32"/>
        </w:rPr>
        <w:t>提升行业数字化管理水平</w:t>
      </w:r>
      <w:r>
        <w:rPr>
          <w:bCs/>
          <w:color w:val="000000"/>
          <w:szCs w:val="32"/>
        </w:rPr>
        <w:t>。</w:t>
      </w:r>
      <w:r>
        <w:rPr>
          <w:rFonts w:eastAsia="楷体_GB2312"/>
          <w:bCs/>
          <w:color w:val="000000"/>
          <w:szCs w:val="32"/>
        </w:rPr>
        <w:t>（省发展改革委、</w:t>
      </w:r>
      <w:r>
        <w:rPr>
          <w:rFonts w:eastAsia="楷体_GB2312"/>
          <w:szCs w:val="32"/>
        </w:rPr>
        <w:t>省市场监管局、省交通运输厅、省大数据局</w:t>
      </w:r>
      <w:r>
        <w:rPr>
          <w:rFonts w:eastAsia="楷体_GB2312"/>
          <w:bCs/>
          <w:color w:val="000000"/>
          <w:szCs w:val="32"/>
        </w:rPr>
        <w:t>）</w:t>
      </w:r>
    </w:p>
    <w:tbl>
      <w:tblPr>
        <w:tblStyle w:val="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pPr>
              <w:spacing w:line="440" w:lineRule="exact"/>
              <w:ind w:firstLine="448" w:firstLineChars="200"/>
              <w:jc w:val="center"/>
              <w:rPr>
                <w:rFonts w:eastAsia="黑体"/>
                <w:b/>
                <w:bCs/>
                <w:kern w:val="0"/>
                <w:sz w:val="24"/>
                <w:szCs w:val="24"/>
              </w:rPr>
            </w:pPr>
            <w:r>
              <w:rPr>
                <w:rFonts w:eastAsia="黑体"/>
                <w:kern w:val="0"/>
                <w:sz w:val="24"/>
                <w:szCs w:val="24"/>
              </w:rPr>
              <w:t>专栏5  冷链产品追溯监管提效工程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pPr>
              <w:spacing w:line="440" w:lineRule="exact"/>
              <w:ind w:firstLine="448" w:firstLineChars="200"/>
              <w:rPr>
                <w:b/>
                <w:bCs/>
                <w:kern w:val="0"/>
                <w:sz w:val="24"/>
                <w:szCs w:val="24"/>
              </w:rPr>
            </w:pPr>
            <w:r>
              <w:rPr>
                <w:b/>
                <w:bCs/>
                <w:kern w:val="0"/>
                <w:sz w:val="24"/>
                <w:szCs w:val="24"/>
              </w:rPr>
              <w:t>冷链产品内外贸一体化监管工程。</w:t>
            </w:r>
            <w:r>
              <w:rPr>
                <w:bCs/>
                <w:kern w:val="0"/>
                <w:sz w:val="24"/>
                <w:szCs w:val="24"/>
              </w:rPr>
              <w:t>依托“浙冷链”“浙食链”，逐步将内贸冷链食品流通纳入追溯管理范围，推动省级平台与国家级平台和各类市场化平台数据交换和信息共享。到2025年，建成覆盖冷链产品重点品类、流通全链条、内外贸一体化的全省冷链食品追溯管理平台，形成跨部门业务联动、协同处置和共治共享的冷链物流监管体系。</w:t>
            </w:r>
          </w:p>
        </w:tc>
      </w:tr>
    </w:tbl>
    <w:p>
      <w:pPr>
        <w:spacing w:line="579" w:lineRule="exact"/>
        <w:ind w:firstLine="608" w:firstLineChars="200"/>
        <w:rPr>
          <w:rFonts w:eastAsia="黑体"/>
          <w:szCs w:val="32"/>
        </w:rPr>
      </w:pPr>
      <w:r>
        <w:rPr>
          <w:rFonts w:eastAsia="黑体"/>
          <w:szCs w:val="32"/>
        </w:rPr>
        <w:t>三、保障措施</w:t>
      </w:r>
    </w:p>
    <w:p>
      <w:pPr>
        <w:spacing w:line="579" w:lineRule="exact"/>
        <w:ind w:firstLine="608" w:firstLineChars="200"/>
        <w:rPr>
          <w:rFonts w:eastAsia="楷体_GB2312"/>
          <w:b/>
          <w:bCs/>
          <w:szCs w:val="32"/>
        </w:rPr>
      </w:pPr>
      <w:r>
        <w:rPr>
          <w:rFonts w:eastAsia="楷体_GB2312"/>
          <w:b/>
          <w:bCs/>
          <w:szCs w:val="32"/>
        </w:rPr>
        <w:t>（一）加强统筹协调</w:t>
      </w:r>
    </w:p>
    <w:p>
      <w:pPr>
        <w:spacing w:line="579" w:lineRule="exact"/>
        <w:ind w:firstLine="608" w:firstLineChars="200"/>
        <w:rPr>
          <w:szCs w:val="32"/>
        </w:rPr>
      </w:pPr>
      <w:r>
        <w:rPr>
          <w:szCs w:val="32"/>
        </w:rPr>
        <w:t>由省现代服务业发展工作领导小组统一指导和监督，完善省级冷链物流发展工作协调机制，围绕基础设施、发展质量、服务水平和“百千万”工程支撑四个维度，建立定量定性相结合的指标体系、省市县三级联动的工作体系、部门分工明确的政策体系、成效实时量化的评价体系，明确主要目标、重点任务和具体责任单位，强化对冷链物流高质量发展的整体部署、政策指导和重难点分析，推动部门间的多跨协同，确保各项行动任务落实落细。成立冷链物流专家委员会，对各地冷链物流发展情况进行问诊把脉，对重点任务落实情况进行考核评估。</w:t>
      </w:r>
      <w:r>
        <w:rPr>
          <w:rFonts w:eastAsia="楷体_GB2312"/>
          <w:szCs w:val="32"/>
        </w:rPr>
        <w:t>（省发展改革委、省商务厅、省交通运输厅、省农业农村厅）</w:t>
      </w:r>
    </w:p>
    <w:p>
      <w:pPr>
        <w:spacing w:line="579" w:lineRule="exact"/>
        <w:ind w:firstLine="608" w:firstLineChars="200"/>
        <w:rPr>
          <w:rFonts w:eastAsia="楷体_GB2312"/>
          <w:b/>
          <w:bCs/>
          <w:szCs w:val="32"/>
        </w:rPr>
      </w:pPr>
      <w:r>
        <w:rPr>
          <w:rFonts w:eastAsia="楷体_GB2312"/>
          <w:b/>
          <w:bCs/>
          <w:szCs w:val="32"/>
        </w:rPr>
        <w:t>（二）完善要素保障</w:t>
      </w:r>
    </w:p>
    <w:p>
      <w:pPr>
        <w:pStyle w:val="2"/>
        <w:spacing w:after="0"/>
        <w:ind w:firstLine="634"/>
        <w:rPr>
          <w:rFonts w:eastAsia="楷体_GB2312"/>
          <w:color w:val="000000"/>
          <w:szCs w:val="22"/>
        </w:rPr>
      </w:pPr>
      <w:r>
        <w:rPr>
          <w:b/>
          <w:bCs/>
        </w:rPr>
        <w:t>一是合理保障用地需求。</w:t>
      </w:r>
      <w:r>
        <w:t>合理保障冷链物流重大项目的用地需求，指导各地在每年新增产业用地中</w:t>
      </w:r>
      <w:r>
        <w:rPr>
          <w:rFonts w:hint="eastAsia"/>
        </w:rPr>
        <w:t>建设</w:t>
      </w:r>
      <w:r>
        <w:t>重大冷链物流基础设施，合理确定冷链物流项目土地出让底价、控制指标，探索制定冷链物流用地综合性评价指标体系。</w:t>
      </w:r>
      <w:r>
        <w:rPr>
          <w:rFonts w:eastAsia="楷体_GB2312"/>
        </w:rPr>
        <w:t>（省自然资源厅、省发展改革委）</w:t>
      </w:r>
      <w:r>
        <w:t>对利用原有土地建设冷链物流基础设施的企业，在办理规划许可、施工许可等方面依法予以支持。</w:t>
      </w:r>
      <w:r>
        <w:rPr>
          <w:rFonts w:eastAsia="楷体_GB2312"/>
        </w:rPr>
        <w:t>（省自然资源厅、省建设厅）</w:t>
      </w:r>
      <w:r>
        <w:t>支持村集体建设用地用于冷链基础设施节点建设。</w:t>
      </w:r>
      <w:r>
        <w:rPr>
          <w:rFonts w:eastAsia="楷体_GB2312"/>
        </w:rPr>
        <w:t>（省自然资源厅、省农业农村厅）</w:t>
      </w:r>
      <w:r>
        <w:rPr>
          <w:b/>
          <w:bCs/>
        </w:rPr>
        <w:t>二是加强财税金融保障。</w:t>
      </w:r>
      <w:r>
        <w:rPr>
          <w:rFonts w:hint="eastAsia"/>
        </w:rPr>
        <w:t>积极争取国家有关冷链物流发展专项资金</w:t>
      </w:r>
      <w:r>
        <w:t>，用好省级财政相关专项资金，落实好国家有关冷链物流发展的财税政策，加大对冷链物流关键技术研发、冷链物流基地和园区、重大项目、重点企业的支持力度，鼓励产业发展基金投资冷链重大项目和龙头企业。</w:t>
      </w:r>
      <w:r>
        <w:rPr>
          <w:rFonts w:eastAsia="楷体_GB2312"/>
        </w:rPr>
        <w:t>（省发展改革委、省财政厅、浙江省税务局、省经信厅）</w:t>
      </w:r>
      <w:r>
        <w:t>深入实施融资畅通工程，推动冷链物流运行数据与融资信用信息融合，持续完善银政企合作平台和对接机制，引导金融机构在风险可控、商业可持续的前提下创新融资机制、开发金融产品、拓宽融资渠道，为冷链物流企业提供融资保障，重点为冷链物流基础设施建设、设备更新改造提供中长期融资和直接融资。</w:t>
      </w:r>
      <w:r>
        <w:rPr>
          <w:rFonts w:eastAsia="楷体_GB2312"/>
        </w:rPr>
        <w:t>（省地方金融监管局、浙江证监局、省发展改革委、人行杭州中心支行、浙江银保监局）</w:t>
      </w:r>
      <w:r>
        <w:rPr>
          <w:b/>
          <w:bCs/>
        </w:rPr>
        <w:t>三是强化专业人才支撑。</w:t>
      </w:r>
      <w:r>
        <w:rPr>
          <w:color w:val="000000"/>
        </w:rPr>
        <w:t>鼓励高校、科研院所研究设立冷链物流相关专业。依托培训机构、行业协会开展冷库运营、冷库安全、产品运营等方面的培训和考试，推动建立“企企联合、企校联合、企研联合、校协联合”等多</w:t>
      </w:r>
      <w:r>
        <w:rPr>
          <w:rFonts w:hint="eastAsia"/>
          <w:color w:val="000000"/>
        </w:rPr>
        <w:t>模式</w:t>
      </w:r>
      <w:r>
        <w:rPr>
          <w:color w:val="000000"/>
        </w:rPr>
        <w:t>、多层次的职业技术培训网络，探索建立冷链物流产教联盟。完善冷链物流相关人才认定和补贴制度，</w:t>
      </w:r>
      <w:r>
        <w:rPr>
          <w:color w:val="000000"/>
          <w:szCs w:val="22"/>
        </w:rPr>
        <w:t>加强高技能人才建设，积极吸引国内外领军人</w:t>
      </w:r>
      <w:r>
        <w:rPr>
          <w:rFonts w:hint="eastAsia"/>
          <w:color w:val="000000"/>
          <w:szCs w:val="22"/>
          <w:lang w:val="en-US" w:eastAsia="zh-CN"/>
        </w:rPr>
        <w:t>才</w:t>
      </w:r>
      <w:r>
        <w:rPr>
          <w:color w:val="000000"/>
          <w:szCs w:val="22"/>
        </w:rPr>
        <w:t>，引进和借助优质的科研项目力量，建立省级冷链物流研究院，支持有条件的企业申报</w:t>
      </w:r>
      <w:r>
        <w:rPr>
          <w:rFonts w:hint="eastAsia"/>
          <w:color w:val="000000"/>
          <w:szCs w:val="22"/>
        </w:rPr>
        <w:t>建设</w:t>
      </w:r>
      <w:r>
        <w:rPr>
          <w:color w:val="000000"/>
          <w:szCs w:val="22"/>
        </w:rPr>
        <w:t>博士后科研工作站和省市级重点实验室、企业技术中心等研究机构。</w:t>
      </w:r>
      <w:r>
        <w:rPr>
          <w:rFonts w:eastAsia="楷体_GB2312"/>
          <w:color w:val="000000"/>
          <w:szCs w:val="22"/>
        </w:rPr>
        <w:t>（省发展改革委、省教育厅、省人力社保厅、省科技厅）</w:t>
      </w:r>
      <w:r>
        <w:rPr>
          <w:b/>
          <w:bCs/>
        </w:rPr>
        <w:t>四是完善通行停靠保障。</w:t>
      </w:r>
      <w:r>
        <w:t>完善</w:t>
      </w:r>
      <w:r>
        <w:rPr>
          <w:color w:val="000000"/>
          <w:szCs w:val="22"/>
        </w:rPr>
        <w:t>全省城市配送冷藏车统一标识制度，积极推行“分时段配送”</w:t>
      </w:r>
      <w:r>
        <w:rPr>
          <w:rFonts w:hint="eastAsia"/>
          <w:color w:val="000000"/>
          <w:szCs w:val="22"/>
        </w:rPr>
        <w:t>、</w:t>
      </w:r>
      <w:r>
        <w:rPr>
          <w:color w:val="000000"/>
          <w:szCs w:val="22"/>
        </w:rPr>
        <w:t>“夜间配送”，提升城市冷链配送效率。</w:t>
      </w:r>
      <w:r>
        <w:rPr>
          <w:rFonts w:eastAsia="楷体_GB2312"/>
          <w:color w:val="000000"/>
          <w:szCs w:val="22"/>
        </w:rPr>
        <w:t>（省商务厅、省公安厅）</w:t>
      </w:r>
      <w:r>
        <w:rPr>
          <w:color w:val="000000"/>
          <w:szCs w:val="22"/>
        </w:rPr>
        <w:t>进一步优化冷藏车城市通行便利政策，有序放开轻型以下厢式、封闭式新能源冷藏货车通行限制</w:t>
      </w:r>
      <w:r>
        <w:t>，</w:t>
      </w:r>
      <w:r>
        <w:rPr>
          <w:color w:val="000000"/>
          <w:szCs w:val="22"/>
        </w:rPr>
        <w:t>对统一标识的城市配送冷藏车、新能源冷藏车、民生保障、医疗药品冷藏车优先放开通行限制。</w:t>
      </w:r>
      <w:r>
        <w:rPr>
          <w:rFonts w:eastAsia="楷体_GB2312"/>
          <w:color w:val="000000"/>
          <w:szCs w:val="22"/>
        </w:rPr>
        <w:t>（省公安厅、省商务厅）</w:t>
      </w:r>
      <w:r>
        <w:rPr>
          <w:color w:val="000000"/>
          <w:szCs w:val="22"/>
        </w:rPr>
        <w:t>优化冷藏车临时停靠政策，允许冷藏车在不影响正常交通的前提下进行不超过半小时的停靠装卸作业。</w:t>
      </w:r>
      <w:r>
        <w:rPr>
          <w:rFonts w:eastAsia="楷体_GB2312"/>
          <w:color w:val="000000"/>
          <w:szCs w:val="22"/>
        </w:rPr>
        <w:t>（省公安厅）</w:t>
      </w:r>
      <w:r>
        <w:rPr>
          <w:b/>
          <w:bCs/>
        </w:rPr>
        <w:t>五是加大用电优惠支持力度。</w:t>
      </w:r>
      <w:r>
        <w:rPr>
          <w:color w:val="000000"/>
          <w:szCs w:val="22"/>
        </w:rPr>
        <w:t>鼓励冷链物流基地和园区利用符合条件的厂房屋顶、停车场布局分布式光伏发电项目，推行即时受理备案制度和“自发自用、余电上网”模式。严格落实用电优惠政策，对家庭农场、农民合作社、供销合作社、产业化龙头企业、邮政快递企业等各类实体在农村建设的保鲜仓储设施用电执行农业生产电价。</w:t>
      </w:r>
      <w:r>
        <w:rPr>
          <w:rFonts w:eastAsia="楷体_GB2312"/>
          <w:color w:val="000000"/>
          <w:szCs w:val="22"/>
        </w:rPr>
        <w:t>（省能源局）</w:t>
      </w:r>
    </w:p>
    <w:p>
      <w:pPr>
        <w:spacing w:line="579" w:lineRule="exact"/>
        <w:ind w:firstLine="608" w:firstLineChars="200"/>
        <w:rPr>
          <w:rFonts w:eastAsia="楷体_GB2312"/>
          <w:b/>
          <w:bCs/>
          <w:szCs w:val="32"/>
        </w:rPr>
      </w:pPr>
      <w:r>
        <w:rPr>
          <w:rFonts w:eastAsia="楷体_GB2312"/>
          <w:b/>
          <w:bCs/>
          <w:szCs w:val="32"/>
        </w:rPr>
        <w:t>（三）强化组织实施</w:t>
      </w:r>
    </w:p>
    <w:p>
      <w:pPr>
        <w:spacing w:line="579" w:lineRule="exact"/>
        <w:ind w:firstLine="608" w:firstLineChars="200"/>
        <w:rPr>
          <w:rFonts w:eastAsia="楷体_GB2312"/>
          <w:bCs/>
          <w:color w:val="000000"/>
          <w:szCs w:val="32"/>
        </w:rPr>
      </w:pPr>
      <w:r>
        <w:rPr>
          <w:b/>
          <w:color w:val="000000"/>
          <w:szCs w:val="32"/>
        </w:rPr>
        <w:t>一是发挥协会作用。</w:t>
      </w:r>
      <w:r>
        <w:rPr>
          <w:bCs/>
          <w:color w:val="000000"/>
          <w:szCs w:val="32"/>
        </w:rPr>
        <w:t>依托现有物流领域社会团体或由冷链物流大型国企、行业龙头企业等链主型企业牵头成立省级冷链行业协会，发挥冷链企业和政府部门间桥梁纽带作用，协助完善和宣贯冷链物流相关政策标准，积极引导行业健康有序发展。定期组织行业沙龙和论坛，开展业务技能、管理等方面培训和先进评选工作，提升行业发展质量，助力冷链物流行业转型升级。</w:t>
      </w:r>
      <w:r>
        <w:rPr>
          <w:rFonts w:eastAsia="楷体_GB2312"/>
          <w:bCs/>
          <w:color w:val="000000"/>
          <w:szCs w:val="32"/>
        </w:rPr>
        <w:t>（省发展改革委、省交通运输厅、省商务厅、省民政厅）</w:t>
      </w:r>
      <w:r>
        <w:rPr>
          <w:b/>
          <w:color w:val="000000"/>
          <w:szCs w:val="32"/>
        </w:rPr>
        <w:t>二是完善统计体系。</w:t>
      </w:r>
      <w:r>
        <w:rPr>
          <w:color w:val="000000"/>
          <w:szCs w:val="32"/>
        </w:rPr>
        <w:t>根据国家</w:t>
      </w:r>
      <w:r>
        <w:rPr>
          <w:bCs/>
          <w:color w:val="000000"/>
          <w:szCs w:val="32"/>
        </w:rPr>
        <w:t>要求，组织一次全省冷链物流行业调查。依托物流行业统计调查制度，率先开展冷链物流统计试点工作，研究编制冷链物流发展综合性指数。针对</w:t>
      </w:r>
      <w:r>
        <w:rPr>
          <w:color w:val="000000"/>
          <w:szCs w:val="22"/>
        </w:rPr>
        <w:t>国家骨干冷链物流基地、省级冷链物流骨干基地（园区）、冷链物流重大项目</w:t>
      </w:r>
      <w:r>
        <w:rPr>
          <w:bCs/>
          <w:color w:val="000000"/>
          <w:szCs w:val="32"/>
        </w:rPr>
        <w:t>，建立日常运行监测、分析研判和</w:t>
      </w:r>
      <w:r>
        <w:rPr>
          <w:color w:val="000000"/>
          <w:szCs w:val="22"/>
        </w:rPr>
        <w:t>考核评价体系，定期开展线上线下相结合的督查检查</w:t>
      </w:r>
      <w:r>
        <w:rPr>
          <w:bCs/>
          <w:color w:val="000000"/>
          <w:szCs w:val="32"/>
        </w:rPr>
        <w:t>。</w:t>
      </w:r>
      <w:r>
        <w:rPr>
          <w:rFonts w:eastAsia="楷体_GB2312"/>
          <w:color w:val="000000"/>
          <w:szCs w:val="22"/>
        </w:rPr>
        <w:t>（省发展改革委、省统计局）</w:t>
      </w:r>
      <w:r>
        <w:rPr>
          <w:b/>
          <w:color w:val="000000"/>
          <w:szCs w:val="32"/>
        </w:rPr>
        <w:t>三是优化营商环境。</w:t>
      </w:r>
      <w:r>
        <w:rPr>
          <w:szCs w:val="32"/>
        </w:rPr>
        <w:t>积极落实营商环境“一号改革工程”，深化物流领域体制机制改革，简化各类</w:t>
      </w:r>
      <w:r>
        <w:rPr>
          <w:bCs/>
          <w:color w:val="000000"/>
          <w:szCs w:val="32"/>
        </w:rPr>
        <w:t>涉企事项</w:t>
      </w:r>
      <w:r>
        <w:rPr>
          <w:szCs w:val="32"/>
        </w:rPr>
        <w:t>审批审查办理流程，</w:t>
      </w:r>
      <w:r>
        <w:rPr>
          <w:bCs/>
          <w:color w:val="000000"/>
          <w:szCs w:val="32"/>
        </w:rPr>
        <w:t>变“人工跑”为“数据跑”，提高办事效率，</w:t>
      </w:r>
      <w:r>
        <w:rPr>
          <w:szCs w:val="32"/>
        </w:rPr>
        <w:t>提升口岸通关便利化水平。</w:t>
      </w:r>
      <w:r>
        <w:rPr>
          <w:rFonts w:eastAsia="楷体_GB2312"/>
          <w:szCs w:val="32"/>
        </w:rPr>
        <w:t>（省发展改革委）</w:t>
      </w:r>
      <w:r>
        <w:rPr>
          <w:b/>
          <w:color w:val="000000"/>
          <w:szCs w:val="32"/>
        </w:rPr>
        <w:t>四是加强舆论宣传。</w:t>
      </w:r>
      <w:r>
        <w:rPr>
          <w:bCs/>
          <w:color w:val="000000"/>
          <w:szCs w:val="32"/>
        </w:rPr>
        <w:t>加强对保障食品安全重要性和冷链物流全链条典型案例的宣传力度，进一步加深公众对断链脱冷在食品浪费、保障食品安全等方面的认识，提高冷链企业和从业人员</w:t>
      </w:r>
      <w:r>
        <w:rPr>
          <w:rFonts w:hint="eastAsia"/>
          <w:bCs/>
          <w:color w:val="000000"/>
          <w:szCs w:val="32"/>
        </w:rPr>
        <w:t>的</w:t>
      </w:r>
      <w:r>
        <w:rPr>
          <w:bCs/>
          <w:color w:val="000000"/>
          <w:szCs w:val="32"/>
        </w:rPr>
        <w:t>产品质量安全意识和规范操作</w:t>
      </w:r>
      <w:r>
        <w:rPr>
          <w:rFonts w:hint="eastAsia"/>
          <w:bCs/>
          <w:color w:val="000000"/>
          <w:szCs w:val="32"/>
        </w:rPr>
        <w:t>水平</w:t>
      </w:r>
      <w:r>
        <w:rPr>
          <w:bCs/>
          <w:color w:val="000000"/>
          <w:szCs w:val="32"/>
        </w:rPr>
        <w:t>。</w:t>
      </w:r>
      <w:r>
        <w:rPr>
          <w:rFonts w:eastAsia="楷体_GB2312"/>
          <w:bCs/>
          <w:color w:val="000000"/>
          <w:szCs w:val="32"/>
        </w:rPr>
        <w:t>（省委宣传部、省商务厅）</w:t>
      </w:r>
    </w:p>
    <w:p>
      <w:pPr>
        <w:spacing w:line="579" w:lineRule="exact"/>
        <w:ind w:firstLine="608" w:firstLineChars="200"/>
        <w:rPr>
          <w:rFonts w:eastAsia="楷体_GB2312"/>
          <w:bCs/>
          <w:color w:val="000000"/>
          <w:szCs w:val="32"/>
        </w:rPr>
      </w:pPr>
    </w:p>
    <w:p>
      <w:pPr>
        <w:pStyle w:val="2"/>
        <w:spacing w:after="0"/>
        <w:ind w:firstLine="632"/>
        <w:rPr>
          <w:bCs/>
          <w:color w:val="000000"/>
        </w:rPr>
      </w:pPr>
      <w:r>
        <w:rPr>
          <w:bCs/>
          <w:color w:val="000000"/>
        </w:rPr>
        <w:t>附表：1.浙江省冷链物流高质量发展行动十项重点工作</w:t>
      </w:r>
    </w:p>
    <w:p>
      <w:pPr>
        <w:pStyle w:val="2"/>
        <w:spacing w:after="0"/>
        <w:ind w:firstLine="1580" w:firstLineChars="500"/>
        <w:rPr>
          <w:bCs/>
          <w:color w:val="000000"/>
        </w:rPr>
      </w:pPr>
      <w:r>
        <w:rPr>
          <w:bCs/>
          <w:color w:val="000000"/>
        </w:rPr>
        <w:t>2.浙江省冷链物流高质量发展行动重点项目清单</w:t>
      </w:r>
    </w:p>
    <w:p>
      <w:pPr>
        <w:pStyle w:val="2"/>
        <w:spacing w:after="0"/>
        <w:ind w:firstLine="1580" w:firstLineChars="500"/>
        <w:rPr>
          <w:bCs/>
          <w:color w:val="000000"/>
        </w:rPr>
      </w:pPr>
      <w:r>
        <w:rPr>
          <w:bCs/>
          <w:color w:val="000000"/>
        </w:rPr>
        <w:t>3.浙江省冷链物流高质量发展行动重点改革清单</w:t>
      </w:r>
    </w:p>
    <w:p>
      <w:pPr>
        <w:widowControl/>
        <w:spacing w:line="579" w:lineRule="exact"/>
        <w:jc w:val="left"/>
        <w:rPr>
          <w:rFonts w:eastAsia="黑体"/>
          <w:bCs/>
          <w:color w:val="000000"/>
          <w:szCs w:val="32"/>
        </w:rPr>
      </w:pPr>
      <w:r>
        <w:rPr>
          <w:bCs/>
          <w:color w:val="000000"/>
          <w:szCs w:val="32"/>
        </w:rPr>
        <w:br w:type="page"/>
      </w:r>
      <w:r>
        <w:rPr>
          <w:rFonts w:eastAsia="黑体"/>
          <w:bCs/>
          <w:color w:val="000000"/>
          <w:szCs w:val="32"/>
        </w:rPr>
        <w:t>附表1</w:t>
      </w:r>
    </w:p>
    <w:p>
      <w:pPr>
        <w:pStyle w:val="2"/>
        <w:ind w:firstLine="552"/>
        <w:jc w:val="left"/>
        <w:rPr>
          <w:rFonts w:eastAsia="黑体"/>
          <w:bCs/>
          <w:color w:val="000000"/>
          <w:sz w:val="28"/>
        </w:rPr>
      </w:pPr>
    </w:p>
    <w:p>
      <w:pPr>
        <w:spacing w:line="579" w:lineRule="exact"/>
        <w:jc w:val="center"/>
        <w:rPr>
          <w:rFonts w:eastAsia="方正小标宋简体"/>
          <w:szCs w:val="32"/>
        </w:rPr>
      </w:pPr>
      <w:r>
        <w:rPr>
          <w:rFonts w:eastAsia="方正小标宋简体"/>
          <w:sz w:val="40"/>
          <w:szCs w:val="44"/>
        </w:rPr>
        <w:t>浙江省冷链物流高质量发展行动10项重点工作</w:t>
      </w:r>
    </w:p>
    <w:tbl>
      <w:tblPr>
        <w:tblStyle w:val="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5"/>
        <w:gridCol w:w="5896"/>
        <w:gridCol w:w="23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5" w:type="dxa"/>
            <w:noWrap w:val="0"/>
            <w:vAlign w:val="center"/>
          </w:tcPr>
          <w:p>
            <w:pPr>
              <w:spacing w:line="320" w:lineRule="exact"/>
              <w:jc w:val="center"/>
              <w:rPr>
                <w:rFonts w:eastAsia="黑体"/>
                <w:bCs/>
                <w:kern w:val="0"/>
                <w:sz w:val="24"/>
                <w:szCs w:val="24"/>
              </w:rPr>
            </w:pPr>
            <w:r>
              <w:rPr>
                <w:rFonts w:eastAsia="黑体"/>
                <w:bCs/>
                <w:kern w:val="0"/>
                <w:sz w:val="24"/>
                <w:szCs w:val="24"/>
              </w:rPr>
              <w:t>序号</w:t>
            </w:r>
          </w:p>
        </w:tc>
        <w:tc>
          <w:tcPr>
            <w:tcW w:w="5896" w:type="dxa"/>
            <w:noWrap w:val="0"/>
            <w:vAlign w:val="top"/>
          </w:tcPr>
          <w:p>
            <w:pPr>
              <w:spacing w:line="320" w:lineRule="exact"/>
              <w:jc w:val="center"/>
              <w:rPr>
                <w:rFonts w:eastAsia="黑体"/>
                <w:bCs/>
                <w:kern w:val="0"/>
                <w:sz w:val="24"/>
                <w:szCs w:val="24"/>
              </w:rPr>
            </w:pPr>
            <w:r>
              <w:rPr>
                <w:rFonts w:eastAsia="黑体"/>
                <w:bCs/>
                <w:kern w:val="0"/>
                <w:sz w:val="24"/>
                <w:szCs w:val="24"/>
              </w:rPr>
              <w:t>重点工作</w:t>
            </w:r>
          </w:p>
        </w:tc>
        <w:tc>
          <w:tcPr>
            <w:tcW w:w="2380" w:type="dxa"/>
            <w:noWrap w:val="0"/>
            <w:vAlign w:val="top"/>
          </w:tcPr>
          <w:p>
            <w:pPr>
              <w:spacing w:line="320" w:lineRule="exact"/>
              <w:jc w:val="center"/>
              <w:rPr>
                <w:rFonts w:eastAsia="黑体"/>
                <w:bCs/>
                <w:kern w:val="0"/>
                <w:sz w:val="24"/>
                <w:szCs w:val="24"/>
              </w:rPr>
            </w:pPr>
            <w:r>
              <w:rPr>
                <w:rFonts w:eastAsia="黑体"/>
                <w:bCs/>
                <w:kern w:val="0"/>
                <w:sz w:val="24"/>
                <w:szCs w:val="24"/>
              </w:rPr>
              <w:t>责任单位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noWrap w:val="0"/>
            <w:vAlign w:val="center"/>
          </w:tcPr>
          <w:p>
            <w:pPr>
              <w:spacing w:line="320" w:lineRule="exact"/>
              <w:jc w:val="center"/>
              <w:rPr>
                <w:kern w:val="0"/>
                <w:sz w:val="24"/>
                <w:szCs w:val="24"/>
              </w:rPr>
            </w:pPr>
            <w:r>
              <w:rPr>
                <w:kern w:val="0"/>
                <w:sz w:val="24"/>
                <w:szCs w:val="24"/>
              </w:rPr>
              <w:t>1</w:t>
            </w:r>
          </w:p>
        </w:tc>
        <w:tc>
          <w:tcPr>
            <w:tcW w:w="5896" w:type="dxa"/>
            <w:noWrap w:val="0"/>
            <w:vAlign w:val="center"/>
          </w:tcPr>
          <w:p>
            <w:pPr>
              <w:spacing w:line="320" w:lineRule="exact"/>
              <w:rPr>
                <w:kern w:val="0"/>
                <w:sz w:val="24"/>
                <w:szCs w:val="24"/>
              </w:rPr>
            </w:pPr>
            <w:r>
              <w:rPr>
                <w:b/>
                <w:bCs/>
                <w:kern w:val="0"/>
                <w:sz w:val="24"/>
                <w:szCs w:val="24"/>
              </w:rPr>
              <w:t>优化冷链物流总体布局。</w:t>
            </w:r>
            <w:r>
              <w:rPr>
                <w:kern w:val="0"/>
                <w:sz w:val="24"/>
                <w:szCs w:val="24"/>
              </w:rPr>
              <w:t>争创国家骨干冷链基地，持续开展省级骨干冷链物流基地和冷链物流园区的创建和挂牌。到2025年，争创国家骨干冷链物流基地2个，积极培育省级冷链物流基地，布局6个冷链物流园区，实现</w:t>
            </w:r>
            <w:r>
              <w:rPr>
                <w:rFonts w:hint="eastAsia"/>
                <w:kern w:val="0"/>
                <w:sz w:val="24"/>
                <w:szCs w:val="24"/>
                <w:lang w:val="en-US" w:eastAsia="zh-CN"/>
              </w:rPr>
              <w:t>11个</w:t>
            </w:r>
            <w:r>
              <w:rPr>
                <w:kern w:val="0"/>
                <w:sz w:val="24"/>
                <w:szCs w:val="24"/>
              </w:rPr>
              <w:t>设区市全覆盖。</w:t>
            </w:r>
          </w:p>
        </w:tc>
        <w:tc>
          <w:tcPr>
            <w:tcW w:w="2380" w:type="dxa"/>
            <w:noWrap w:val="0"/>
            <w:vAlign w:val="top"/>
          </w:tcPr>
          <w:p>
            <w:pPr>
              <w:spacing w:line="320" w:lineRule="exact"/>
              <w:jc w:val="left"/>
              <w:rPr>
                <w:kern w:val="0"/>
                <w:sz w:val="24"/>
                <w:szCs w:val="24"/>
              </w:rPr>
            </w:pPr>
            <w:r>
              <w:rPr>
                <w:kern w:val="0"/>
                <w:sz w:val="24"/>
                <w:szCs w:val="24"/>
              </w:rPr>
              <w:t>省发展改革委、省商务厅、省农业农村厅、省自然资源厅、各设区市人民政府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noWrap w:val="0"/>
            <w:vAlign w:val="center"/>
          </w:tcPr>
          <w:p>
            <w:pPr>
              <w:spacing w:line="320" w:lineRule="exact"/>
              <w:jc w:val="center"/>
              <w:rPr>
                <w:kern w:val="0"/>
                <w:sz w:val="24"/>
                <w:szCs w:val="24"/>
              </w:rPr>
            </w:pPr>
            <w:r>
              <w:rPr>
                <w:kern w:val="0"/>
                <w:sz w:val="24"/>
                <w:szCs w:val="24"/>
              </w:rPr>
              <w:t>2</w:t>
            </w:r>
          </w:p>
        </w:tc>
        <w:tc>
          <w:tcPr>
            <w:tcW w:w="5896" w:type="dxa"/>
            <w:noWrap w:val="0"/>
            <w:vAlign w:val="center"/>
          </w:tcPr>
          <w:p>
            <w:pPr>
              <w:spacing w:line="320" w:lineRule="exact"/>
              <w:jc w:val="left"/>
              <w:rPr>
                <w:kern w:val="0"/>
                <w:sz w:val="24"/>
                <w:szCs w:val="24"/>
              </w:rPr>
            </w:pPr>
            <w:r>
              <w:rPr>
                <w:b/>
                <w:bCs/>
                <w:kern w:val="0"/>
                <w:sz w:val="24"/>
                <w:szCs w:val="24"/>
              </w:rPr>
              <w:t>补齐产地冷链物流设施短板。</w:t>
            </w:r>
            <w:r>
              <w:rPr>
                <w:kern w:val="0"/>
                <w:sz w:val="24"/>
                <w:szCs w:val="24"/>
              </w:rPr>
              <w:t>持续推动产地冷链</w:t>
            </w:r>
            <w:r>
              <w:rPr>
                <w:rFonts w:hint="eastAsia"/>
                <w:kern w:val="0"/>
                <w:sz w:val="24"/>
                <w:szCs w:val="24"/>
                <w:lang w:eastAsia="zh-CN"/>
              </w:rPr>
              <w:t>集配</w:t>
            </w:r>
            <w:r>
              <w:rPr>
                <w:kern w:val="0"/>
                <w:sz w:val="24"/>
                <w:szCs w:val="24"/>
              </w:rPr>
              <w:t>中心和移动式预冷设施设备相结合的产地预冷保鲜设施建设。到2025年，全省产地预冷保鲜设施容量达到820万m</w:t>
            </w:r>
            <w:r>
              <w:rPr>
                <w:kern w:val="0"/>
                <w:sz w:val="24"/>
                <w:szCs w:val="24"/>
                <w:vertAlign w:val="superscript"/>
              </w:rPr>
              <w:t>3</w:t>
            </w:r>
            <w:r>
              <w:rPr>
                <w:kern w:val="0"/>
                <w:sz w:val="24"/>
                <w:szCs w:val="24"/>
              </w:rPr>
              <w:t>以上，产地冷藏保鲜设施数量达3200个，果蔬、肉类、水产品产地低温处理率分别达到30%、86%、85%。</w:t>
            </w:r>
          </w:p>
        </w:tc>
        <w:tc>
          <w:tcPr>
            <w:tcW w:w="2380" w:type="dxa"/>
            <w:noWrap w:val="0"/>
            <w:vAlign w:val="top"/>
          </w:tcPr>
          <w:p>
            <w:pPr>
              <w:spacing w:line="320" w:lineRule="exact"/>
              <w:jc w:val="left"/>
              <w:rPr>
                <w:kern w:val="0"/>
                <w:sz w:val="24"/>
                <w:szCs w:val="24"/>
              </w:rPr>
            </w:pPr>
            <w:r>
              <w:rPr>
                <w:kern w:val="0"/>
                <w:sz w:val="24"/>
                <w:szCs w:val="24"/>
              </w:rPr>
              <w:t>省农业农村厅、省自然资源厅、各设区市人民政府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noWrap w:val="0"/>
            <w:vAlign w:val="center"/>
          </w:tcPr>
          <w:p>
            <w:pPr>
              <w:spacing w:line="320" w:lineRule="exact"/>
              <w:jc w:val="center"/>
              <w:rPr>
                <w:bCs/>
                <w:kern w:val="0"/>
                <w:sz w:val="24"/>
                <w:szCs w:val="24"/>
              </w:rPr>
            </w:pPr>
            <w:r>
              <w:rPr>
                <w:bCs/>
                <w:kern w:val="0"/>
                <w:sz w:val="24"/>
                <w:szCs w:val="24"/>
              </w:rPr>
              <w:t xml:space="preserve">3 </w:t>
            </w:r>
          </w:p>
        </w:tc>
        <w:tc>
          <w:tcPr>
            <w:tcW w:w="5896" w:type="dxa"/>
            <w:noWrap w:val="0"/>
            <w:vAlign w:val="center"/>
          </w:tcPr>
          <w:p>
            <w:pPr>
              <w:spacing w:line="320" w:lineRule="exact"/>
              <w:rPr>
                <w:b/>
                <w:bCs/>
                <w:kern w:val="0"/>
                <w:sz w:val="24"/>
                <w:szCs w:val="24"/>
              </w:rPr>
            </w:pPr>
            <w:r>
              <w:rPr>
                <w:b/>
                <w:bCs/>
                <w:kern w:val="0"/>
                <w:sz w:val="24"/>
                <w:szCs w:val="24"/>
              </w:rPr>
              <w:t>促进城乡冷链物流配送服务优质均衡发展。</w:t>
            </w:r>
            <w:r>
              <w:rPr>
                <w:bCs/>
                <w:kern w:val="0"/>
                <w:sz w:val="24"/>
                <w:szCs w:val="24"/>
              </w:rPr>
              <w:t>补齐城乡冷链物流通道短板，加快实施农产品冷链物流“百千”工程和城乡冷链配送网点优化工程，建成一批提供线上线下相融合的低温处理、集中仓储和冷链配送服务的产地冷链</w:t>
            </w:r>
            <w:r>
              <w:rPr>
                <w:rFonts w:hint="eastAsia"/>
                <w:bCs/>
                <w:kern w:val="0"/>
                <w:sz w:val="24"/>
                <w:szCs w:val="24"/>
                <w:lang w:eastAsia="zh-CN"/>
              </w:rPr>
              <w:t>集配</w:t>
            </w:r>
            <w:r>
              <w:rPr>
                <w:bCs/>
                <w:kern w:val="0"/>
                <w:sz w:val="24"/>
                <w:szCs w:val="24"/>
              </w:rPr>
              <w:t>中心和满足城乡差异化需求、支持不同冷链配送模式的末端配送网点</w:t>
            </w:r>
            <w:r>
              <w:rPr>
                <w:b/>
                <w:bCs/>
                <w:kern w:val="0"/>
                <w:sz w:val="24"/>
                <w:szCs w:val="24"/>
              </w:rPr>
              <w:t>。</w:t>
            </w:r>
          </w:p>
        </w:tc>
        <w:tc>
          <w:tcPr>
            <w:tcW w:w="2380" w:type="dxa"/>
            <w:noWrap w:val="0"/>
            <w:vAlign w:val="top"/>
          </w:tcPr>
          <w:p>
            <w:pPr>
              <w:spacing w:line="320" w:lineRule="exact"/>
              <w:jc w:val="left"/>
              <w:rPr>
                <w:kern w:val="0"/>
                <w:sz w:val="24"/>
                <w:szCs w:val="24"/>
              </w:rPr>
            </w:pPr>
            <w:r>
              <w:rPr>
                <w:kern w:val="0"/>
                <w:sz w:val="24"/>
                <w:szCs w:val="24"/>
              </w:rPr>
              <w:t>省商务厅、省农业农村厅、省发展改革委、省交通运输厅、省邮政管理局、省供销社、各设区市人民政府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noWrap w:val="0"/>
            <w:vAlign w:val="center"/>
          </w:tcPr>
          <w:p>
            <w:pPr>
              <w:spacing w:line="320" w:lineRule="exact"/>
              <w:jc w:val="center"/>
              <w:rPr>
                <w:bCs/>
                <w:kern w:val="0"/>
                <w:sz w:val="24"/>
                <w:szCs w:val="24"/>
              </w:rPr>
            </w:pPr>
            <w:r>
              <w:rPr>
                <w:bCs/>
                <w:kern w:val="0"/>
                <w:sz w:val="24"/>
                <w:szCs w:val="24"/>
              </w:rPr>
              <w:t>4</w:t>
            </w:r>
          </w:p>
        </w:tc>
        <w:tc>
          <w:tcPr>
            <w:tcW w:w="5896" w:type="dxa"/>
            <w:noWrap w:val="0"/>
            <w:vAlign w:val="center"/>
          </w:tcPr>
          <w:p>
            <w:pPr>
              <w:spacing w:line="320" w:lineRule="exact"/>
              <w:rPr>
                <w:b/>
                <w:bCs/>
                <w:kern w:val="0"/>
                <w:sz w:val="24"/>
                <w:szCs w:val="24"/>
              </w:rPr>
            </w:pPr>
            <w:r>
              <w:rPr>
                <w:b/>
                <w:bCs/>
                <w:kern w:val="0"/>
                <w:sz w:val="24"/>
                <w:szCs w:val="24"/>
              </w:rPr>
              <w:t>推动冷链储运设备更新升级。</w:t>
            </w:r>
            <w:r>
              <w:rPr>
                <w:bCs/>
                <w:kern w:val="0"/>
                <w:sz w:val="24"/>
                <w:szCs w:val="24"/>
              </w:rPr>
              <w:t>推动冷藏车绿色化更新，研发推广微型、轻型新能源冷藏车和增程式冷藏车，建立更加简洁合规的新能源冷藏车上牌和年检制度，完善新能源冷藏车充电设施布局。支持企业建设一批高标准冷库，开展城郊农产品批发市场老旧冷库改造升级行动，建设封闭式装卸站台，安装符合标准要求的温湿度监测设备。保障疫苗冷链储存运输和温度监测设备更新升级。到2025年，实现新能源冷藏车数量达500辆，农批市场交易型冷库封闭式月台比例达50%。</w:t>
            </w:r>
          </w:p>
        </w:tc>
        <w:tc>
          <w:tcPr>
            <w:tcW w:w="2380" w:type="dxa"/>
            <w:noWrap w:val="0"/>
            <w:vAlign w:val="top"/>
          </w:tcPr>
          <w:p>
            <w:pPr>
              <w:spacing w:line="320" w:lineRule="exact"/>
              <w:jc w:val="left"/>
              <w:rPr>
                <w:kern w:val="0"/>
                <w:sz w:val="24"/>
                <w:szCs w:val="24"/>
              </w:rPr>
            </w:pPr>
            <w:r>
              <w:rPr>
                <w:kern w:val="0"/>
                <w:sz w:val="24"/>
                <w:szCs w:val="24"/>
              </w:rPr>
              <w:t>省科技厅、省发展改革委、省商务厅、省交通运输厅、省公安厅、省农业农村厅、省卫生健康委、各设区市人民政府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noWrap w:val="0"/>
            <w:vAlign w:val="center"/>
          </w:tcPr>
          <w:p>
            <w:pPr>
              <w:spacing w:line="320" w:lineRule="exact"/>
              <w:jc w:val="center"/>
              <w:rPr>
                <w:bCs/>
                <w:kern w:val="0"/>
                <w:sz w:val="24"/>
                <w:szCs w:val="24"/>
              </w:rPr>
            </w:pPr>
            <w:r>
              <w:rPr>
                <w:bCs/>
                <w:kern w:val="0"/>
                <w:sz w:val="24"/>
                <w:szCs w:val="24"/>
              </w:rPr>
              <w:t>5</w:t>
            </w:r>
          </w:p>
        </w:tc>
        <w:tc>
          <w:tcPr>
            <w:tcW w:w="5896" w:type="dxa"/>
            <w:noWrap w:val="0"/>
            <w:vAlign w:val="center"/>
          </w:tcPr>
          <w:p>
            <w:pPr>
              <w:spacing w:line="320" w:lineRule="exact"/>
              <w:rPr>
                <w:b/>
                <w:bCs/>
                <w:kern w:val="0"/>
                <w:sz w:val="24"/>
                <w:szCs w:val="24"/>
              </w:rPr>
            </w:pPr>
            <w:r>
              <w:rPr>
                <w:b/>
                <w:bCs/>
                <w:kern w:val="0"/>
                <w:sz w:val="24"/>
                <w:szCs w:val="24"/>
              </w:rPr>
              <w:t>建设冷链物流公共服务数字平台。</w:t>
            </w:r>
            <w:r>
              <w:rPr>
                <w:kern w:val="0"/>
                <w:sz w:val="24"/>
                <w:szCs w:val="24"/>
              </w:rPr>
              <w:t>依托“浙冷链”</w:t>
            </w:r>
            <w:r>
              <w:rPr>
                <w:rFonts w:hint="eastAsia"/>
                <w:kern w:val="0"/>
                <w:sz w:val="24"/>
                <w:szCs w:val="24"/>
              </w:rPr>
              <w:t>、</w:t>
            </w:r>
            <w:r>
              <w:rPr>
                <w:kern w:val="0"/>
                <w:sz w:val="24"/>
                <w:szCs w:val="24"/>
              </w:rPr>
              <w:t>“浙食链”，推动省级部门相关平台、冷链物流企业平台、第三方冷链数据平台企业数据联通、功能对接，构建覆盖冷链产品重点品类、流通全链条、内外贸一体化的冷链物流公共服务数字平台。完善省级疫苗冷链物流数字平台建设。到2025年，实现1000m</w:t>
            </w:r>
            <w:r>
              <w:rPr>
                <w:kern w:val="0"/>
                <w:sz w:val="24"/>
                <w:szCs w:val="24"/>
                <w:vertAlign w:val="superscript"/>
              </w:rPr>
              <w:t>3</w:t>
            </w:r>
            <w:r>
              <w:rPr>
                <w:kern w:val="0"/>
                <w:sz w:val="24"/>
                <w:szCs w:val="24"/>
              </w:rPr>
              <w:t>以上冷库温湿度监控接入平台比例达50%，第三方冷库网上备案率达98%。</w:t>
            </w:r>
          </w:p>
        </w:tc>
        <w:tc>
          <w:tcPr>
            <w:tcW w:w="2380" w:type="dxa"/>
            <w:noWrap w:val="0"/>
            <w:vAlign w:val="top"/>
          </w:tcPr>
          <w:p>
            <w:pPr>
              <w:spacing w:line="320" w:lineRule="exact"/>
              <w:jc w:val="left"/>
              <w:rPr>
                <w:kern w:val="0"/>
                <w:sz w:val="24"/>
                <w:szCs w:val="24"/>
              </w:rPr>
            </w:pPr>
            <w:r>
              <w:rPr>
                <w:kern w:val="0"/>
                <w:sz w:val="24"/>
                <w:szCs w:val="24"/>
              </w:rPr>
              <w:t>省市场监管局、省交通运输厅、省大数据局、省发展改革委、省农业农村厅、省卫生健康委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noWrap w:val="0"/>
            <w:vAlign w:val="center"/>
          </w:tcPr>
          <w:p>
            <w:pPr>
              <w:spacing w:line="320" w:lineRule="exact"/>
              <w:jc w:val="center"/>
              <w:rPr>
                <w:kern w:val="0"/>
                <w:sz w:val="24"/>
                <w:szCs w:val="24"/>
              </w:rPr>
            </w:pPr>
            <w:r>
              <w:rPr>
                <w:kern w:val="0"/>
                <w:sz w:val="24"/>
                <w:szCs w:val="24"/>
              </w:rPr>
              <w:t>6</w:t>
            </w:r>
          </w:p>
        </w:tc>
        <w:tc>
          <w:tcPr>
            <w:tcW w:w="5896" w:type="dxa"/>
            <w:noWrap w:val="0"/>
            <w:vAlign w:val="top"/>
          </w:tcPr>
          <w:p>
            <w:pPr>
              <w:spacing w:line="320" w:lineRule="exact"/>
              <w:jc w:val="left"/>
              <w:rPr>
                <w:b/>
                <w:kern w:val="0"/>
                <w:sz w:val="24"/>
                <w:szCs w:val="24"/>
              </w:rPr>
            </w:pPr>
            <w:r>
              <w:rPr>
                <w:rFonts w:hint="eastAsia"/>
                <w:b/>
                <w:kern w:val="0"/>
                <w:sz w:val="24"/>
                <w:szCs w:val="24"/>
                <w:lang w:val="en-US" w:eastAsia="zh-CN"/>
              </w:rPr>
              <w:t>发展培育</w:t>
            </w:r>
            <w:r>
              <w:rPr>
                <w:b/>
                <w:kern w:val="0"/>
                <w:sz w:val="24"/>
                <w:szCs w:val="24"/>
              </w:rPr>
              <w:t>冷链物流服务业创新发展区。</w:t>
            </w:r>
            <w:r>
              <w:rPr>
                <w:kern w:val="0"/>
                <w:sz w:val="24"/>
                <w:szCs w:val="24"/>
              </w:rPr>
              <w:t>依托国家和省级骨干冷链物流基地、省级物流园区等核心载体，围绕各地市优势产业，以冷链业务、项目为纽带</w:t>
            </w:r>
            <w:r>
              <w:rPr>
                <w:rFonts w:hint="eastAsia"/>
                <w:kern w:val="0"/>
                <w:sz w:val="24"/>
                <w:szCs w:val="24"/>
              </w:rPr>
              <w:t>，鼓励发展以冷链物流为特色的省级现代服务业创新发展区</w:t>
            </w:r>
            <w:r>
              <w:rPr>
                <w:kern w:val="0"/>
                <w:sz w:val="24"/>
                <w:szCs w:val="24"/>
              </w:rPr>
              <w:t>。</w:t>
            </w:r>
          </w:p>
        </w:tc>
        <w:tc>
          <w:tcPr>
            <w:tcW w:w="2380" w:type="dxa"/>
            <w:noWrap w:val="0"/>
            <w:vAlign w:val="top"/>
          </w:tcPr>
          <w:p>
            <w:pPr>
              <w:spacing w:line="320" w:lineRule="exact"/>
              <w:jc w:val="left"/>
              <w:rPr>
                <w:kern w:val="0"/>
                <w:sz w:val="24"/>
                <w:szCs w:val="24"/>
              </w:rPr>
            </w:pPr>
            <w:r>
              <w:rPr>
                <w:kern w:val="0"/>
                <w:sz w:val="24"/>
                <w:szCs w:val="24"/>
              </w:rPr>
              <w:t>省发展改革委、省农业农村厅、省科技厅、省财政厅，各设区市人民政府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noWrap w:val="0"/>
            <w:vAlign w:val="center"/>
          </w:tcPr>
          <w:p>
            <w:pPr>
              <w:spacing w:line="320" w:lineRule="exact"/>
              <w:jc w:val="center"/>
              <w:rPr>
                <w:kern w:val="0"/>
                <w:sz w:val="24"/>
                <w:szCs w:val="24"/>
              </w:rPr>
            </w:pPr>
            <w:r>
              <w:rPr>
                <w:kern w:val="0"/>
                <w:sz w:val="24"/>
                <w:szCs w:val="24"/>
              </w:rPr>
              <w:t>7</w:t>
            </w:r>
          </w:p>
        </w:tc>
        <w:tc>
          <w:tcPr>
            <w:tcW w:w="5896" w:type="dxa"/>
            <w:noWrap w:val="0"/>
            <w:vAlign w:val="top"/>
          </w:tcPr>
          <w:p>
            <w:pPr>
              <w:spacing w:line="320" w:lineRule="exact"/>
              <w:jc w:val="left"/>
              <w:rPr>
                <w:b/>
                <w:kern w:val="0"/>
                <w:sz w:val="24"/>
                <w:szCs w:val="24"/>
              </w:rPr>
            </w:pPr>
            <w:r>
              <w:rPr>
                <w:b/>
                <w:kern w:val="0"/>
                <w:sz w:val="24"/>
                <w:szCs w:val="24"/>
              </w:rPr>
              <w:t>培育冷链物流领军企业。</w:t>
            </w:r>
            <w:r>
              <w:rPr>
                <w:kern w:val="0"/>
                <w:sz w:val="24"/>
                <w:szCs w:val="24"/>
              </w:rPr>
              <w:t>鼓励现有的冷链物流企业兼并重组、合资协作等形式进行业务整合，培育集约化、多元化的冷链物流领军企业，遴选一批冷链物流与农业、制造业和数字经济融合创新的冷链物流</w:t>
            </w:r>
            <w:r>
              <w:rPr>
                <w:rFonts w:hint="eastAsia"/>
                <w:kern w:val="0"/>
                <w:sz w:val="24"/>
                <w:szCs w:val="24"/>
                <w:lang w:val="en-US" w:eastAsia="zh-CN"/>
              </w:rPr>
              <w:t>领军</w:t>
            </w:r>
            <w:r>
              <w:rPr>
                <w:kern w:val="0"/>
                <w:sz w:val="24"/>
                <w:szCs w:val="24"/>
              </w:rPr>
              <w:t>企业。到2025年，全国冷链物流百强企业、星级冷链物流企业、省级冷链物流领军企业均达5家。</w:t>
            </w:r>
          </w:p>
        </w:tc>
        <w:tc>
          <w:tcPr>
            <w:tcW w:w="2380" w:type="dxa"/>
            <w:noWrap w:val="0"/>
            <w:vAlign w:val="top"/>
          </w:tcPr>
          <w:p>
            <w:pPr>
              <w:spacing w:line="320" w:lineRule="exact"/>
              <w:rPr>
                <w:kern w:val="0"/>
                <w:sz w:val="24"/>
                <w:szCs w:val="24"/>
              </w:rPr>
            </w:pPr>
            <w:r>
              <w:rPr>
                <w:kern w:val="0"/>
                <w:sz w:val="24"/>
                <w:szCs w:val="24"/>
              </w:rPr>
              <w:t>省发展改革委，各设区市人民政府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noWrap w:val="0"/>
            <w:vAlign w:val="center"/>
          </w:tcPr>
          <w:p>
            <w:pPr>
              <w:spacing w:line="320" w:lineRule="exact"/>
              <w:jc w:val="center"/>
              <w:rPr>
                <w:kern w:val="0"/>
                <w:sz w:val="24"/>
                <w:szCs w:val="24"/>
              </w:rPr>
            </w:pPr>
            <w:r>
              <w:rPr>
                <w:kern w:val="0"/>
                <w:sz w:val="24"/>
                <w:szCs w:val="24"/>
              </w:rPr>
              <w:t>8</w:t>
            </w:r>
          </w:p>
        </w:tc>
        <w:tc>
          <w:tcPr>
            <w:tcW w:w="5896" w:type="dxa"/>
            <w:noWrap w:val="0"/>
            <w:vAlign w:val="top"/>
          </w:tcPr>
          <w:p>
            <w:pPr>
              <w:spacing w:line="320" w:lineRule="exact"/>
              <w:jc w:val="left"/>
              <w:rPr>
                <w:kern w:val="0"/>
                <w:sz w:val="24"/>
                <w:szCs w:val="24"/>
              </w:rPr>
            </w:pPr>
            <w:r>
              <w:rPr>
                <w:b/>
                <w:bCs/>
                <w:kern w:val="0"/>
                <w:sz w:val="24"/>
                <w:szCs w:val="24"/>
              </w:rPr>
              <w:t>有效保障土地供应。</w:t>
            </w:r>
            <w:r>
              <w:rPr>
                <w:kern w:val="0"/>
                <w:sz w:val="24"/>
                <w:szCs w:val="24"/>
              </w:rPr>
              <w:t>合理保障骨干基地、物流园区、</w:t>
            </w:r>
            <w:r>
              <w:rPr>
                <w:rFonts w:hint="eastAsia"/>
                <w:kern w:val="0"/>
                <w:sz w:val="24"/>
                <w:szCs w:val="24"/>
                <w:lang w:eastAsia="zh-CN"/>
              </w:rPr>
              <w:t>集配</w:t>
            </w:r>
            <w:r>
              <w:rPr>
                <w:kern w:val="0"/>
                <w:sz w:val="24"/>
                <w:szCs w:val="24"/>
              </w:rPr>
              <w:t>中心等重要冷链物流节点和冷链物流重大项目的土地供应，指导各地在每年新增产业用地中</w:t>
            </w:r>
            <w:r>
              <w:rPr>
                <w:rFonts w:hint="eastAsia"/>
                <w:kern w:val="0"/>
                <w:sz w:val="24"/>
                <w:szCs w:val="24"/>
              </w:rPr>
              <w:t>建设</w:t>
            </w:r>
            <w:r>
              <w:rPr>
                <w:kern w:val="0"/>
                <w:sz w:val="24"/>
                <w:szCs w:val="24"/>
              </w:rPr>
              <w:t>重大冷链物流基础设施，合理确定冷链物流项目土地出让底价、控制指标，探索制定冷链物流用地综合性评价指标体系。对利用原有土地建设冷链物流基础设施的企业，在办理规划许可、施工许可等方面依法予以支持。到2025年，完成冷链物流重大项目投资达500亿元。</w:t>
            </w:r>
          </w:p>
        </w:tc>
        <w:tc>
          <w:tcPr>
            <w:tcW w:w="2380" w:type="dxa"/>
            <w:noWrap w:val="0"/>
            <w:vAlign w:val="top"/>
          </w:tcPr>
          <w:p>
            <w:pPr>
              <w:spacing w:line="320" w:lineRule="exact"/>
              <w:rPr>
                <w:kern w:val="0"/>
                <w:sz w:val="24"/>
                <w:szCs w:val="24"/>
              </w:rPr>
            </w:pPr>
            <w:r>
              <w:rPr>
                <w:kern w:val="0"/>
                <w:sz w:val="24"/>
                <w:szCs w:val="24"/>
              </w:rPr>
              <w:t>省自然资源厅、省建设厅、省发展改革委，各设区市人民政府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noWrap w:val="0"/>
            <w:vAlign w:val="center"/>
          </w:tcPr>
          <w:p>
            <w:pPr>
              <w:spacing w:line="320" w:lineRule="exact"/>
              <w:jc w:val="center"/>
              <w:rPr>
                <w:kern w:val="0"/>
                <w:sz w:val="24"/>
                <w:szCs w:val="24"/>
              </w:rPr>
            </w:pPr>
            <w:r>
              <w:rPr>
                <w:kern w:val="0"/>
                <w:sz w:val="24"/>
                <w:szCs w:val="24"/>
              </w:rPr>
              <w:t>9</w:t>
            </w:r>
          </w:p>
        </w:tc>
        <w:tc>
          <w:tcPr>
            <w:tcW w:w="5896" w:type="dxa"/>
            <w:noWrap w:val="0"/>
            <w:vAlign w:val="top"/>
          </w:tcPr>
          <w:p>
            <w:pPr>
              <w:spacing w:line="320" w:lineRule="exact"/>
              <w:jc w:val="left"/>
              <w:rPr>
                <w:kern w:val="0"/>
                <w:sz w:val="24"/>
                <w:szCs w:val="24"/>
              </w:rPr>
            </w:pPr>
            <w:r>
              <w:rPr>
                <w:b/>
                <w:bCs/>
                <w:kern w:val="0"/>
                <w:sz w:val="24"/>
                <w:szCs w:val="24"/>
              </w:rPr>
              <w:t>推动成立省级冷链物流行业协会。</w:t>
            </w:r>
            <w:r>
              <w:rPr>
                <w:kern w:val="0"/>
                <w:sz w:val="24"/>
                <w:szCs w:val="24"/>
              </w:rPr>
              <w:t>依托现有物流领域社会团体或由冷链物流大型国企、行业龙头企业等链主型企业牵头成立冷链物流行业协会，协助完善和宣贯冷链物流相关政策标准，积极引导行业健康有序发展。定期组织行业沙龙和论坛，开展业务技能、管理等方面培训和先进评选工作，提升行业发展质量。到2025年，实现冷链物流从业人员培训次数达33000次。</w:t>
            </w:r>
          </w:p>
        </w:tc>
        <w:tc>
          <w:tcPr>
            <w:tcW w:w="2380" w:type="dxa"/>
            <w:noWrap w:val="0"/>
            <w:vAlign w:val="top"/>
          </w:tcPr>
          <w:p>
            <w:pPr>
              <w:spacing w:line="320" w:lineRule="exact"/>
              <w:rPr>
                <w:kern w:val="0"/>
                <w:sz w:val="24"/>
                <w:szCs w:val="24"/>
              </w:rPr>
            </w:pPr>
            <w:r>
              <w:rPr>
                <w:kern w:val="0"/>
                <w:sz w:val="24"/>
                <w:szCs w:val="24"/>
              </w:rPr>
              <w:t>省发展改革委、省交通运输厅、省商务厅、省民政厅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noWrap w:val="0"/>
            <w:vAlign w:val="center"/>
          </w:tcPr>
          <w:p>
            <w:pPr>
              <w:spacing w:line="320" w:lineRule="exact"/>
              <w:jc w:val="center"/>
              <w:rPr>
                <w:kern w:val="0"/>
                <w:sz w:val="24"/>
                <w:szCs w:val="24"/>
              </w:rPr>
            </w:pPr>
            <w:r>
              <w:rPr>
                <w:kern w:val="0"/>
                <w:sz w:val="24"/>
                <w:szCs w:val="24"/>
              </w:rPr>
              <w:t>10</w:t>
            </w:r>
          </w:p>
        </w:tc>
        <w:tc>
          <w:tcPr>
            <w:tcW w:w="5896" w:type="dxa"/>
            <w:noWrap w:val="0"/>
            <w:vAlign w:val="top"/>
          </w:tcPr>
          <w:p>
            <w:pPr>
              <w:spacing w:line="320" w:lineRule="exact"/>
              <w:jc w:val="left"/>
              <w:rPr>
                <w:kern w:val="0"/>
                <w:sz w:val="24"/>
                <w:szCs w:val="24"/>
              </w:rPr>
            </w:pPr>
            <w:r>
              <w:rPr>
                <w:b/>
                <w:bCs/>
                <w:kern w:val="0"/>
                <w:sz w:val="24"/>
                <w:szCs w:val="24"/>
              </w:rPr>
              <w:t>优化营商环境。</w:t>
            </w:r>
            <w:r>
              <w:rPr>
                <w:kern w:val="0"/>
                <w:sz w:val="24"/>
                <w:szCs w:val="24"/>
              </w:rPr>
              <w:t>积极落实营商环境“一号改革工程”，深化物流领域体制机制改革，简化各类涉企事项审批审查办理流程，变“人工跑”为“数据跑”，提高办事效率，提升口岸通关便利化水平。</w:t>
            </w:r>
          </w:p>
        </w:tc>
        <w:tc>
          <w:tcPr>
            <w:tcW w:w="2380" w:type="dxa"/>
            <w:noWrap w:val="0"/>
            <w:vAlign w:val="top"/>
          </w:tcPr>
          <w:p>
            <w:pPr>
              <w:spacing w:line="320" w:lineRule="exact"/>
              <w:jc w:val="both"/>
              <w:rPr>
                <w:kern w:val="0"/>
                <w:sz w:val="24"/>
                <w:szCs w:val="24"/>
              </w:rPr>
            </w:pPr>
            <w:r>
              <w:rPr>
                <w:kern w:val="0"/>
                <w:sz w:val="24"/>
                <w:szCs w:val="24"/>
              </w:rPr>
              <w:t>省发展改革委、各设区市人民政府</w:t>
            </w:r>
          </w:p>
        </w:tc>
      </w:tr>
    </w:tbl>
    <w:p>
      <w:pPr>
        <w:pStyle w:val="2"/>
        <w:ind w:firstLine="632"/>
        <w:jc w:val="left"/>
        <w:rPr>
          <w:rFonts w:eastAsia="黑体"/>
          <w:bCs/>
          <w:color w:val="000000"/>
        </w:rPr>
        <w:sectPr>
          <w:footerReference r:id="rId5" w:type="default"/>
          <w:pgSz w:w="11906" w:h="16838"/>
          <w:pgMar w:top="2098" w:right="1474" w:bottom="1984" w:left="1587" w:header="851" w:footer="1587" w:gutter="0"/>
          <w:cols w:space="720" w:num="1"/>
          <w:docGrid w:type="linesAndChars" w:linePitch="579" w:charSpace="-842"/>
        </w:sectPr>
      </w:pPr>
    </w:p>
    <w:p>
      <w:pPr>
        <w:pStyle w:val="2"/>
        <w:spacing w:after="0" w:line="530" w:lineRule="exact"/>
        <w:ind w:firstLine="0" w:firstLineChars="0"/>
        <w:jc w:val="left"/>
        <w:rPr>
          <w:rFonts w:eastAsia="黑体"/>
          <w:bCs/>
          <w:color w:val="000000"/>
        </w:rPr>
      </w:pPr>
      <w:r>
        <w:rPr>
          <w:rFonts w:eastAsia="黑体"/>
          <w:bCs/>
          <w:color w:val="000000"/>
        </w:rPr>
        <w:t>附表2</w:t>
      </w:r>
    </w:p>
    <w:p>
      <w:pPr>
        <w:pStyle w:val="2"/>
        <w:spacing w:after="0" w:line="530" w:lineRule="exact"/>
        <w:ind w:firstLine="632"/>
        <w:jc w:val="left"/>
        <w:rPr>
          <w:rFonts w:eastAsia="黑体"/>
          <w:bCs/>
          <w:color w:val="000000"/>
        </w:rPr>
      </w:pPr>
    </w:p>
    <w:p>
      <w:pPr>
        <w:spacing w:line="530" w:lineRule="exact"/>
        <w:jc w:val="center"/>
        <w:rPr>
          <w:rFonts w:eastAsia="方正小标宋简体"/>
          <w:sz w:val="40"/>
          <w:szCs w:val="44"/>
        </w:rPr>
      </w:pPr>
      <w:r>
        <w:rPr>
          <w:rFonts w:eastAsia="方正小标宋简体"/>
          <w:sz w:val="40"/>
          <w:szCs w:val="44"/>
        </w:rPr>
        <w:t>浙江省冷链物流高质量发展行动重点项目清单</w:t>
      </w:r>
    </w:p>
    <w:tbl>
      <w:tblPr>
        <w:tblStyle w:val="4"/>
        <w:tblW w:w="14740" w:type="dxa"/>
        <w:jc w:val="center"/>
        <w:tblLayout w:type="fixed"/>
        <w:tblCellMar>
          <w:top w:w="0" w:type="dxa"/>
          <w:left w:w="108" w:type="dxa"/>
          <w:bottom w:w="0" w:type="dxa"/>
          <w:right w:w="108" w:type="dxa"/>
        </w:tblCellMar>
      </w:tblPr>
      <w:tblGrid>
        <w:gridCol w:w="644"/>
        <w:gridCol w:w="1896"/>
        <w:gridCol w:w="6738"/>
        <w:gridCol w:w="1104"/>
        <w:gridCol w:w="1622"/>
        <w:gridCol w:w="1660"/>
        <w:gridCol w:w="1076"/>
      </w:tblGrid>
      <w:tr>
        <w:tblPrEx>
          <w:tblCellMar>
            <w:top w:w="0" w:type="dxa"/>
            <w:left w:w="108" w:type="dxa"/>
            <w:bottom w:w="0" w:type="dxa"/>
            <w:right w:w="108" w:type="dxa"/>
          </w:tblCellMar>
        </w:tblPrEx>
        <w:trPr>
          <w:tblHeade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rFonts w:eastAsia="黑体"/>
                <w:bCs/>
                <w:color w:val="000000"/>
                <w:kern w:val="0"/>
                <w:sz w:val="24"/>
                <w:lang w:bidi="ar"/>
              </w:rPr>
            </w:pPr>
            <w:r>
              <w:rPr>
                <w:rFonts w:eastAsia="黑体"/>
                <w:bCs/>
                <w:color w:val="000000"/>
                <w:kern w:val="0"/>
                <w:sz w:val="24"/>
                <w:lang w:bidi="ar"/>
              </w:rPr>
              <w:t>序号</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eastAsia="黑体"/>
                <w:bCs/>
                <w:color w:val="000000"/>
                <w:sz w:val="24"/>
              </w:rPr>
            </w:pPr>
            <w:r>
              <w:rPr>
                <w:rFonts w:eastAsia="黑体"/>
                <w:bCs/>
                <w:color w:val="000000"/>
                <w:kern w:val="0"/>
                <w:sz w:val="24"/>
                <w:lang w:bidi="ar"/>
              </w:rPr>
              <w:t>项目名称</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eastAsia="黑体"/>
                <w:bCs/>
                <w:color w:val="000000"/>
                <w:sz w:val="24"/>
              </w:rPr>
            </w:pPr>
            <w:r>
              <w:rPr>
                <w:rFonts w:eastAsia="黑体"/>
                <w:bCs/>
                <w:color w:val="000000"/>
                <w:kern w:val="0"/>
                <w:sz w:val="24"/>
                <w:lang w:bidi="ar"/>
              </w:rPr>
              <w:t>计划建设内容与规模</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eastAsia="黑体"/>
                <w:bCs/>
                <w:color w:val="000000"/>
                <w:kern w:val="0"/>
                <w:sz w:val="24"/>
                <w:lang w:bidi="ar"/>
              </w:rPr>
            </w:pPr>
            <w:r>
              <w:rPr>
                <w:rFonts w:eastAsia="黑体"/>
                <w:bCs/>
                <w:color w:val="000000"/>
                <w:kern w:val="0"/>
                <w:sz w:val="24"/>
                <w:lang w:bidi="ar"/>
              </w:rPr>
              <w:t>建设</w:t>
            </w:r>
          </w:p>
          <w:p>
            <w:pPr>
              <w:widowControl/>
              <w:spacing w:line="300" w:lineRule="exact"/>
              <w:jc w:val="center"/>
              <w:textAlignment w:val="center"/>
              <w:rPr>
                <w:rFonts w:eastAsia="黑体"/>
                <w:bCs/>
                <w:color w:val="000000"/>
                <w:sz w:val="24"/>
              </w:rPr>
            </w:pPr>
            <w:r>
              <w:rPr>
                <w:rFonts w:eastAsia="黑体"/>
                <w:bCs/>
                <w:color w:val="000000"/>
                <w:kern w:val="0"/>
                <w:sz w:val="24"/>
                <w:lang w:bidi="ar"/>
              </w:rPr>
              <w:t>地点</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eastAsia="黑体"/>
                <w:bCs/>
                <w:color w:val="000000"/>
                <w:sz w:val="24"/>
              </w:rPr>
            </w:pPr>
            <w:r>
              <w:rPr>
                <w:rFonts w:eastAsia="黑体"/>
                <w:bCs/>
                <w:color w:val="000000"/>
                <w:kern w:val="0"/>
                <w:sz w:val="24"/>
                <w:lang w:bidi="ar"/>
              </w:rPr>
              <w:t>建设起止年限</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eastAsia="黑体"/>
                <w:bCs/>
                <w:color w:val="000000"/>
                <w:sz w:val="24"/>
              </w:rPr>
            </w:pPr>
            <w:r>
              <w:rPr>
                <w:rFonts w:eastAsia="黑体"/>
                <w:bCs/>
                <w:color w:val="000000"/>
                <w:kern w:val="0"/>
                <w:sz w:val="24"/>
                <w:lang w:bidi="ar"/>
              </w:rPr>
              <w:t>项目单位</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eastAsia="黑体"/>
                <w:bCs/>
                <w:color w:val="000000"/>
                <w:kern w:val="0"/>
                <w:sz w:val="24"/>
                <w:lang w:bidi="ar"/>
              </w:rPr>
            </w:pPr>
            <w:r>
              <w:rPr>
                <w:rFonts w:eastAsia="黑体"/>
                <w:bCs/>
                <w:color w:val="000000"/>
                <w:kern w:val="0"/>
                <w:sz w:val="24"/>
                <w:lang w:bidi="ar"/>
              </w:rPr>
              <w:t>总投资</w:t>
            </w:r>
          </w:p>
          <w:p>
            <w:pPr>
              <w:widowControl/>
              <w:spacing w:line="300" w:lineRule="exact"/>
              <w:jc w:val="center"/>
              <w:textAlignment w:val="center"/>
              <w:rPr>
                <w:rFonts w:eastAsia="黑体"/>
                <w:bCs/>
                <w:color w:val="000000"/>
                <w:sz w:val="24"/>
              </w:rPr>
            </w:pPr>
            <w:r>
              <w:rPr>
                <w:rFonts w:eastAsia="黑体"/>
                <w:bCs/>
                <w:color w:val="000000"/>
                <w:kern w:val="0"/>
                <w:sz w:val="24"/>
                <w:lang w:bidi="ar"/>
              </w:rPr>
              <w:t>（万元）</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1</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义乌国际冷鲜城一区工程</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sz w:val="24"/>
              </w:rPr>
            </w:pPr>
            <w:r>
              <w:rPr>
                <w:color w:val="000000"/>
                <w:kern w:val="0"/>
                <w:sz w:val="24"/>
                <w:lang w:bidi="ar"/>
              </w:rPr>
              <w:t>用地面积79.76亩，总建筑面积5.7万平方米。项目布局3栋高标准立体冷库，冷库库容约30万立方米。</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金华市义乌市</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2023-2024</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义乌市汇商冷链物流有限公司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50000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2</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海西物流园</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sz w:val="24"/>
              </w:rPr>
            </w:pPr>
            <w:r>
              <w:rPr>
                <w:color w:val="000000"/>
                <w:kern w:val="0"/>
                <w:sz w:val="24"/>
                <w:lang w:bidi="ar"/>
              </w:rPr>
              <w:t>项目用地面积284.35亩（含代征道路54.06亩），总面积约160000平方，总投资约7.89亿元，建设内容集智能化物流交易区、仓储配送区、快递中转区、冷链物流区、物流综合大楼、货车停泊区、配套服务区。</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温州市苍南县</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2020-2023</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温州华嘉物流有限公司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140000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3</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罗森自有特色（PB）商品生产加工浙江供应链项目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sz w:val="24"/>
              </w:rPr>
            </w:pPr>
            <w:r>
              <w:rPr>
                <w:color w:val="000000"/>
                <w:kern w:val="0"/>
                <w:sz w:val="24"/>
                <w:lang w:bidi="ar"/>
              </w:rPr>
              <w:t>该项目主要用于开展罗森盒饭、甜品、面包等自有特色鲜食类商品的加工生产，及为浙江区域辐射半径在300公里内的600+家罗森店铺提供全冷链智能物联供应服务。项目总用地面积57.926亩，建设用地面积38617.2平方米，总建筑面积61047.81平方米，其中地上建筑面积60946.31平方米，地下建筑面积101.5平方米，新增低温仓容2万立方米以上。项目拟于2021年12月动工建设，预计 2023年10月投产运行，投产后预计年产值2.5亿元，年税收1500~2000万元。</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绍兴市诸暨市</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2022-2023</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浙江罗森供应链有限公司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30000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4</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金义综合保税区二期项目（K地块、M地块）</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sz w:val="24"/>
              </w:rPr>
            </w:pPr>
            <w:r>
              <w:rPr>
                <w:color w:val="000000"/>
                <w:kern w:val="0"/>
                <w:sz w:val="24"/>
                <w:lang w:bidi="ar"/>
              </w:rPr>
              <w:t>二期（K、M地块）规划用地总面积52554.32平方米，主要建设保税加工区、冷链仓储区等两个功能区及附属配套工程，总建筑面积约为30234.26平方米</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金华市</w:t>
            </w:r>
          </w:p>
          <w:p>
            <w:pPr>
              <w:widowControl/>
              <w:spacing w:line="300" w:lineRule="exact"/>
              <w:jc w:val="center"/>
              <w:textAlignment w:val="center"/>
              <w:rPr>
                <w:color w:val="000000"/>
                <w:kern w:val="0"/>
                <w:sz w:val="24"/>
                <w:lang w:bidi="ar"/>
              </w:rPr>
            </w:pPr>
            <w:r>
              <w:rPr>
                <w:color w:val="000000"/>
                <w:kern w:val="0"/>
                <w:sz w:val="24"/>
                <w:lang w:bidi="ar"/>
              </w:rPr>
              <w:t>金东区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2020-2023</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金华市金义综合保税区建设发展有限公司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58270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5</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普洛斯金义国际物流园项目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sz w:val="24"/>
              </w:rPr>
            </w:pPr>
            <w:r>
              <w:rPr>
                <w:color w:val="000000"/>
                <w:kern w:val="0"/>
                <w:sz w:val="24"/>
                <w:lang w:bidi="ar"/>
              </w:rPr>
              <w:t>该项目用地面积100850㎡，建筑面积约89500㎡，计容面积约131500㎡。拟建设数字化电商仓库、智慧型快递配送中心、高端制造、冷链及医药配送中心等。主要包括2栋双层坡道库、1栋单层高标库及附属设施组成，年租金收入3200万，新增就业500人以上。</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金华市</w:t>
            </w:r>
          </w:p>
          <w:p>
            <w:pPr>
              <w:widowControl/>
              <w:spacing w:line="300" w:lineRule="exact"/>
              <w:jc w:val="center"/>
              <w:textAlignment w:val="center"/>
              <w:rPr>
                <w:color w:val="000000"/>
                <w:sz w:val="24"/>
              </w:rPr>
            </w:pPr>
            <w:r>
              <w:rPr>
                <w:color w:val="000000"/>
                <w:kern w:val="0"/>
                <w:sz w:val="24"/>
                <w:lang w:bidi="ar"/>
              </w:rPr>
              <w:t>金东区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2022-2023</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金华普交仓储设施有限公司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30440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6</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开化传化产业园项目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sz w:val="24"/>
              </w:rPr>
            </w:pPr>
            <w:r>
              <w:rPr>
                <w:color w:val="000000"/>
                <w:kern w:val="0"/>
                <w:sz w:val="24"/>
                <w:lang w:bidi="ar"/>
              </w:rPr>
              <w:t>主要分为物流功能区和综合配套功能区，物流功能区主要包括物流企业运营中心、货运班车总站、智能停车中心、仓储配送中心、车辆服务中心、冷链仓储运营中心、特色农产品电商服务中心等。综合配套功能区主要包含零售业、餐饮业、车友之家、加油加气站以及物流金融中心等。</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衢州市开化县</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2018-2024</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开化传化产业发展有限公司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z w:val="24"/>
              </w:rPr>
            </w:pPr>
            <w:r>
              <w:rPr>
                <w:color w:val="000000"/>
                <w:kern w:val="0"/>
                <w:sz w:val="24"/>
                <w:lang w:bidi="ar"/>
              </w:rPr>
              <w:t>105000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7</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sz w:val="24"/>
              </w:rPr>
            </w:pPr>
            <w:r>
              <w:rPr>
                <w:color w:val="000000"/>
                <w:kern w:val="0"/>
                <w:sz w:val="24"/>
                <w:lang w:bidi="ar"/>
              </w:rPr>
              <w:t>网营物联（衢州）智能供应链运营中心项目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sz w:val="24"/>
              </w:rPr>
            </w:pPr>
            <w:r>
              <w:rPr>
                <w:color w:val="000000"/>
                <w:kern w:val="0"/>
                <w:sz w:val="24"/>
                <w:lang w:bidi="ar"/>
              </w:rPr>
              <w:t>项目设置产能中心、产业供应链运营与商超配送、冷链仓储、场景展销与主题采买、供应链数据服务、园区与生活配套等功能区，以集约高效的多层立体设施，集成业内领先的智能技术与装备，打造成为衢州市供应链设施的标杆项目。</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sz w:val="24"/>
              </w:rPr>
            </w:pPr>
            <w:r>
              <w:rPr>
                <w:color w:val="000000"/>
                <w:kern w:val="0"/>
                <w:sz w:val="24"/>
                <w:lang w:bidi="ar"/>
              </w:rPr>
              <w:t>衢州市智造新城</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sz w:val="24"/>
              </w:rPr>
            </w:pPr>
            <w:r>
              <w:rPr>
                <w:color w:val="000000"/>
                <w:kern w:val="0"/>
                <w:sz w:val="24"/>
                <w:lang w:bidi="ar"/>
              </w:rPr>
              <w:t>2021-2023</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sz w:val="24"/>
              </w:rPr>
            </w:pPr>
            <w:r>
              <w:rPr>
                <w:color w:val="000000"/>
                <w:kern w:val="0"/>
                <w:sz w:val="24"/>
                <w:lang w:bidi="ar"/>
              </w:rPr>
              <w:t>网营（衢州）供应链有限公司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sz w:val="24"/>
              </w:rPr>
            </w:pPr>
            <w:r>
              <w:rPr>
                <w:color w:val="000000"/>
                <w:kern w:val="0"/>
                <w:sz w:val="24"/>
                <w:lang w:bidi="ar"/>
              </w:rPr>
              <w:t>45000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8</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Style w:val="7"/>
                <w:rFonts w:ascii="Times New Roman" w:cs="Times New Roman"/>
                <w:sz w:val="24"/>
                <w:szCs w:val="24"/>
                <w:lang w:bidi="ar"/>
              </w:rPr>
            </w:pPr>
            <w:r>
              <w:rPr>
                <w:rStyle w:val="7"/>
                <w:rFonts w:ascii="Times New Roman" w:cs="Times New Roman"/>
                <w:sz w:val="24"/>
                <w:szCs w:val="24"/>
                <w:lang w:bidi="ar"/>
              </w:rPr>
              <w:t>申通国际总部</w:t>
            </w:r>
          </w:p>
          <w:p>
            <w:pPr>
              <w:widowControl/>
              <w:spacing w:line="310" w:lineRule="exact"/>
              <w:jc w:val="center"/>
              <w:textAlignment w:val="center"/>
              <w:rPr>
                <w:color w:val="000000"/>
                <w:kern w:val="0"/>
                <w:sz w:val="24"/>
                <w:lang w:bidi="ar"/>
              </w:rPr>
            </w:pPr>
            <w:r>
              <w:rPr>
                <w:rStyle w:val="7"/>
                <w:rFonts w:ascii="Times New Roman" w:cs="Times New Roman"/>
                <w:sz w:val="24"/>
                <w:szCs w:val="24"/>
                <w:lang w:bidi="ar"/>
              </w:rPr>
              <w:t>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rStyle w:val="7"/>
                <w:rFonts w:ascii="Times New Roman" w:cs="Times New Roman"/>
                <w:sz w:val="24"/>
                <w:szCs w:val="24"/>
                <w:lang w:bidi="ar"/>
              </w:rPr>
              <w:t>新建</w:t>
            </w:r>
            <w:r>
              <w:rPr>
                <w:rStyle w:val="8"/>
                <w:sz w:val="24"/>
                <w:szCs w:val="24"/>
                <w:lang w:bidi="ar"/>
              </w:rPr>
              <w:t xml:space="preserve"> 199 </w:t>
            </w:r>
            <w:r>
              <w:rPr>
                <w:rStyle w:val="7"/>
                <w:rFonts w:ascii="Times New Roman" w:cs="Times New Roman"/>
                <w:sz w:val="24"/>
                <w:szCs w:val="24"/>
                <w:lang w:bidi="ar"/>
              </w:rPr>
              <w:t>米高的主建筑和四幢小高层建筑以及园区广场等，目标成为桐庐新地标，打造集商贸办公、会议培训、技术研发、冷链物流服务、云仓服务、物流服务型企业集聚和国际快运总部等功能于一体的现代化特色园区。</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Style w:val="7"/>
                <w:rFonts w:hint="eastAsia" w:ascii="Times New Roman" w:eastAsia="仿宋_GB2312" w:cs="Times New Roman"/>
                <w:sz w:val="24"/>
                <w:szCs w:val="24"/>
                <w:lang w:eastAsia="zh-CN" w:bidi="ar"/>
              </w:rPr>
            </w:pPr>
            <w:r>
              <w:rPr>
                <w:rStyle w:val="7"/>
                <w:rFonts w:ascii="Times New Roman" w:cs="Times New Roman"/>
                <w:sz w:val="24"/>
                <w:szCs w:val="24"/>
                <w:lang w:bidi="ar"/>
              </w:rPr>
              <w:t>杭州市</w:t>
            </w:r>
          </w:p>
          <w:p>
            <w:pPr>
              <w:widowControl/>
              <w:spacing w:line="310" w:lineRule="exact"/>
              <w:jc w:val="center"/>
              <w:textAlignment w:val="center"/>
              <w:rPr>
                <w:color w:val="000000"/>
                <w:kern w:val="0"/>
                <w:sz w:val="24"/>
                <w:lang w:bidi="ar"/>
              </w:rPr>
            </w:pPr>
            <w:r>
              <w:rPr>
                <w:rStyle w:val="7"/>
                <w:rFonts w:ascii="Times New Roman" w:cs="Times New Roman"/>
                <w:sz w:val="24"/>
                <w:szCs w:val="24"/>
                <w:lang w:bidi="ar"/>
              </w:rPr>
              <w:t>桐庐县</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2020-2024</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杭州申睿物流科技有限公司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158500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9</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Style w:val="7"/>
                <w:rFonts w:ascii="Times New Roman" w:cs="Times New Roman"/>
                <w:sz w:val="24"/>
                <w:szCs w:val="24"/>
                <w:lang w:bidi="ar"/>
              </w:rPr>
            </w:pPr>
            <w:r>
              <w:rPr>
                <w:rStyle w:val="7"/>
                <w:rFonts w:ascii="Times New Roman" w:cs="Times New Roman"/>
                <w:sz w:val="24"/>
                <w:szCs w:val="24"/>
                <w:lang w:bidi="ar"/>
              </w:rPr>
              <w:t>金太水产冷链骨干基地（二期）（年产10000吨水产冻品技改项目）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rStyle w:val="7"/>
                <w:rFonts w:ascii="Times New Roman" w:eastAsia="宋体" w:cs="Times New Roman"/>
                <w:sz w:val="24"/>
                <w:szCs w:val="24"/>
                <w:lang w:bidi="ar"/>
              </w:rPr>
            </w:pPr>
            <w:r>
              <w:rPr>
                <w:sz w:val="24"/>
              </w:rPr>
              <w:t>省级冷链物流骨干基地项目，总用地面积21.736亩，总建筑面积35467平方米，项目拟购置制冷压缩机组、全自动清洗机、隧道式速冻机、自动分拣机、冷凝器、自动流水线等生产设备，项目建成后冷链总库容将达 26.84万立方米，形成年产10000吨水产冻品的生产能力。</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台州市</w:t>
            </w:r>
          </w:p>
          <w:p>
            <w:pPr>
              <w:widowControl/>
              <w:spacing w:line="310" w:lineRule="exact"/>
              <w:jc w:val="center"/>
              <w:textAlignment w:val="center"/>
              <w:rPr>
                <w:rStyle w:val="7"/>
                <w:rFonts w:ascii="Times New Roman" w:cs="Times New Roman"/>
                <w:sz w:val="24"/>
                <w:szCs w:val="24"/>
                <w:lang w:bidi="ar"/>
              </w:rPr>
            </w:pPr>
            <w:r>
              <w:rPr>
                <w:color w:val="000000"/>
                <w:kern w:val="0"/>
                <w:sz w:val="24"/>
                <w:lang w:bidi="ar"/>
              </w:rPr>
              <w:t>温岭市</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2021-2023</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温岭市金太水产冷藏有限公司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10120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10</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宁波梅山国际冷链供应链平台</w:t>
            </w:r>
          </w:p>
          <w:p>
            <w:pPr>
              <w:widowControl/>
              <w:spacing w:line="310" w:lineRule="exact"/>
              <w:jc w:val="center"/>
              <w:textAlignment w:val="center"/>
              <w:rPr>
                <w:color w:val="000000"/>
                <w:kern w:val="0"/>
                <w:sz w:val="24"/>
                <w:lang w:bidi="ar"/>
              </w:rPr>
            </w:pPr>
            <w:r>
              <w:rPr>
                <w:color w:val="000000"/>
                <w:kern w:val="0"/>
                <w:sz w:val="24"/>
                <w:lang w:bidi="ar"/>
              </w:rPr>
              <w:t>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color w:val="000000"/>
                <w:kern w:val="0"/>
                <w:sz w:val="24"/>
                <w:lang w:bidi="ar"/>
              </w:rPr>
              <w:t>用地面积约400亩，建筑面积约30万平方米，建设冷库、加工中心、商务办公、展示交易中心。</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宁波市</w:t>
            </w:r>
          </w:p>
          <w:p>
            <w:pPr>
              <w:widowControl/>
              <w:spacing w:line="310" w:lineRule="exact"/>
              <w:jc w:val="center"/>
              <w:textAlignment w:val="center"/>
              <w:rPr>
                <w:color w:val="000000"/>
                <w:kern w:val="0"/>
                <w:sz w:val="24"/>
                <w:lang w:bidi="ar"/>
              </w:rPr>
            </w:pPr>
            <w:r>
              <w:rPr>
                <w:color w:val="000000"/>
                <w:kern w:val="0"/>
                <w:sz w:val="24"/>
                <w:lang w:bidi="ar"/>
              </w:rPr>
              <w:t>经开区（梅山）</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2021-2025</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宁波梅山国际冷链有限公司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360500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11</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文成县冷链物流基地建设项目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color w:val="000000"/>
                <w:kern w:val="0"/>
                <w:sz w:val="24"/>
                <w:lang w:bidi="ar"/>
              </w:rPr>
              <w:t>用地面积156亩，建筑面积约10.25万平方米，建设仓储用房、冷库用房、产品展厅、综合服务中心及配套设施等。</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温州市</w:t>
            </w:r>
          </w:p>
          <w:p>
            <w:pPr>
              <w:widowControl/>
              <w:spacing w:line="310" w:lineRule="exact"/>
              <w:jc w:val="center"/>
              <w:textAlignment w:val="center"/>
              <w:rPr>
                <w:color w:val="000000"/>
                <w:kern w:val="0"/>
                <w:sz w:val="24"/>
                <w:lang w:bidi="ar"/>
              </w:rPr>
            </w:pPr>
            <w:r>
              <w:rPr>
                <w:color w:val="000000"/>
                <w:kern w:val="0"/>
                <w:sz w:val="24"/>
                <w:lang w:bidi="ar"/>
              </w:rPr>
              <w:t>文成县</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2023-2026</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文成县交通建设投资有限公司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58359</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12</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南浔综合物流园区建设项目（浙北冷链物流基地）</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color w:val="000000"/>
                <w:kern w:val="0"/>
                <w:sz w:val="24"/>
                <w:lang w:bidi="ar"/>
              </w:rPr>
              <w:t>用地面积约654亩，建筑面积约26.55万平方米，建设临港加工中心用房、冷链物流中心用房、保税仓库及海关监管服务用房、配套物流堆场。</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湖州市</w:t>
            </w:r>
          </w:p>
          <w:p>
            <w:pPr>
              <w:widowControl/>
              <w:spacing w:line="310" w:lineRule="exact"/>
              <w:jc w:val="center"/>
              <w:textAlignment w:val="center"/>
              <w:rPr>
                <w:color w:val="000000"/>
                <w:kern w:val="0"/>
                <w:sz w:val="24"/>
                <w:lang w:bidi="ar"/>
              </w:rPr>
            </w:pPr>
            <w:r>
              <w:rPr>
                <w:color w:val="000000"/>
                <w:kern w:val="0"/>
                <w:sz w:val="24"/>
                <w:lang w:bidi="ar"/>
              </w:rPr>
              <w:t>南浔区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2023-2028</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浙江湖州南浔经济建设开发有限公司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191150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4"/>
                <w:lang w:bidi="ar"/>
              </w:rPr>
              <w:t>13</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开化传化产业园项目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color w:val="000000"/>
                <w:kern w:val="0"/>
                <w:sz w:val="24"/>
                <w:lang w:bidi="ar"/>
              </w:rPr>
              <w:t>用地面积322.9亩，建筑面积约12.1万平方米，建设物流企业运营中心、货运班车总站、智能停车中心、仓储配送中心、车辆服务中心、冷链仓储运营中心、特色农产品电商服务中心及配套设施等。</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衢州市</w:t>
            </w:r>
          </w:p>
          <w:p>
            <w:pPr>
              <w:widowControl/>
              <w:spacing w:line="310" w:lineRule="exact"/>
              <w:jc w:val="center"/>
              <w:textAlignment w:val="center"/>
              <w:rPr>
                <w:color w:val="000000"/>
                <w:kern w:val="0"/>
                <w:sz w:val="24"/>
                <w:lang w:bidi="ar"/>
              </w:rPr>
            </w:pPr>
            <w:r>
              <w:rPr>
                <w:color w:val="000000"/>
                <w:kern w:val="0"/>
                <w:sz w:val="24"/>
                <w:lang w:bidi="ar"/>
              </w:rPr>
              <w:t>开化县</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2018-2024</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开化传化产业发展有限公司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105000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14</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路桥区冷链物流中心项目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kern w:val="0"/>
                <w:sz w:val="24"/>
                <w:lang w:bidi="ar"/>
              </w:rPr>
            </w:pPr>
            <w:r>
              <w:rPr>
                <w:color w:val="000000"/>
                <w:kern w:val="0"/>
                <w:sz w:val="24"/>
                <w:lang w:bidi="ar"/>
              </w:rPr>
              <w:t>用地面积103亩，建筑面积14万平方米，建设保鲜库、速冻库、加工包装车间、仓储配送中心、货运交易中心及配套设施等。</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hint="eastAsia" w:eastAsia="仿宋_GB2312"/>
                <w:color w:val="000000"/>
                <w:kern w:val="0"/>
                <w:sz w:val="24"/>
                <w:lang w:eastAsia="zh-CN" w:bidi="ar"/>
              </w:rPr>
            </w:pPr>
            <w:r>
              <w:rPr>
                <w:color w:val="000000"/>
                <w:kern w:val="0"/>
                <w:sz w:val="24"/>
                <w:lang w:bidi="ar"/>
              </w:rPr>
              <w:t>台州市</w:t>
            </w:r>
          </w:p>
          <w:p>
            <w:pPr>
              <w:widowControl/>
              <w:spacing w:line="300" w:lineRule="exact"/>
              <w:jc w:val="center"/>
              <w:textAlignment w:val="center"/>
              <w:rPr>
                <w:color w:val="000000"/>
                <w:kern w:val="0"/>
                <w:sz w:val="24"/>
                <w:lang w:bidi="ar"/>
              </w:rPr>
            </w:pPr>
            <w:r>
              <w:rPr>
                <w:color w:val="000000"/>
                <w:kern w:val="0"/>
                <w:sz w:val="24"/>
                <w:lang w:bidi="ar"/>
              </w:rPr>
              <w:t>路桥区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2023-2024</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区交建集团</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49955</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15</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温岭智慧冷链综合物流中心项目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kern w:val="0"/>
                <w:sz w:val="24"/>
                <w:lang w:bidi="ar"/>
              </w:rPr>
            </w:pPr>
            <w:r>
              <w:rPr>
                <w:color w:val="000000"/>
                <w:kern w:val="0"/>
                <w:sz w:val="24"/>
                <w:lang w:bidi="ar"/>
              </w:rPr>
              <w:t>用地面积400亩，建筑面积25万平方米，建设农产品消费品冷链物流、产业供应链物流于一体的现代智慧物流园区及配套设施等。</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hint="eastAsia" w:eastAsia="仿宋_GB2312"/>
                <w:color w:val="000000"/>
                <w:kern w:val="0"/>
                <w:sz w:val="24"/>
                <w:lang w:eastAsia="zh-CN" w:bidi="ar"/>
              </w:rPr>
            </w:pPr>
            <w:r>
              <w:rPr>
                <w:color w:val="000000"/>
                <w:kern w:val="0"/>
                <w:sz w:val="24"/>
                <w:lang w:bidi="ar"/>
              </w:rPr>
              <w:t>台州市</w:t>
            </w:r>
          </w:p>
          <w:p>
            <w:pPr>
              <w:widowControl/>
              <w:spacing w:line="300" w:lineRule="exact"/>
              <w:jc w:val="center"/>
              <w:textAlignment w:val="center"/>
              <w:rPr>
                <w:color w:val="000000"/>
                <w:kern w:val="0"/>
                <w:sz w:val="24"/>
                <w:lang w:bidi="ar"/>
              </w:rPr>
            </w:pPr>
            <w:r>
              <w:rPr>
                <w:color w:val="000000"/>
                <w:kern w:val="0"/>
                <w:sz w:val="24"/>
                <w:lang w:bidi="ar"/>
              </w:rPr>
              <w:t>温岭市</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2023-2026</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温岭市交旅</w:t>
            </w:r>
          </w:p>
          <w:p>
            <w:pPr>
              <w:widowControl/>
              <w:spacing w:line="300" w:lineRule="exact"/>
              <w:jc w:val="center"/>
              <w:textAlignment w:val="center"/>
              <w:rPr>
                <w:color w:val="000000"/>
                <w:kern w:val="0"/>
                <w:sz w:val="24"/>
                <w:lang w:bidi="ar"/>
              </w:rPr>
            </w:pPr>
            <w:r>
              <w:rPr>
                <w:color w:val="000000"/>
                <w:kern w:val="0"/>
                <w:sz w:val="24"/>
                <w:lang w:bidi="ar"/>
              </w:rPr>
              <w:t>集团</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120000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16</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洋山国际中转物流园区项目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kern w:val="0"/>
                <w:sz w:val="24"/>
                <w:lang w:bidi="ar"/>
              </w:rPr>
            </w:pPr>
            <w:r>
              <w:rPr>
                <w:color w:val="000000"/>
                <w:kern w:val="0"/>
                <w:sz w:val="24"/>
                <w:lang w:bidi="ar"/>
              </w:rPr>
              <w:t>用地面积744.27亩，建筑面积约87.59万平方米，建设冷链仓库、普通仓库、堆场及配套服务用房等。</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hint="eastAsia" w:eastAsia="仿宋_GB2312"/>
                <w:color w:val="000000"/>
                <w:kern w:val="0"/>
                <w:sz w:val="24"/>
                <w:lang w:eastAsia="zh-CN" w:bidi="ar"/>
              </w:rPr>
            </w:pPr>
            <w:r>
              <w:rPr>
                <w:color w:val="000000"/>
                <w:kern w:val="0"/>
                <w:sz w:val="24"/>
                <w:lang w:bidi="ar"/>
              </w:rPr>
              <w:t>舟山市</w:t>
            </w:r>
          </w:p>
          <w:p>
            <w:pPr>
              <w:widowControl/>
              <w:spacing w:line="300" w:lineRule="exact"/>
              <w:jc w:val="center"/>
              <w:textAlignment w:val="center"/>
              <w:rPr>
                <w:color w:val="000000"/>
                <w:kern w:val="0"/>
                <w:sz w:val="24"/>
                <w:lang w:bidi="ar"/>
              </w:rPr>
            </w:pPr>
            <w:r>
              <w:rPr>
                <w:color w:val="000000"/>
                <w:kern w:val="0"/>
                <w:sz w:val="24"/>
                <w:lang w:bidi="ar"/>
              </w:rPr>
              <w:t>嵊泗县</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2022-2025</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裕程国际物流园区</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rFonts w:ascii="Times New Roman" w:hAnsi="Times New Roman" w:cs="Times New Roman"/>
                <w:color w:val="000000"/>
                <w:kern w:val="0"/>
                <w:sz w:val="24"/>
                <w:lang w:bidi="ar"/>
              </w:rPr>
              <w:drawing>
                <wp:anchor distT="0" distB="0" distL="114300" distR="114300" simplePos="0" relativeHeight="253717504" behindDoc="0" locked="0" layoutInCell="1" allowOverlap="1">
                  <wp:simplePos x="0" y="0"/>
                  <wp:positionH relativeFrom="column">
                    <wp:posOffset>-6985</wp:posOffset>
                  </wp:positionH>
                  <wp:positionV relativeFrom="paragraph">
                    <wp:posOffset>10795</wp:posOffset>
                  </wp:positionV>
                  <wp:extent cx="581025" cy="751205"/>
                  <wp:effectExtent l="0" t="0" r="0" b="0"/>
                  <wp:wrapNone/>
                  <wp:docPr id="4" name="Text_Box_1094_SpCnt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xt_Box_1094_SpCnt_9"/>
                          <pic:cNvPicPr>
                            <a:picLocks noChangeAspect="1"/>
                          </pic:cNvPicPr>
                        </pic:nvPicPr>
                        <pic:blipFill>
                          <a:blip r:embed="rId8"/>
                          <a:stretch>
                            <a:fillRect/>
                          </a:stretch>
                        </pic:blipFill>
                        <pic:spPr>
                          <a:xfrm>
                            <a:off x="0" y="0"/>
                            <a:ext cx="581025" cy="751205"/>
                          </a:xfrm>
                          <a:prstGeom prst="rect">
                            <a:avLst/>
                          </a:prstGeom>
                          <a:noFill/>
                          <a:ln>
                            <a:noFill/>
                          </a:ln>
                        </pic:spPr>
                      </pic:pic>
                    </a:graphicData>
                  </a:graphic>
                </wp:anchor>
              </w:drawing>
            </w:r>
            <w:r>
              <w:rPr>
                <w:color w:val="000000"/>
                <w:kern w:val="0"/>
                <w:sz w:val="24"/>
                <w:lang w:bidi="ar"/>
              </w:rPr>
              <w:t>160000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17</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中通全球食品加工和冷链项目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kern w:val="0"/>
                <w:sz w:val="24"/>
                <w:lang w:bidi="ar"/>
              </w:rPr>
            </w:pPr>
            <w:r>
              <w:rPr>
                <w:color w:val="000000"/>
                <w:kern w:val="0"/>
                <w:sz w:val="24"/>
                <w:lang w:bidi="ar"/>
              </w:rPr>
              <w:t>用地面积184.5亩，建筑面积21.8万平方米，建设冷链仓储中心、中央厨房、冷链配送中心、产品质检中心、医药冷链服务中心、智能转运中心、云仓中心、冷链操作中心、交易展示中心及相关配套。</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hint="eastAsia" w:eastAsia="仿宋_GB2312"/>
                <w:color w:val="000000"/>
                <w:kern w:val="0"/>
                <w:sz w:val="24"/>
                <w:lang w:eastAsia="zh-CN" w:bidi="ar"/>
              </w:rPr>
            </w:pPr>
            <w:r>
              <w:rPr>
                <w:color w:val="000000"/>
                <w:kern w:val="0"/>
                <w:sz w:val="24"/>
                <w:lang w:bidi="ar"/>
              </w:rPr>
              <w:t>杭州市</w:t>
            </w:r>
          </w:p>
          <w:p>
            <w:pPr>
              <w:widowControl/>
              <w:spacing w:line="300" w:lineRule="exact"/>
              <w:jc w:val="center"/>
              <w:textAlignment w:val="center"/>
              <w:rPr>
                <w:color w:val="000000"/>
                <w:kern w:val="0"/>
                <w:sz w:val="24"/>
                <w:lang w:bidi="ar"/>
              </w:rPr>
            </w:pPr>
            <w:r>
              <w:rPr>
                <w:color w:val="000000"/>
                <w:kern w:val="0"/>
                <w:sz w:val="24"/>
                <w:lang w:bidi="ar"/>
              </w:rPr>
              <w:t>钱塘区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rFonts w:hint="eastAsia"/>
                <w:color w:val="000000"/>
                <w:kern w:val="0"/>
                <w:sz w:val="24"/>
                <w:lang w:val="en-US" w:eastAsia="zh-CN" w:bidi="ar"/>
              </w:rPr>
              <w:t>2021-2024</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浙江中通智能制造有限公司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260000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18</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永康智慧一体化食品加工及农产品供应链冷链物流项目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kern w:val="0"/>
                <w:sz w:val="24"/>
                <w:lang w:bidi="ar"/>
              </w:rPr>
            </w:pPr>
            <w:r>
              <w:rPr>
                <w:color w:val="000000"/>
                <w:kern w:val="0"/>
                <w:sz w:val="24"/>
                <w:lang w:bidi="ar"/>
              </w:rPr>
              <w:t>用地面积98.22亩，建筑面积约11.6万平方米，打造八大产品线及冷链物流体系，建成“智慧一体化食品加工及农产品供应链冷链物流园区”。</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hint="eastAsia" w:eastAsia="仿宋_GB2312"/>
                <w:color w:val="000000"/>
                <w:kern w:val="0"/>
                <w:sz w:val="24"/>
                <w:lang w:eastAsia="zh-CN" w:bidi="ar"/>
              </w:rPr>
            </w:pPr>
            <w:r>
              <w:rPr>
                <w:color w:val="000000"/>
                <w:kern w:val="0"/>
                <w:sz w:val="24"/>
                <w:lang w:bidi="ar"/>
              </w:rPr>
              <w:t>金华市</w:t>
            </w:r>
          </w:p>
          <w:p>
            <w:pPr>
              <w:widowControl/>
              <w:spacing w:line="300" w:lineRule="exact"/>
              <w:jc w:val="center"/>
              <w:textAlignment w:val="center"/>
              <w:rPr>
                <w:color w:val="000000"/>
                <w:kern w:val="0"/>
                <w:sz w:val="24"/>
                <w:lang w:bidi="ar"/>
              </w:rPr>
            </w:pPr>
            <w:r>
              <w:rPr>
                <w:color w:val="000000"/>
                <w:kern w:val="0"/>
                <w:sz w:val="24"/>
                <w:lang w:bidi="ar"/>
              </w:rPr>
              <w:t>永康市</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hint="default"/>
                <w:color w:val="000000"/>
                <w:kern w:val="0"/>
                <w:sz w:val="24"/>
                <w:lang w:val="en-US" w:bidi="ar"/>
              </w:rPr>
            </w:pPr>
            <w:r>
              <w:rPr>
                <w:rFonts w:hint="eastAsia"/>
                <w:color w:val="000000"/>
                <w:kern w:val="0"/>
                <w:sz w:val="24"/>
                <w:lang w:val="en-US" w:eastAsia="zh-CN" w:bidi="ar"/>
              </w:rPr>
              <w:t>2022-2024</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浙江山海公厨科技有限公司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67380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19</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衢州智慧冷链物流产业园项目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kern w:val="0"/>
                <w:sz w:val="24"/>
                <w:lang w:bidi="ar"/>
              </w:rPr>
            </w:pPr>
            <w:r>
              <w:rPr>
                <w:color w:val="000000"/>
                <w:kern w:val="0"/>
                <w:sz w:val="24"/>
                <w:lang w:bidi="ar"/>
              </w:rPr>
              <w:t>用地面积299亩，建设面积19.9万平方米，建设全温区智慧冷库、中央厨房、展示中心、研发中心、智慧管理中心、检测及信息中心、城市配送中心（零担物流）等。</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hint="eastAsia" w:eastAsia="仿宋_GB2312"/>
                <w:color w:val="000000"/>
                <w:kern w:val="0"/>
                <w:sz w:val="24"/>
                <w:lang w:eastAsia="zh-CN" w:bidi="ar"/>
              </w:rPr>
            </w:pPr>
            <w:r>
              <w:rPr>
                <w:color w:val="000000"/>
                <w:kern w:val="0"/>
                <w:sz w:val="24"/>
                <w:lang w:bidi="ar"/>
              </w:rPr>
              <w:t>衢州市</w:t>
            </w:r>
          </w:p>
          <w:p>
            <w:pPr>
              <w:widowControl/>
              <w:spacing w:line="300" w:lineRule="exact"/>
              <w:jc w:val="center"/>
              <w:textAlignment w:val="center"/>
              <w:rPr>
                <w:color w:val="000000"/>
                <w:kern w:val="0"/>
                <w:sz w:val="24"/>
                <w:lang w:bidi="ar"/>
              </w:rPr>
            </w:pPr>
            <w:r>
              <w:rPr>
                <w:color w:val="000000"/>
                <w:kern w:val="0"/>
                <w:sz w:val="24"/>
                <w:lang w:bidi="ar"/>
              </w:rPr>
              <w:t>衢江区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2022-2025</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衢州市智慧冷链开发有限公司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drawing>
                <wp:anchor distT="0" distB="0" distL="114300" distR="114300" simplePos="0" relativeHeight="253718528" behindDoc="0" locked="0" layoutInCell="1" allowOverlap="1">
                  <wp:simplePos x="0" y="0"/>
                  <wp:positionH relativeFrom="column">
                    <wp:posOffset>1993265</wp:posOffset>
                  </wp:positionH>
                  <wp:positionV relativeFrom="paragraph">
                    <wp:posOffset>149860</wp:posOffset>
                  </wp:positionV>
                  <wp:extent cx="581025" cy="908685"/>
                  <wp:effectExtent l="0" t="0" r="0" b="0"/>
                  <wp:wrapNone/>
                  <wp:docPr id="8" name="Text_Box_1094_SpCnt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xt_Box_1094_SpCnt_25"/>
                          <pic:cNvPicPr>
                            <a:picLocks noChangeAspect="1"/>
                          </pic:cNvPicPr>
                        </pic:nvPicPr>
                        <pic:blipFill>
                          <a:blip r:embed="rId8"/>
                          <a:stretch>
                            <a:fillRect/>
                          </a:stretch>
                        </pic:blipFill>
                        <pic:spPr>
                          <a:xfrm>
                            <a:off x="0" y="0"/>
                            <a:ext cx="581025" cy="908685"/>
                          </a:xfrm>
                          <a:prstGeom prst="rect">
                            <a:avLst/>
                          </a:prstGeom>
                          <a:noFill/>
                          <a:ln>
                            <a:noFill/>
                          </a:ln>
                        </pic:spPr>
                      </pic:pic>
                    </a:graphicData>
                  </a:graphic>
                </wp:anchor>
              </w:drawing>
            </w:r>
            <w:r>
              <w:rPr>
                <w:color w:val="000000"/>
                <w:kern w:val="0"/>
                <w:sz w:val="24"/>
                <w:lang w:bidi="ar"/>
              </w:rPr>
              <w:t>240000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20</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rFonts w:hint="eastAsia"/>
                <w:color w:val="000000"/>
                <w:kern w:val="0"/>
                <w:sz w:val="24"/>
                <w:szCs w:val="24"/>
                <w:lang w:bidi="ar"/>
              </w:rPr>
              <w:t>冷鲜食品冷库建设项目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kern w:val="0"/>
                <w:sz w:val="24"/>
                <w:lang w:bidi="ar"/>
              </w:rPr>
            </w:pPr>
            <w:r>
              <w:rPr>
                <w:rFonts w:hint="eastAsia"/>
                <w:color w:val="000000"/>
                <w:kern w:val="0"/>
                <w:sz w:val="24"/>
                <w:szCs w:val="24"/>
                <w:lang w:bidi="ar"/>
              </w:rPr>
              <w:t>拟利用企业现有厂区土地面积5212.5平方米，新建建筑面积15825.6平方米，新增库容37830立方米（其中，冷冻库容8664.5立方米，冷藏库容29165.5立方米），购置冷库制冷系统、鲜食预冷设备、糕点冷却设备、冷库货架、低温加工车间制冷设备、分拣流水线等国内外先进设备，并配套智能监控、通风、变配电、电梯等公用工程设施，形成为浙江区域600家以上商超便利店、企事业单位、食堂等提供冷鲜食品冷藏冷冻服务的能力。</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szCs w:val="24"/>
                <w:lang w:bidi="ar"/>
              </w:rPr>
              <w:t>绍兴市诸暨市</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szCs w:val="24"/>
                <w:lang w:bidi="ar"/>
              </w:rPr>
              <w:t>2022-2023</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rFonts w:hint="eastAsia"/>
                <w:color w:val="000000"/>
                <w:kern w:val="0"/>
                <w:sz w:val="24"/>
                <w:szCs w:val="24"/>
                <w:lang w:bidi="ar"/>
              </w:rPr>
              <w:t>浙江百森供应链有限公司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rFonts w:hint="eastAsia"/>
                <w:color w:val="000000"/>
                <w:kern w:val="0"/>
                <w:sz w:val="24"/>
                <w:szCs w:val="24"/>
                <w:lang w:bidi="ar"/>
              </w:rPr>
              <w:t>10350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21</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南浔区农产品数字化智慧冷链物流园项目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kern w:val="0"/>
                <w:sz w:val="24"/>
                <w:lang w:bidi="ar"/>
              </w:rPr>
            </w:pPr>
            <w:r>
              <w:rPr>
                <w:color w:val="000000"/>
                <w:kern w:val="0"/>
                <w:sz w:val="24"/>
                <w:lang w:bidi="ar"/>
              </w:rPr>
              <w:t>用地面积约77.42亩，建筑面积约8.14万平方米，建设市场交易区、自产自销区、粮油干货区、智慧仓储物流冷库及配套用房等。</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hint="eastAsia" w:eastAsia="仿宋_GB2312"/>
                <w:color w:val="000000"/>
                <w:kern w:val="0"/>
                <w:sz w:val="24"/>
                <w:lang w:eastAsia="zh-CN" w:bidi="ar"/>
              </w:rPr>
            </w:pPr>
            <w:r>
              <w:rPr>
                <w:color w:val="000000"/>
                <w:kern w:val="0"/>
                <w:sz w:val="24"/>
                <w:lang w:bidi="ar"/>
              </w:rPr>
              <w:t>湖州市</w:t>
            </w:r>
          </w:p>
          <w:p>
            <w:pPr>
              <w:widowControl/>
              <w:spacing w:line="300" w:lineRule="exact"/>
              <w:jc w:val="center"/>
              <w:textAlignment w:val="center"/>
              <w:rPr>
                <w:color w:val="000000"/>
                <w:kern w:val="0"/>
                <w:sz w:val="24"/>
                <w:lang w:bidi="ar"/>
              </w:rPr>
            </w:pPr>
            <w:r>
              <w:rPr>
                <w:color w:val="000000"/>
                <w:kern w:val="0"/>
                <w:sz w:val="24"/>
                <w:lang w:bidi="ar"/>
              </w:rPr>
              <w:t>南浔区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2022-2025</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湖州南浔惠民农产品经营管理有限公司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67370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22</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嘉善县雨露空间生鲜水果智慧冷链物流</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kern w:val="0"/>
                <w:sz w:val="24"/>
                <w:lang w:bidi="ar"/>
              </w:rPr>
            </w:pPr>
            <w:r>
              <w:rPr>
                <w:color w:val="000000"/>
                <w:kern w:val="0"/>
                <w:sz w:val="24"/>
                <w:lang w:bidi="ar"/>
              </w:rPr>
              <w:t>用地面积约42.97亩，建筑面积3.8万平方米，建设农产品物流配送设施，提供农产品、食品、药品冷链物流，食品、药品物流质量安全控制技术服务。</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rFonts w:hint="eastAsia" w:eastAsia="仿宋_GB2312"/>
                <w:color w:val="000000"/>
                <w:kern w:val="0"/>
                <w:sz w:val="24"/>
                <w:lang w:eastAsia="zh-CN" w:bidi="ar"/>
              </w:rPr>
            </w:pPr>
            <w:r>
              <w:rPr>
                <w:color w:val="000000"/>
                <w:kern w:val="0"/>
                <w:sz w:val="24"/>
                <w:lang w:bidi="ar"/>
              </w:rPr>
              <w:t>嘉兴市</w:t>
            </w:r>
          </w:p>
          <w:p>
            <w:pPr>
              <w:widowControl/>
              <w:spacing w:line="300" w:lineRule="exact"/>
              <w:jc w:val="center"/>
              <w:textAlignment w:val="center"/>
              <w:rPr>
                <w:color w:val="000000"/>
                <w:kern w:val="0"/>
                <w:sz w:val="24"/>
                <w:lang w:bidi="ar"/>
              </w:rPr>
            </w:pPr>
            <w:r>
              <w:rPr>
                <w:color w:val="000000"/>
                <w:kern w:val="0"/>
                <w:sz w:val="24"/>
                <w:lang w:bidi="ar"/>
              </w:rPr>
              <w:t>嘉善县</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2023-2024</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浙江雨露空间果品有限公司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kern w:val="0"/>
                <w:sz w:val="24"/>
                <w:lang w:bidi="ar"/>
              </w:rPr>
            </w:pPr>
            <w:r>
              <w:rPr>
                <w:color w:val="000000"/>
                <w:kern w:val="0"/>
                <w:sz w:val="24"/>
                <w:lang w:bidi="ar"/>
              </w:rPr>
              <w:t>25754</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23</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新建年制造10万吨冷冻品冷链中心项目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color w:val="000000"/>
                <w:kern w:val="0"/>
                <w:sz w:val="24"/>
                <w:lang w:bidi="ar"/>
              </w:rPr>
              <w:t>用地面积26.6亩，建筑面积3.56万平方米，建设车间、冷链中心和办公楼及相关附属用房，供冷冻农产品、海鲜水产、中西药类低温仓储服务，冷链供应链配送。</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绍兴市</w:t>
            </w:r>
          </w:p>
          <w:p>
            <w:pPr>
              <w:widowControl/>
              <w:spacing w:line="310" w:lineRule="exact"/>
              <w:jc w:val="center"/>
              <w:textAlignment w:val="center"/>
              <w:rPr>
                <w:color w:val="000000"/>
                <w:kern w:val="0"/>
                <w:sz w:val="24"/>
                <w:lang w:bidi="ar"/>
              </w:rPr>
            </w:pPr>
            <w:r>
              <w:rPr>
                <w:color w:val="000000"/>
                <w:kern w:val="0"/>
                <w:sz w:val="24"/>
                <w:lang w:bidi="ar"/>
              </w:rPr>
              <w:t>柯桥区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2021-2023</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绍兴华源企业管理有限公司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17481</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24</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长三角农产品冷链智慧物流中心及农批市场项目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color w:val="000000"/>
                <w:kern w:val="0"/>
                <w:sz w:val="24"/>
                <w:lang w:bidi="ar"/>
              </w:rPr>
              <w:t>用地面积约496亩，建筑面积约34.5万平方米，建设冷链物流、农批市场交易中心、农产品加工中心、保供仓储、后勤配套设施及其他配套设施。</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绍兴市</w:t>
            </w:r>
          </w:p>
          <w:p>
            <w:pPr>
              <w:widowControl/>
              <w:spacing w:line="310" w:lineRule="exact"/>
              <w:jc w:val="center"/>
              <w:textAlignment w:val="center"/>
              <w:rPr>
                <w:color w:val="000000"/>
                <w:kern w:val="0"/>
                <w:sz w:val="24"/>
                <w:lang w:bidi="ar"/>
              </w:rPr>
            </w:pPr>
            <w:r>
              <w:rPr>
                <w:color w:val="000000"/>
                <w:kern w:val="0"/>
                <w:sz w:val="24"/>
                <w:lang w:bidi="ar"/>
              </w:rPr>
              <w:t>越城区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2022-2025</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绍兴八达农产品市场有限公司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216000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25</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婺城新区农贸冷链物流中心</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 name="Text_Box_17_SpCnt_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xt_Box_17_SpCnt_81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053465" cy="541655"/>
                  <wp:effectExtent l="0" t="0" r="0" b="0"/>
                  <wp:wrapNone/>
                  <wp:docPr id="9" name="Text_Box_17_SpCnt_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ext_Box_17_SpCnt_811"/>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 name="Text_Box_17_SpCnt_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xt_Box_17_SpCnt_81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 name="Text_Box_15_SpCnt_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xt_Box_15_SpCnt_81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 name="Text_Box_15_SpCnt_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xt_Box_15_SpCnt_81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7" name="Text_Box_1094_SpCnt_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ext_Box_1094_SpCnt_81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 name="Text_Box_15_SpCnt_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xt_Box_15_SpCnt_81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 name="Text_Box_18_SpCnt_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xt_Box_18_SpCnt_81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9" name="Text_Box_18_SpCnt_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ext_Box_18_SpCnt_81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7" name="Text_Box_18_SpCnt_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Text_Box_18_SpCnt_81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8" name="Text_Box_17_SpCnt_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ext_Box_17_SpCnt_81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1" name="Text_Box_18_SpCnt_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ext_Box_18_SpCnt_81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2" name="Text_Box_1094_SpCnt_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ext_Box_1094_SpCnt_81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3" name="Text_Box_15_SpCnt_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ext_Box_15_SpCnt_81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6736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7" name="Text_Box_1094_SpCnt_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ext_Box_1094_SpCnt_81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7462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9" name="Text_Box_16_SpCnt_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Text_Box_16_SpCnt_81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756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3" name="Text_Box_17_SpCnt_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ext_Box_17_SpCnt_81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6766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3" name="Text_Box_1094_SpCnt_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ext_Box_1094_SpCnt_81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4" name="Text_Box_15_SpCnt_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ext_Box_15_SpCnt_81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7872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9" name="Text_Box_16_SpCnt_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ext_Box_16_SpCnt_81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6" name="Text_Box_17_SpCnt_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ext_Box_17_SpCnt_81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807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5" name="Text_Box_15_SpCnt_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ext_Box_15_SpCnt_81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6" name="Text_Box_1094_SpCnt_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ext_Box_1094_SpCnt_81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682816" behindDoc="0" locked="0" layoutInCell="1" allowOverlap="1">
                  <wp:simplePos x="0" y="0"/>
                  <wp:positionH relativeFrom="column">
                    <wp:posOffset>0</wp:posOffset>
                  </wp:positionH>
                  <wp:positionV relativeFrom="paragraph">
                    <wp:posOffset>0</wp:posOffset>
                  </wp:positionV>
                  <wp:extent cx="1053465" cy="541655"/>
                  <wp:effectExtent l="0" t="0" r="0" b="0"/>
                  <wp:wrapNone/>
                  <wp:docPr id="20" name="Text_Box_16_SpCnt_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ext_Box_16_SpCnt_812"/>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8" name="Text_Box_15_SpCnt_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ext_Box_15_SpCnt_81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6848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1" name="Text_Box_18_SpCnt_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ext_Box_18_SpCnt_81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8588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8" name="Text_Box_16_SpCnt_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Text_Box_16_SpCnt_81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8691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2" name="Text_Box_17_SpCnt_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ext_Box_17_SpCnt_81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3" name="Text_Box_18_SpCnt_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ext_Box_18_SpCnt_81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8896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4" name="Text_Box_17_SpCnt_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ext_Box_17_SpCnt_81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89984" behindDoc="0" locked="0" layoutInCell="1" allowOverlap="1">
                  <wp:simplePos x="0" y="0"/>
                  <wp:positionH relativeFrom="column">
                    <wp:posOffset>0</wp:posOffset>
                  </wp:positionH>
                  <wp:positionV relativeFrom="paragraph">
                    <wp:posOffset>0</wp:posOffset>
                  </wp:positionV>
                  <wp:extent cx="1053465" cy="541655"/>
                  <wp:effectExtent l="0" t="0" r="0" b="0"/>
                  <wp:wrapNone/>
                  <wp:docPr id="25" name="Text_Box_17_SpCnt_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ext_Box_17_SpCnt_818"/>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169100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6" name="Text_Box_17_SpCnt_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ext_Box_17_SpCnt_81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9203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0" name="Text_Box_15_SpCnt_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ext_Box_15_SpCnt_81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930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41" name="Text_Box_16_SpCnt_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ext_Box_16_SpCnt_81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940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7" name="Text_Box_18_SpCnt_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ext_Box_18_SpCnt_81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951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2" name="Text_Box_18_SpCnt_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ext_Box_18_SpCnt_81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6961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4" name="Text_Box_1094_SpCnt_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ext_Box_1094_SpCnt_81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971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40" name="Text_Box_18_SpCnt_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ext_Box_18_SpCnt_81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9817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5" name="Text_Box_15_SpCnt_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ext_Box_15_SpCnt_81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6992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42" name="Text_Box_18_SpCnt_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ext_Box_18_SpCnt_81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00224" behindDoc="0" locked="0" layoutInCell="1" allowOverlap="1">
                  <wp:simplePos x="0" y="0"/>
                  <wp:positionH relativeFrom="column">
                    <wp:posOffset>0</wp:posOffset>
                  </wp:positionH>
                  <wp:positionV relativeFrom="paragraph">
                    <wp:posOffset>0</wp:posOffset>
                  </wp:positionV>
                  <wp:extent cx="1053465" cy="541655"/>
                  <wp:effectExtent l="0" t="0" r="0" b="0"/>
                  <wp:wrapNone/>
                  <wp:docPr id="50" name="Text_Box_15_SpCnt_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Text_Box_15_SpCnt_819"/>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170124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48" name="Text_Box_17_SpCnt_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Text_Box_17_SpCnt_82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022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49" name="Text_Box_1094_SpCnt_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Text_Box_1094_SpCnt_81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032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51" name="Text_Box_18_SpCnt_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Text_Box_18_SpCnt_82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0432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47" name="Text_Box_15_SpCnt_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Text_Box_15_SpCnt_82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053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6" name="Text_Box_18_SpCnt_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Text_Box_18_SpCnt_82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063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44" name="Text_Box_15_SpCnt_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ext_Box_15_SpCnt_82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073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45" name="Text_Box_15_SpCnt_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Text_Box_15_SpCnt_82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0841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9" name="Text_Box_16_SpCnt_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Text_Box_16_SpCnt_81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0944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5" name="Text_Box_15_SpCnt_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Text_Box_15_SpCnt_82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104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4" name="Text_Box_17_SpCnt_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Text_Box_17_SpCnt_82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1148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8" name="Text_Box_18_SpCnt_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Text_Box_18_SpCnt_82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1251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7" name="Text_Box_18_SpCnt_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Text_Box_18_SpCnt_82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1353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90" name="Text_Box_15_SpCnt_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Text_Box_15_SpCnt_82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1456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6" name="Text_Box_1094_SpCnt_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Text_Box_1094_SpCnt_81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1558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91" name="Text_Box_17_SpCnt_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Text_Box_17_SpCnt_82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1660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53" name="Text_Box_17_SpCnt_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Text_Box_17_SpCnt_82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1763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61" name="Text_Box_17_SpCnt_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Text_Box_17_SpCnt_82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186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63" name="Text_Box_16_SpCnt_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Text_Box_16_SpCnt_81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196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64" name="Text_Box_17_SpCnt_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Text_Box_17_SpCnt_82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2070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75" name="Text_Box_16_SpCnt_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Text_Box_16_SpCnt_81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217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77" name="Text_Box_1094_SpCnt_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Text_Box_1094_SpCnt_81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227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62" name="Text_Box_18_SpCnt_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Text_Box_18_SpCnt_82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2377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57" name="Text_Box_16_SpCnt_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Text_Box_16_SpCnt_81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248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65" name="Text_Box_17_SpCnt_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Text_Box_17_SpCnt_82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2582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66" name="Text_Box_18_SpCnt_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Text_Box_18_SpCnt_82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268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9" name="Text_Box_16_SpCnt_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Text_Box_16_SpCnt_81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278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55" name="Text_Box_18_SpCnt_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Text_Box_18_SpCnt_82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288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56" name="Text_Box_17_SpCnt_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Text_Box_17_SpCnt_82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299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2" name="Text_Box_17_SpCnt_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Text_Box_17_SpCnt_82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3094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58" name="Text_Box_16_SpCnt_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Text_Box_16_SpCnt_82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319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60" name="Text_Box_17_SpCnt_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Text_Box_17_SpCnt_82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329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7" name="Text_Box_17_SpCnt_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Text_Box_17_SpCnt_83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3401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68" name="Text_Box_17_SpCnt_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Text_Box_17_SpCnt_83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3504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69" name="Text_Box_1094_SpCnt_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Text_Box_1094_SpCnt_81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360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3" name="Text_Box_18_SpCnt_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Text_Box_18_SpCnt_82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370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0" name="Text_Box_15_SpCnt_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Text_Box_15_SpCnt_82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3811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71" name="Text_Box_1094_SpCnt_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Text_Box_1094_SpCnt_82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391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2" name="Text_Box_15_SpCnt_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Text_Box_15_SpCnt_82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401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4" name="Text_Box_17_SpCnt_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Text_Box_17_SpCnt_83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4118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76" name="Text_Box_1094_SpCnt_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Text_Box_1094_SpCnt_82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422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3" name="Text_Box_1094_SpCnt_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Text_Box_1094_SpCnt_82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4323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78" name="Text_Box_16_SpCnt_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Text_Box_16_SpCnt_82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442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4" name="Text_Box_15_SpCnt_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Text_Box_15_SpCnt_82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452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79" name="Text_Box_18_SpCnt_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Text_Box_18_SpCnt_82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4630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0" name="Text_Box_15_SpCnt_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Text_Box_15_SpCnt_82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473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1" name="Text_Box_17_SpCnt_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Text_Box_17_SpCnt_83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483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52" name="Text_Box_1094_SpCnt_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Text_Box_1094_SpCnt_82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493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4" name="Text_Box_1094_SpCnt_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Text_Box_1094_SpCnt_82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504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15" name="Text_Box_15_SpCnt_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Text_Box_15_SpCnt_82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5142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99" name="Text_Box_18_SpCnt_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Text_Box_18_SpCnt_82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5244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20" name="Text_Box_16_SpCnt_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Text_Box_16_SpCnt_82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534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11" name="Text_Box_1094_SpCnt_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Text_Box_1094_SpCnt_82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544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2" name="Text_Box_1094_SpCnt_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Text_Box_1094_SpCnt_82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5552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1" name="Text_Box_15_SpCnt_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ext_Box_15_SpCnt_83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565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5" name="Text_Box_17_SpCnt_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Text_Box_17_SpCnt_83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575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98" name="Text_Box_16_SpCnt_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Text_Box_16_SpCnt_82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585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0" name="Text_Box_16_SpCnt_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Text_Box_16_SpCnt_82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596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17" name="Text_Box_18_SpCnt_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Text_Box_18_SpCnt_83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6064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8" name="Text_Box_17_SpCnt_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Text_Box_17_SpCnt_83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616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2" name="Text_Box_16_SpCnt_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Text_Box_16_SpCnt_82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6268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4" name="Text_Box_18_SpCnt_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Text_Box_18_SpCnt_83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6371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3" name="Text_Box_16_SpCnt_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Text_Box_16_SpCnt_82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6473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5" name="Text_Box_1094_SpCnt_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Text_Box_1094_SpCnt_82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657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6" name="Text_Box_18_SpCnt_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Text_Box_18_SpCnt_83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667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21" name="Text_Box_1094_SpCnt_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Text_Box_1094_SpCnt_82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67808" behindDoc="0" locked="0" layoutInCell="1" allowOverlap="1">
                  <wp:simplePos x="0" y="0"/>
                  <wp:positionH relativeFrom="column">
                    <wp:posOffset>0</wp:posOffset>
                  </wp:positionH>
                  <wp:positionV relativeFrom="paragraph">
                    <wp:posOffset>0</wp:posOffset>
                  </wp:positionV>
                  <wp:extent cx="1053465" cy="541655"/>
                  <wp:effectExtent l="0" t="0" r="0" b="0"/>
                  <wp:wrapNone/>
                  <wp:docPr id="106" name="Text_Box_16_SpCnt_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Text_Box_16_SpCnt_827"/>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176883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93" name="Text_Box_17_SpCnt_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Text_Box_17_SpCnt_83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698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12" name="Text_Box_18_SpCnt_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Text_Box_18_SpCnt_83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708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9" name="Text_Box_1094_SpCnt_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Text_Box_1094_SpCnt_82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7190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97" name="Text_Box_17_SpCnt_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Text_Box_17_SpCnt_83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729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22" name="Text_Box_15_SpCnt_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Text_Box_15_SpCnt_83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739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18" name="Text_Box_15_SpCnt_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Text_Box_15_SpCnt_83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749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16" name="Text_Box_16_SpCnt_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Text_Box_16_SpCnt_82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760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7" name="Text_Box_15_SpCnt_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Text_Box_15_SpCnt_83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7702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10" name="Text_Box_16_SpCnt_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Text_Box_16_SpCnt_82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7804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14" name="Text_Box_17_SpCnt_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Text_Box_17_SpCnt_83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79072" behindDoc="0" locked="0" layoutInCell="1" allowOverlap="1">
                  <wp:simplePos x="0" y="0"/>
                  <wp:positionH relativeFrom="column">
                    <wp:posOffset>0</wp:posOffset>
                  </wp:positionH>
                  <wp:positionV relativeFrom="paragraph">
                    <wp:posOffset>0</wp:posOffset>
                  </wp:positionV>
                  <wp:extent cx="1053465" cy="541655"/>
                  <wp:effectExtent l="0" t="0" r="0" b="0"/>
                  <wp:wrapNone/>
                  <wp:docPr id="113" name="Text_Box_17_SpCnt_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Text_Box_17_SpCnt_839"/>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17800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19" name="Text_Box_16_SpCnt_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Text_Box_16_SpCnt_83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8112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23" name="Text_Box_18_SpCnt_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Text_Box_18_SpCnt_83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8214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30" name="Text_Box_15_SpCnt_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Text_Box_15_SpCnt_83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831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24" name="Text_Box_15_SpCnt_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Text_Box_15_SpCnt_83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841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27" name="Text_Box_17_SpCnt_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Text_Box_17_SpCnt_84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8521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28" name="Text_Box_17_SpCnt_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Text_Box_17_SpCnt_84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8624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26" name="Text_Box_15_SpCnt_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Text_Box_15_SpCnt_83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872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25" name="Text_Box_18_SpCnt_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Text_Box_18_SpCnt_83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8828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29" name="Text_Box_16_SpCnt_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Text_Box_16_SpCnt_83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8931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31" name="Text_Box_18_SpCnt_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Text_Box_18_SpCnt_83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9033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64" name="Text_Box_15_SpCnt_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Text_Box_15_SpCnt_83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9136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70" name="Text_Box_16_SpCnt_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Text_Box_16_SpCnt_83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923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65" name="Text_Box_17_SpCnt_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Text_Box_17_SpCnt_84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79340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71" name="Text_Box_18_SpCnt_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Text_Box_18_SpCnt_83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9443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69" name="Text_Box_1094_SpCnt_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Text_Box_1094_SpCnt_83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954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68" name="Text_Box_18_SpCnt_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Text_Box_18_SpCnt_83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964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66" name="Text_Box_15_SpCnt_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Text_Box_15_SpCnt_83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9750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67" name="Text_Box_16_SpCnt_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Text_Box_16_SpCnt_83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985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52" name="Text_Box_16_SpCnt_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Text_Box_16_SpCnt_83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7995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50" name="Text_Box_17_SpCnt_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Text_Box_17_SpCnt_84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0057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39" name="Text_Box_15_SpCnt_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Text_Box_15_SpCnt_83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016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56" name="Text_Box_16_SpCnt_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Text_Box_16_SpCnt_83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0262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41" name="Text_Box_18_SpCnt_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Text_Box_18_SpCnt_83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0364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53" name="Text_Box_18_SpCnt_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Text_Box_18_SpCnt_84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046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38" name="Text_Box_1094_SpCnt_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Text_Box_1094_SpCnt_83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056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54" name="Text_Box_16_SpCnt_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Text_Box_16_SpCnt_83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0672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46" name="Text_Box_18_SpCnt_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Text_Box_18_SpCnt_84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0774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32" name="Text_Box_16_SpCnt_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Text_Box_16_SpCnt_83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087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44" name="Text_Box_17_SpCnt_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Text_Box_17_SpCnt_84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097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55" name="Text_Box_17_SpCnt_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Text_Box_17_SpCnt_84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1081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57" name="Text_Box_18_SpCnt_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Text_Box_18_SpCnt_84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1184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51" name="Text_Box_17_SpCnt_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Text_Box_17_SpCnt_84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128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35" name="Text_Box_18_SpCnt_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Text_Box_18_SpCnt_84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1388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40" name="Text_Box_17_SpCnt_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Text_Box_17_SpCnt_84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1491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36" name="Text_Box_16_SpCnt_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Text_Box_16_SpCnt_83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1593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62" name="Text_Box_16_SpCnt_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Text_Box_16_SpCnt_83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1696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47" name="Text_Box_1094_SpCnt_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Text_Box_1094_SpCnt_83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1798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42" name="Text_Box_15_SpCnt_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Text_Box_15_SpCnt_84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1900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58" name="Text_Box_15_SpCnt_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Text_Box_15_SpCnt_84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2003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59" name="Text_Box_1094_SpCnt_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Text_Box_1094_SpCnt_83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210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33" name="Text_Box_18_SpCnt_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Text_Box_18_SpCnt_84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220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60" name="Text_Box_15_SpCnt_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Text_Box_15_SpCnt_84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2310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61" name="Text_Box_15_SpCnt_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Text_Box_15_SpCnt_84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241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37" name="Text_Box_1094_SpCnt_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Text_Box_1094_SpCnt_83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251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63" name="Text_Box_1094_SpCnt_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Text_Box_1094_SpCnt_83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261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34" name="Text_Box_18_SpCnt_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Text_Box_18_SpCnt_84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272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43" name="Text_Box_16_SpCnt_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Text_Box_16_SpCnt_84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2822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45" name="Text_Box_17_SpCnt_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Text_Box_17_SpCnt_84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2924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48" name="Text_Box_1094_SpCnt_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Text_Box_1094_SpCnt_83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302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49" name="Text_Box_18_SpCnt_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Text_Box_18_SpCnt_84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312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14" name="Text_Box_1094_SpCnt_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Text_Box_1094_SpCnt_83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3232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28" name="Text_Box_1094_SpCnt_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Text_Box_1094_SpCnt_83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3334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13" name="Text_Box_1094_SpCnt_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Text_Box_1094_SpCnt_83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343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25" name="Text_Box_16_SpCnt_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Text_Box_16_SpCnt_84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353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30" name="Text_Box_15_SpCnt_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Text_Box_15_SpCnt_84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3641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17" name="Text_Box_15_SpCnt_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Text_Box_15_SpCnt_84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3744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18" name="Text_Box_16_SpCnt_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Text_Box_16_SpCnt_84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384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24" name="Text_Box_15_SpCnt_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Text_Box_15_SpCnt_84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3948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19" name="Text_Box_1094_SpCnt_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Text_Box_1094_SpCnt_84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4051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20" name="Text_Box_15_SpCnt_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Text_Box_15_SpCnt_84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4153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10" name="Text_Box_1094_SpCnt_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Text_Box_1094_SpCnt_84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4256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07" name="Text_Box_15_SpCnt_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Text_Box_15_SpCnt_84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4358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12" name="Text_Box_16_SpCnt_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Text_Box_16_SpCnt_84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4460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21" name="Text_Box_1094_SpCnt_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Text_Box_1094_SpCnt_84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4563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34" name="Text_Box_15_SpCnt_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Text_Box_15_SpCnt_84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466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08" name="Text_Box_15_SpCnt_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Text_Box_15_SpCnt_85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476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15" name="Text_Box_17_SpCnt_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Text_Box_17_SpCnt_84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487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26" name="Text_Box_15_SpCnt_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Text_Box_15_SpCnt_85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497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22" name="Text_Box_18_SpCnt_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Text_Box_18_SpCnt_84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507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23" name="Text_Box_17_SpCnt_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Text_Box_17_SpCnt_85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5177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27" name="Text_Box_15_SpCnt_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Text_Box_15_SpCnt_85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528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35" name="Text_Box_17_SpCnt_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Text_Box_17_SpCnt_85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5382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09" name="Text_Box_1094_SpCnt_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Text_Box_1094_SpCnt_84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5484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16" name="Text_Box_15_SpCnt_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Text_Box_15_SpCnt_85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558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29" name="Text_Box_18_SpCnt_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Text_Box_18_SpCnt_84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568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31" name="Text_Box_16_SpCnt_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Text_Box_16_SpCnt_84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579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32" name="Text_Box_1094_SpCnt_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Text_Box_1094_SpCnt_84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5894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33" name="Text_Box_17_SpCnt_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Text_Box_17_SpCnt_85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599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04" name="Text_Box_17_SpCnt_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Text_Box_17_SpCnt_85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609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05" name="Text_Box_17_SpCnt_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Text_Box_17_SpCnt_85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6201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06" name="Text_Box_18_SpCnt_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Text_Box_18_SpCnt_84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6304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11" name="Text_Box_16_SpCnt_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Text_Box_16_SpCnt_84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640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36" name="Text_Box_15_SpCnt_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Text_Box_15_SpCnt_85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650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41" name="Text_Box_1094_SpCnt_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Text_Box_1094_SpCnt_84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6611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37" name="Text_Box_18_SpCnt_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Text_Box_18_SpCnt_85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671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52" name="Text_Box_18_SpCnt_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Text_Box_18_SpCnt_85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6816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40" name="Text_Box_18_SpCnt_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Text_Box_18_SpCnt_85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6918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51" name="Text_Box_18_SpCnt_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Text_Box_18_SpCnt_85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7020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48" name="Text_Box_18_SpCnt_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Text_Box_18_SpCnt_85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712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42" name="Text_Box_16_SpCnt_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Text_Box_16_SpCnt_84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722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39" name="Text_Box_15_SpCnt_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Text_Box_15_SpCnt_85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732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45" name="Text_Box_1094_SpCnt_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Text_Box_1094_SpCnt_84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743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50" name="Text_Box_16_SpCnt_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Text_Box_16_SpCnt_84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753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43" name="Text_Box_15_SpCnt_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Text_Box_15_SpCnt_85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763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38" name="Text_Box_1094_SpCnt_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Text_Box_1094_SpCnt_84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7737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44" name="Text_Box_18_SpCnt_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Text_Box_18_SpCnt_85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784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46" name="Text_Box_1094_SpCnt_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Text_Box_1094_SpCnt_84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794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47" name="Text_Box_18_SpCnt_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Text_Box_18_SpCnt_85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804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49" name="Text_Box_16_SpCnt_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Text_Box_16_SpCnt_84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814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86" name="Text_Box_15_SpCnt_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Text_Box_15_SpCnt_85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824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95" name="Text_Box_1094_SpCnt_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Text_Box_1094_SpCnt_84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835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99" name="Text_Box_15_SpCnt_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Text_Box_15_SpCnt_85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8454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73" name="Text_Box_16_SpCnt_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Text_Box_16_SpCnt_84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855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87" name="Text_Box_17_SpCnt_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Text_Box_17_SpCnt_85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865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98" name="Text_Box_15_SpCnt_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Text_Box_15_SpCnt_85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876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00" name="Text_Box_17_SpCnt_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Text_Box_17_SpCnt_85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886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84" name="Text_Box_18_SpCnt_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Text_Box_18_SpCnt_85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896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85" name="Text_Box_1094_SpCnt_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Text_Box_1094_SpCnt_85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906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75" name="Text_Box_15_SpCnt_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Text_Box_15_SpCnt_86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917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01" name="Text_Box_15_SpCnt_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Text_Box_15_SpCnt_86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927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02" name="Text_Box_16_SpCnt_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Text_Box_16_SpCnt_85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9376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93" name="Text_Box_17_SpCnt_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Text_Box_17_SpCnt_85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9478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03" name="Text_Box_15_SpCnt_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Text_Box_15_SpCnt_86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8958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88" name="Text_Box_1094_SpCnt_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Text_Box_1094_SpCnt_85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968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72" name="Text_Box_16_SpCnt_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Text_Box_16_SpCnt_85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978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89" name="Text_Box_18_SpCnt_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Text_Box_18_SpCnt_85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988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90" name="Text_Box_18_SpCnt_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Text_Box_18_SpCnt_85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8999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76" name="Text_Box_18_SpCnt_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Text_Box_18_SpCnt_86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009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74" name="Text_Box_18_SpCnt_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Text_Box_18_SpCnt_86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019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79" name="Text_Box_1094_SpCnt_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Text_Box_1094_SpCnt_85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029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91" name="Text_Box_16_SpCnt_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Text_Box_16_SpCnt_85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040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96" name="Text_Box_18_SpCnt_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Text_Box_18_SpCnt_86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05024" behindDoc="0" locked="0" layoutInCell="1" allowOverlap="1">
                  <wp:simplePos x="0" y="0"/>
                  <wp:positionH relativeFrom="column">
                    <wp:posOffset>0</wp:posOffset>
                  </wp:positionH>
                  <wp:positionV relativeFrom="paragraph">
                    <wp:posOffset>0</wp:posOffset>
                  </wp:positionV>
                  <wp:extent cx="1053465" cy="541655"/>
                  <wp:effectExtent l="0" t="0" r="0" b="0"/>
                  <wp:wrapNone/>
                  <wp:docPr id="178" name="Text_Box_15_SpCnt_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Text_Box_15_SpCnt_863"/>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190604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94" name="Text_Box_15_SpCnt_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Text_Box_15_SpCnt_86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070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77" name="Text_Box_16_SpCnt_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Text_Box_16_SpCnt_85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080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80" name="Text_Box_16_SpCnt_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Text_Box_16_SpCnt_85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0912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81" name="Text_Box_1094_SpCnt_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Text_Box_1094_SpCnt_85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1014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82" name="Text_Box_16_SpCnt_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Text_Box_16_SpCnt_85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111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83" name="Text_Box_1094_SpCnt_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Text_Box_1094_SpCnt_85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121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92" name="Text_Box_15_SpCnt_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Text_Box_15_SpCnt_86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132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97" name="Text_Box_17_SpCnt_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Text_Box_17_SpCnt_85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142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95" name="Text_Box_18_SpCnt_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Text_Box_18_SpCnt_86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152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90" name="Text_Box_1094_SpCnt_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Text_Box_1094_SpCnt_85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162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11" name="Text_Box_1094_SpCnt_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Text_Box_1094_SpCnt_85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173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96" name="Text_Box_15_SpCnt_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Text_Box_15_SpCnt_86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1833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92" name="Text_Box_17_SpCnt_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Text_Box_17_SpCnt_85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193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91" name="Text_Box_18_SpCnt_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Text_Box_18_SpCnt_86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2038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97" name="Text_Box_15_SpCnt_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Text_Box_15_SpCnt_86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2140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06" name="Text_Box_17_SpCnt_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Text_Box_17_SpCnt_86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2243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98" name="Text_Box_16_SpCnt_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Text_Box_16_SpCnt_85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234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99" name="Text_Box_18_SpCnt_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Text_Box_18_SpCnt_86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244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85" name="Text_Box_17_SpCnt_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Text_Box_17_SpCnt_86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255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13" name="Text_Box_17_SpCnt_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Text_Box_17_SpCnt_86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265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00" name="Text_Box_18_SpCnt_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Text_Box_18_SpCnt_86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275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12" name="Text_Box_1094_SpCnt_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Text_Box_1094_SpCnt_85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2857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01" name="Text_Box_18_SpCnt_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Text_Box_18_SpCnt_86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296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10" name="Text_Box_18_SpCnt_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Text_Box_18_SpCnt_86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3062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04" name="Text_Box_17_SpCnt_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Text_Box_17_SpCnt_86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3164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87" name="Text_Box_1094_SpCnt_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Text_Box_1094_SpCnt_85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326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07" name="Text_Box_1094_SpCnt_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Text_Box_1094_SpCnt_85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336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02" name="Text_Box_16_SpCnt_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Text_Box_16_SpCnt_85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3472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14" name="Text_Box_1094_SpCnt_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Text_Box_1094_SpCnt_86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3574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93" name="Text_Box_1094_SpCnt_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Text_Box_1094_SpCnt_86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367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94" name="Text_Box_16_SpCnt_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Text_Box_16_SpCnt_85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377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03" name="Text_Box_18_SpCnt_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Text_Box_18_SpCnt_86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3881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09" name="Text_Box_1094_SpCnt_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Text_Box_1094_SpCnt_86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3984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86" name="Text_Box_16_SpCnt_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Text_Box_16_SpCnt_85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408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05" name="Text_Box_15_SpCnt_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Text_Box_15_SpCnt_86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4188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89" name="Text_Box_17_SpCnt_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Text_Box_17_SpCnt_86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4291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08" name="Text_Box_17_SpCnt_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Text_Box_17_SpCnt_86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4393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88" name="Text_Box_16_SpCnt_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Text_Box_16_SpCnt_86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4496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15" name="Text_Box_1094_SpCnt_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Text_Box_1094_SpCnt_86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4598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16" name="Text_Box_17_SpCnt_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Text_Box_17_SpCnt_86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4700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27" name="Text_Box_18_SpCnt_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Text_Box_18_SpCnt_87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4803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29" name="Text_Box_1094_SpCnt_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Text_Box_1094_SpCnt_86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490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18" name="Text_Box_15_SpCnt_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Text_Box_15_SpCnt_86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500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24" name="Text_Box_15_SpCnt_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Text_Box_15_SpCnt_87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5110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20" name="Text_Box_18_SpCnt_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Text_Box_18_SpCnt_87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521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32" name="Text_Box_1094_SpCnt_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Text_Box_1094_SpCnt_86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531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28" name="Text_Box_18_SpCnt_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Text_Box_18_SpCnt_87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5417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17" name="Text_Box_16_SpCnt_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Text_Box_16_SpCnt_86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552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33" name="Text_Box_1094_SpCnt_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Text_Box_1094_SpCnt_86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5622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30" name="Text_Box_16_SpCnt_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Text_Box_16_SpCnt_86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5724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21" name="Text_Box_15_SpCnt_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Text_Box_15_SpCnt_87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582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22" name="Text_Box_15_SpCnt_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Text_Box_15_SpCnt_87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592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23" name="Text_Box_1094_SpCnt_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Text_Box_1094_SpCnt_86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6032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19" name="Text_Box_15_SpCnt_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Text_Box_15_SpCnt_87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6134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25" name="Text_Box_18_SpCnt_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Text_Box_18_SpCnt_87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623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31" name="Text_Box_17_SpCnt_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Text_Box_17_SpCnt_86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633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26" name="Text_Box_17_SpCnt_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Text_Box_17_SpCnt_86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6441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65" name="Text_Box_18_SpCnt_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Text_Box_18_SpCnt_87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6544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55" name="Text_Box_17_SpCnt_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Text_Box_17_SpCnt_86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664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84" name="Text_Box_17_SpCnt_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Text_Box_17_SpCnt_87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6748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80" name="Text_Box_1094_SpCnt_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Text_Box_1094_SpCnt_86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6851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54" name="Text_Box_15_SpCnt_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Text_Box_15_SpCnt_87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6953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56" name="Text_Box_16_SpCnt_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Text_Box_16_SpCnt_86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7056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69" name="Text_Box_15_SpCnt_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Text_Box_15_SpCnt_87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7158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60" name="Text_Box_16_SpCnt_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Text_Box_16_SpCnt_86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7260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66" name="Text_Box_18_SpCnt_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Text_Box_18_SpCnt_87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7363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61" name="Text_Box_1094_SpCnt_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Text_Box_1094_SpCnt_86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746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63" name="Text_Box_1094_SpCnt_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Text_Box_1094_SpCnt_87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756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70" name="Text_Box_15_SpCnt_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Text_Box_15_SpCnt_87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7670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72" name="Text_Box_1094_SpCnt_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Text_Box_1094_SpCnt_87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777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64" name="Text_Box_18_SpCnt_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Text_Box_18_SpCnt_87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787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57" name="Text_Box_18_SpCnt_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Text_Box_18_SpCnt_87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797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62" name="Text_Box_15_SpCnt_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Text_Box_15_SpCnt_87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808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67" name="Text_Box_16_SpCnt_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Text_Box_16_SpCnt_86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8182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71" name="Text_Box_15_SpCnt_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Text_Box_15_SpCnt_87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8284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82" name="Text_Box_18_SpCnt_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Text_Box_18_SpCnt_87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838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68" name="Text_Box_1094_SpCnt_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Text_Box_1094_SpCnt_87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848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73" name="Text_Box_16_SpCnt_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Text_Box_16_SpCnt_86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8592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58" name="Text_Box_1094_SpCnt_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Text_Box_1094_SpCnt_87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8694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74" name="Text_Box_18_SpCnt_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Text_Box_18_SpCnt_87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879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75" name="Text_Box_15_SpCnt_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Text_Box_15_SpCnt_87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889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76" name="Text_Box_16_SpCnt_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Text_Box_16_SpCnt_86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9001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83" name="Text_Box_18_SpCnt_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Text_Box_18_SpCnt_88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9104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77" name="Text_Box_17_SpCnt_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Text_Box_17_SpCnt_87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920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78" name="Text_Box_17_SpCnt_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Text_Box_17_SpCnt_87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9308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59" name="Text_Box_16_SpCnt_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Text_Box_16_SpCnt_86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941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79" name="Text_Box_18_SpCnt_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Text_Box_18_SpCnt_88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951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281" name="Text_Box_18_SpCnt_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Text_Box_18_SpCnt_88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9616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253" name="Text_Box_17_SpCnt_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Text_Box_17_SpCnt_87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9718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38" name="Text_Box_16_SpCnt_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Text_Box_16_SpCnt_86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19982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60" name="Text_Box_17_SpCnt_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Text_Box_17_SpCnt_87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19992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36" name="Text_Box_17_SpCnt_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Text_Box_17_SpCnt_87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002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41" name="Text_Box_1094_SpCnt_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Text_Box_1094_SpCnt_87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0012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39" name="Text_Box_16_SpCnt_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Text_Box_16_SpCnt_87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023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55" name="Text_Box_1094_SpCnt_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Text_Box_1094_SpCnt_87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033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58" name="Text_Box_16_SpCnt_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Text_Box_16_SpCnt_87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043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49" name="Text_Box_16_SpCnt_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Text_Box_16_SpCnt_87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0537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37" name="Text_Box_17_SpCnt_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Text_Box_17_SpCnt_87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0064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34" name="Text_Box_16_SpCnt_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Text_Box_16_SpCnt_87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074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42" name="Text_Box_17_SpCnt_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Text_Box_17_SpCnt_87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084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53" name="Text_Box_17_SpCnt_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Text_Box_17_SpCnt_87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094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43" name="Text_Box_18_SpCnt_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Text_Box_18_SpCnt_88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104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62" name="Text_Box_1094_SpCnt_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Text_Box_1094_SpCnt_87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115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44" name="Text_Box_16_SpCnt_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Text_Box_16_SpCnt_87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125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50" name="Text_Box_18_SpCnt_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Text_Box_18_SpCnt_88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135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40" name="Text_Box_1094_SpCnt_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Text_Box_1094_SpCnt_87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14592" behindDoc="0" locked="0" layoutInCell="1" allowOverlap="1">
                  <wp:simplePos x="0" y="0"/>
                  <wp:positionH relativeFrom="column">
                    <wp:posOffset>0</wp:posOffset>
                  </wp:positionH>
                  <wp:positionV relativeFrom="paragraph">
                    <wp:posOffset>0</wp:posOffset>
                  </wp:positionV>
                  <wp:extent cx="1053465" cy="541655"/>
                  <wp:effectExtent l="0" t="0" r="0" b="0"/>
                  <wp:wrapNone/>
                  <wp:docPr id="361" name="Text_Box_15_SpCnt_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Text_Box_15_SpCnt_880"/>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0156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52" name="Text_Box_15_SpCnt_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Text_Box_15_SpCnt_88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166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45" name="Text_Box_17_SpCnt_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Text_Box_17_SpCnt_87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176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63" name="Text_Box_1094_SpCnt_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Text_Box_1094_SpCnt_87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186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47" name="Text_Box_1094_SpCnt_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Text_Box_1094_SpCnt_87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197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46" name="Text_Box_18_SpCnt_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Text_Box_18_SpCnt_88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2073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48" name="Text_Box_17_SpCnt_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Text_Box_17_SpCnt_88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02176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354" name="Text_Box_15_SpCnt_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Text_Box_15_SpCnt_88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0227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57" name="Text_Box_1094_SpCnt_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Text_Box_1094_SpCnt_88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238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51" name="Text_Box_15_SpCnt_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Text_Box_15_SpCnt_88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248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56" name="Text_Box_1094_SpCnt_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Text_Box_1094_SpCnt_88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258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59" name="Text_Box_18_SpCnt_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Text_Box_18_SpCnt_88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268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64" name="Text_Box_16_SpCnt_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Text_Box_16_SpCnt_87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279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65" name="Text_Box_15_SpCnt_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Text_Box_15_SpCnt_88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289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35" name="Text_Box_17_SpCnt_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Text_Box_17_SpCnt_88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299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69" name="Text_Box_18_SpCnt_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Text_Box_18_SpCnt_88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309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94" name="Text_Box_17_SpCnt_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Text_Box_17_SpCnt_88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320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72" name="Text_Box_18_SpCnt_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Text_Box_18_SpCnt_88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330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91" name="Text_Box_18_SpCnt_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Text_Box_18_SpCnt_88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340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70" name="Text_Box_18_SpCnt_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Text_Box_18_SpCnt_89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350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89" name="Text_Box_16_SpCnt_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Text_Box_16_SpCnt_87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360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84" name="Text_Box_1094_SpCnt_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Text_Box_1094_SpCnt_88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371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85" name="Text_Box_16_SpCnt_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Text_Box_16_SpCnt_87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381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78" name="Text_Box_1094_SpCnt_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Text_Box_1094_SpCnt_88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391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71" name="Text_Box_15_SpCnt_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Text_Box_15_SpCnt_88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401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73" name="Text_Box_1094_SpCnt_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Text_Box_1094_SpCnt_88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412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80" name="Text_Box_15_SpCnt_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Text_Box_15_SpCnt_88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422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76" name="Text_Box_15_SpCnt_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Text_Box_15_SpCnt_88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432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77" name="Text_Box_16_SpCnt_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Text_Box_16_SpCnt_87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442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97" name="Text_Box_16_SpCnt_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Text_Box_16_SpCnt_87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45312" behindDoc="0" locked="0" layoutInCell="1" allowOverlap="1">
                  <wp:simplePos x="0" y="0"/>
                  <wp:positionH relativeFrom="column">
                    <wp:posOffset>0</wp:posOffset>
                  </wp:positionH>
                  <wp:positionV relativeFrom="paragraph">
                    <wp:posOffset>0</wp:posOffset>
                  </wp:positionV>
                  <wp:extent cx="1053465" cy="541655"/>
                  <wp:effectExtent l="0" t="0" r="0" b="0"/>
                  <wp:wrapNone/>
                  <wp:docPr id="381" name="Text_Box_16_SpCnt_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Text_Box_16_SpCnt_880"/>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0463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75" name="Text_Box_16_SpCnt_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Text_Box_16_SpCnt_88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473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95" name="Text_Box_16_SpCnt_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Text_Box_16_SpCnt_88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483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79" name="Text_Box_15_SpCnt_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Text_Box_15_SpCnt_88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494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82" name="Text_Box_18_SpCnt_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Text_Box_18_SpCnt_89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504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83" name="Text_Box_17_SpCnt_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Text_Box_17_SpCnt_88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514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86" name="Text_Box_16_SpCnt_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Text_Box_16_SpCnt_88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524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96" name="Text_Box_1094_SpCnt_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Text_Box_1094_SpCnt_88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535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87" name="Text_Box_1094_SpCnt_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Text_Box_1094_SpCnt_88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545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74" name="Text_Box_18_SpCnt_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Text_Box_18_SpCnt_89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555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90" name="Text_Box_15_SpCnt_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Text_Box_15_SpCnt_88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565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88" name="Text_Box_18_SpCnt_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Text_Box_18_SpCnt_89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576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92" name="Text_Box_15_SpCnt_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Text_Box_15_SpCnt_89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586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93" name="Text_Box_1094_SpCnt_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Text_Box_1094_SpCnt_88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596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66" name="Text_Box_16_SpCnt_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Text_Box_16_SpCnt_88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606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67" name="Text_Box_18_SpCnt_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Text_Box_18_SpCnt_89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616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68" name="Text_Box_17_SpCnt_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Text_Box_17_SpCnt_88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627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04" name="Text_Box_18_SpCnt_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Text_Box_18_SpCnt_89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637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07" name="Text_Box_1094_SpCnt_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Text_Box_1094_SpCnt_88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647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05" name="Text_Box_16_SpCnt_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Text_Box_16_SpCnt_88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657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01" name="Text_Box_17_SpCnt_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Text_Box_17_SpCnt_88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668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11" name="Text_Box_1094_SpCnt_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Text_Box_1094_SpCnt_88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678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14" name="Text_Box_15_SpCnt_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Text_Box_15_SpCnt_89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688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02" name="Text_Box_17_SpCnt_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Text_Box_17_SpCnt_88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698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12" name="Text_Box_16_SpCnt_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Text_Box_16_SpCnt_88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709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06" name="Text_Box_1094_SpCnt_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Text_Box_1094_SpCnt_89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719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08" name="Text_Box_17_SpCnt_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Text_Box_17_SpCnt_88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72960" behindDoc="0" locked="0" layoutInCell="1" allowOverlap="1">
                  <wp:simplePos x="0" y="0"/>
                  <wp:positionH relativeFrom="column">
                    <wp:posOffset>0</wp:posOffset>
                  </wp:positionH>
                  <wp:positionV relativeFrom="paragraph">
                    <wp:posOffset>0</wp:posOffset>
                  </wp:positionV>
                  <wp:extent cx="1053465" cy="541655"/>
                  <wp:effectExtent l="0" t="0" r="0" b="0"/>
                  <wp:wrapNone/>
                  <wp:docPr id="409" name="Text_Box_17_SpCnt_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Text_Box_17_SpCnt_888"/>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0739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00" name="Text_Box_1094_SpCnt_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Text_Box_1094_SpCnt_89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750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10" name="Text_Box_18_SpCnt_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Text_Box_18_SpCnt_89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760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03" name="Text_Box_16_SpCnt_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Text_Box_16_SpCnt_88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770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13" name="Text_Box_17_SpCnt_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Text_Box_17_SpCnt_88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780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98" name="Text_Box_15_SpCnt_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Text_Box_15_SpCnt_89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791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399" name="Text_Box_17_SpCnt_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Text_Box_17_SpCnt_89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801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44" name="Text_Box_16_SpCnt_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Text_Box_16_SpCnt_88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811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24" name="Text_Box_18_SpCnt_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Text_Box_18_SpCnt_89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821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41" name="Text_Box_17_SpCnt_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Text_Box_17_SpCnt_89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832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22" name="Text_Box_16_SpCnt_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Text_Box_16_SpCnt_88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842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39" name="Text_Box_17_SpCnt_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Text_Box_17_SpCnt_89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852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45" name="Text_Box_15_SpCnt_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Text_Box_15_SpCnt_89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86272" behindDoc="0" locked="0" layoutInCell="1" allowOverlap="1">
                  <wp:simplePos x="0" y="0"/>
                  <wp:positionH relativeFrom="column">
                    <wp:posOffset>0</wp:posOffset>
                  </wp:positionH>
                  <wp:positionV relativeFrom="paragraph">
                    <wp:posOffset>0</wp:posOffset>
                  </wp:positionV>
                  <wp:extent cx="1053465" cy="541655"/>
                  <wp:effectExtent l="0" t="0" r="0" b="0"/>
                  <wp:wrapNone/>
                  <wp:docPr id="421" name="Text_Box_1094_SpCnt_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Text_Box_1094_SpCnt_892"/>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0872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23" name="Text_Box_15_SpCnt_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Text_Box_15_SpCnt_89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88320" behindDoc="0" locked="0" layoutInCell="1" allowOverlap="1">
                  <wp:simplePos x="0" y="0"/>
                  <wp:positionH relativeFrom="column">
                    <wp:posOffset>0</wp:posOffset>
                  </wp:positionH>
                  <wp:positionV relativeFrom="paragraph">
                    <wp:posOffset>0</wp:posOffset>
                  </wp:positionV>
                  <wp:extent cx="1053465" cy="541655"/>
                  <wp:effectExtent l="0" t="0" r="0" b="0"/>
                  <wp:wrapNone/>
                  <wp:docPr id="416" name="Text_Box_18_SpCnt_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Text_Box_18_SpCnt_898"/>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0893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25" name="Text_Box_1094_SpCnt_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Text_Box_1094_SpCnt_89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903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18" name="Text_Box_1094_SpCnt_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Text_Box_1094_SpCnt_89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913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26" name="Text_Box_15_SpCnt_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Text_Box_15_SpCnt_89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924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37" name="Text_Box_15_SpCnt_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Text_Box_15_SpCnt_89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934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27" name="Text_Box_15_SpCnt_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Text_Box_15_SpCnt_89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944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30" name="Text_Box_18_SpCnt_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Text_Box_18_SpCnt_89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954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15" name="Text_Box_17_SpCnt_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Text_Box_17_SpCnt_89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965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43" name="Text_Box_1094_SpCnt_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Text_Box_1094_SpCnt_89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975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17" name="Text_Box_16_SpCnt_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Text_Box_16_SpCnt_89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985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31" name="Text_Box_18_SpCnt_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Text_Box_18_SpCnt_90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0995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42" name="Text_Box_1094_SpCnt_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Text_Box_1094_SpCnt_89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006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19" name="Text_Box_17_SpCnt_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Text_Box_17_SpCnt_89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016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46" name="Text_Box_18_SpCnt_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Text_Box_18_SpCnt_90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026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32" name="Text_Box_16_SpCnt_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Text_Box_16_SpCnt_89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036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20" name="Text_Box_17_SpCnt_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Text_Box_17_SpCnt_89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047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28" name="Text_Box_16_SpCnt_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Text_Box_16_SpCnt_89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057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29" name="Text_Box_17_SpCnt_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Text_Box_17_SpCnt_89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067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33" name="Text_Box_18_SpCnt_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Text_Box_18_SpCnt_90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077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34" name="Text_Box_15_SpCnt_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Text_Box_15_SpCnt_89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088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435" name="Text_Box_16_SpCnt_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Text_Box_16_SpCnt_89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1098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36" name="Text_Box_18_SpCnt_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Text_Box_18_SpCnt_90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108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38" name="Text_Box_17_SpCnt_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Text_Box_17_SpCnt_89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118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40" name="Text_Box_15_SpCnt_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Text_Box_15_SpCnt_89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128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61" name="Text_Box_15_SpCnt_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Text_Box_15_SpCnt_90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139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57" name="Text_Box_17_SpCnt_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Text_Box_17_SpCnt_89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149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58" name="Text_Box_15_SpCnt_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Text_Box_15_SpCnt_90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159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62" name="Text_Box_15_SpCnt_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Text_Box_15_SpCnt_90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169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49" name="Text_Box_18_SpCnt_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Text_Box_18_SpCnt_90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180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59" name="Text_Box_16_SpCnt_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Text_Box_16_SpCnt_89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190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77" name="Text_Box_18_SpCnt_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Text_Box_18_SpCnt_90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200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60" name="Text_Box_16_SpCnt_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Text_Box_16_SpCnt_89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210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56" name="Text_Box_1094_SpCnt_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Text_Box_1094_SpCnt_89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221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72" name="Text_Box_17_SpCnt_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Text_Box_17_SpCnt_89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231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63" name="Text_Box_18_SpCnt_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Text_Box_18_SpCnt_90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241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64" name="Text_Box_16_SpCnt_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Text_Box_16_SpCnt_89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251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74" name="Text_Box_1094_SpCnt_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Text_Box_1094_SpCnt_89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262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67" name="Text_Box_18_SpCnt_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Text_Box_18_SpCnt_90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272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65" name="Text_Box_1094_SpCnt_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Text_Box_1094_SpCnt_89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282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76" name="Text_Box_15_SpCnt_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Text_Box_15_SpCnt_90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292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66" name="Text_Box_1094_SpCnt_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Text_Box_1094_SpCnt_90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303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71" name="Text_Box_18_SpCnt_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Text_Box_18_SpCnt_90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313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68" name="Text_Box_16_SpCnt_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Text_Box_16_SpCnt_89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323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69" name="Text_Box_1094_SpCnt_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Text_Box_1094_SpCnt_90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333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73" name="Text_Box_15_SpCnt_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Text_Box_15_SpCnt_90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344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51" name="Text_Box_1094_SpCnt_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Text_Box_1094_SpCnt_90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354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70" name="Text_Box_17_SpCnt_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Text_Box_17_SpCnt_90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364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47" name="Text_Box_15_SpCnt_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Text_Box_15_SpCnt_90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374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75" name="Text_Box_1094_SpCnt_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Text_Box_1094_SpCnt_90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384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78" name="Text_Box_1094_SpCnt_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Text_Box_1094_SpCnt_90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395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48" name="Text_Box_1094_SpCnt_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Text_Box_1094_SpCnt_90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405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50" name="Text_Box_15_SpCnt_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Text_Box_15_SpCnt_90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415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52" name="Text_Box_18_SpCnt_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Text_Box_18_SpCnt_90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425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53" name="Text_Box_1094_SpCnt_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Text_Box_1094_SpCnt_90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436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54" name="Text_Box_15_SpCnt_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Text_Box_15_SpCnt_90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446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55" name="Text_Box_15_SpCnt_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Text_Box_15_SpCnt_90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456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95" name="Text_Box_17_SpCnt_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Text_Box_17_SpCnt_90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466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79" name="Text_Box_15_SpCnt_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Text_Box_15_SpCnt_90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477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94" name="Text_Box_16_SpCnt_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Text_Box_16_SpCnt_89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487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80" name="Text_Box_15_SpCnt_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Text_Box_15_SpCnt_91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497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93" name="Text_Box_16_SpCnt_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Text_Box_16_SpCnt_89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507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82" name="Text_Box_18_SpCnt_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Text_Box_18_SpCnt_91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518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83" name="Text_Box_17_SpCnt_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Text_Box_17_SpCnt_90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528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88" name="Text_Box_1094_SpCnt_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Text_Box_1094_SpCnt_90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538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86" name="Text_Box_16_SpCnt_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Text_Box_16_SpCnt_90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548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87" name="Text_Box_1094_SpCnt_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Text_Box_1094_SpCnt_90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559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84" name="Text_Box_15_SpCnt_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Text_Box_15_SpCnt_91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569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85" name="Text_Box_1094_SpCnt_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Text_Box_1094_SpCnt_90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579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89" name="Text_Box_18_SpCnt_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Text_Box_18_SpCnt_91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589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81" name="Text_Box_15_SpCnt_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Text_Box_15_SpCnt_91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600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90" name="Text_Box_17_SpCnt_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Text_Box_17_SpCnt_90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610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91" name="Text_Box_16_SpCnt_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Text_Box_16_SpCnt_90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620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92" name="Text_Box_16_SpCnt_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Text_Box_16_SpCnt_90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63072" behindDoc="0" locked="0" layoutInCell="1" allowOverlap="1">
                  <wp:simplePos x="0" y="0"/>
                  <wp:positionH relativeFrom="column">
                    <wp:posOffset>0</wp:posOffset>
                  </wp:positionH>
                  <wp:positionV relativeFrom="paragraph">
                    <wp:posOffset>0</wp:posOffset>
                  </wp:positionV>
                  <wp:extent cx="1053465" cy="541655"/>
                  <wp:effectExtent l="0" t="0" r="0" b="0"/>
                  <wp:wrapNone/>
                  <wp:docPr id="549" name="Text_Box_1094_SpCnt_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Text_Box_1094_SpCnt_910"/>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1640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33" name="Text_Box_15_SpCnt_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Text_Box_15_SpCnt_91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651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30" name="Text_Box_17_SpCnt_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Text_Box_17_SpCnt_90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661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29" name="Text_Box_1094_SpCnt_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Text_Box_1094_SpCnt_91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671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34" name="Text_Box_18_SpCnt_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Text_Box_18_SpCnt_91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681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54" name="Text_Box_15_SpCnt_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Text_Box_15_SpCnt_91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692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40" name="Text_Box_1094_SpCnt_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Text_Box_1094_SpCnt_91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702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37" name="Text_Box_16_SpCnt_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Text_Box_16_SpCnt_90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712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38" name="Text_Box_17_SpCnt_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Text_Box_17_SpCnt_90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722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50" name="Text_Box_16_SpCnt_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Text_Box_16_SpCnt_90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733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35" name="Text_Box_17_SpCnt_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Text_Box_17_SpCnt_90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743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36" name="Text_Box_16_SpCnt_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Text_Box_16_SpCnt_90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753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39" name="Text_Box_18_SpCnt_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Text_Box_18_SpCnt_91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763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52" name="Text_Box_1094_SpCnt_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 name="Text_Box_1094_SpCnt_91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774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43" name="Text_Box_16_SpCnt_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Text_Box_16_SpCnt_90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784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46" name="Text_Box_18_SpCnt_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Text_Box_18_SpCnt_91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794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31" name="Text_Box_15_SpCnt_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Text_Box_15_SpCnt_91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804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41" name="Text_Box_16_SpCnt_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Text_Box_16_SpCnt_90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815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42" name="Text_Box_1094_SpCnt_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Text_Box_1094_SpCnt_91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825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55" name="Text_Box_1094_SpCnt_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Text_Box_1094_SpCnt_91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835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44" name="Text_Box_17_SpCnt_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Text_Box_17_SpCnt_90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845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45" name="Text_Box_1094_SpCnt_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Text_Box_1094_SpCnt_91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856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59" name="Text_Box_15_SpCnt_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Text_Box_15_SpCnt_91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866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32" name="Text_Box_16_SpCnt_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Text_Box_16_SpCnt_90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876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47" name="Text_Box_18_SpCnt_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Text_Box_18_SpCnt_91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886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56" name="Text_Box_17_SpCnt_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Text_Box_17_SpCnt_90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896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48" name="Text_Box_16_SpCnt_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Text_Box_16_SpCnt_90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907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57" name="Text_Box_17_SpCnt_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Text_Box_17_SpCnt_90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917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51" name="Text_Box_18_SpCnt_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Text_Box_18_SpCnt_91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927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53" name="Text_Box_16_SpCnt_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Text_Box_16_SpCnt_91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937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58" name="Text_Box_18_SpCnt_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Text_Box_18_SpCnt_91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948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28" name="Text_Box_1094_SpCnt_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Text_Box_1094_SpCnt_91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958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80" name="Text_Box_15_SpCnt_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Text_Box_15_SpCnt_91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968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86" name="Text_Box_16_SpCnt_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Text_Box_16_SpCnt_91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978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81" name="Text_Box_1094_SpCnt_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Text_Box_1094_SpCnt_91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989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89" name="Text_Box_17_SpCnt_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Text_Box_17_SpCnt_91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1999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88" name="Text_Box_15_SpCnt_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Text_Box_15_SpCnt_91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009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77" name="Text_Box_16_SpCnt_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Text_Box_16_SpCnt_91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019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68" name="Text_Box_16_SpCnt_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 name="Text_Box_16_SpCnt_91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030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60" name="Text_Box_17_SpCnt_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Text_Box_17_SpCnt_91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040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67" name="Text_Box_15_SpCnt_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 name="Text_Box_15_SpCnt_91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050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82" name="Text_Box_16_SpCnt_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Text_Box_16_SpCnt_91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060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63" name="Text_Box_18_SpCnt_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Text_Box_18_SpCnt_91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071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64" name="Text_Box_17_SpCnt_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Text_Box_17_SpCnt_91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081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90" name="Text_Box_18_SpCnt_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Text_Box_18_SpCnt_91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091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65" name="Text_Box_18_SpCnt_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Text_Box_18_SpCnt_92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101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72" name="Text_Box_1094_SpCnt_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Text_Box_1094_SpCnt_91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112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78" name="Text_Box_16_SpCnt_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Text_Box_16_SpCnt_91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122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84" name="Text_Box_17_SpCnt_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Text_Box_17_SpCnt_91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132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91" name="Text_Box_17_SpCnt_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Text_Box_17_SpCnt_91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142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66" name="Text_Box_16_SpCnt_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 name="Text_Box_16_SpCnt_91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152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61" name="Text_Box_17_SpCnt_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 name="Text_Box_17_SpCnt_91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163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62" name="Text_Box_17_SpCnt_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 name="Text_Box_17_SpCnt_91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173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69" name="Text_Box_15_SpCnt_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 name="Text_Box_15_SpCnt_92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183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79" name="Text_Box_17_SpCnt_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Text_Box_17_SpCnt_91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193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83" name="Text_Box_18_SpCnt_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Text_Box_18_SpCnt_92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20416" behindDoc="0" locked="0" layoutInCell="1" allowOverlap="1">
                  <wp:simplePos x="0" y="0"/>
                  <wp:positionH relativeFrom="column">
                    <wp:posOffset>0</wp:posOffset>
                  </wp:positionH>
                  <wp:positionV relativeFrom="paragraph">
                    <wp:posOffset>0</wp:posOffset>
                  </wp:positionV>
                  <wp:extent cx="1053465" cy="541655"/>
                  <wp:effectExtent l="0" t="0" r="0" b="0"/>
                  <wp:wrapNone/>
                  <wp:docPr id="585" name="Text_Box_18_SpCnt_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Text_Box_18_SpCnt_922"/>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2214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74" name="Text_Box_16_SpCnt_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Text_Box_16_SpCnt_91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22464" behindDoc="0" locked="0" layoutInCell="1" allowOverlap="1">
                  <wp:simplePos x="0" y="0"/>
                  <wp:positionH relativeFrom="column">
                    <wp:posOffset>0</wp:posOffset>
                  </wp:positionH>
                  <wp:positionV relativeFrom="paragraph">
                    <wp:posOffset>0</wp:posOffset>
                  </wp:positionV>
                  <wp:extent cx="1053465" cy="541655"/>
                  <wp:effectExtent l="0" t="0" r="0" b="0"/>
                  <wp:wrapNone/>
                  <wp:docPr id="570" name="Text_Box_15_SpCnt_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Text_Box_15_SpCnt_921"/>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2234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71" name="Text_Box_15_SpCnt_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 name="Text_Box_15_SpCnt_92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245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87" name="Text_Box_15_SpCnt_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Text_Box_15_SpCnt_92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255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73" name="Text_Box_15_SpCnt_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Text_Box_15_SpCnt_92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265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75" name="Text_Box_1094_SpCnt_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Text_Box_1094_SpCnt_92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275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76" name="Text_Box_16_SpCnt_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Text_Box_16_SpCnt_91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286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23" name="Text_Box_17_SpCnt_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Text_Box_17_SpCnt_91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29632" behindDoc="0" locked="0" layoutInCell="1" allowOverlap="1">
                  <wp:simplePos x="0" y="0"/>
                  <wp:positionH relativeFrom="column">
                    <wp:posOffset>0</wp:posOffset>
                  </wp:positionH>
                  <wp:positionV relativeFrom="paragraph">
                    <wp:posOffset>0</wp:posOffset>
                  </wp:positionV>
                  <wp:extent cx="1053465" cy="541655"/>
                  <wp:effectExtent l="0" t="0" r="0" b="0"/>
                  <wp:wrapNone/>
                  <wp:docPr id="596" name="Text_Box_16_SpCnt_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 name="Text_Box_16_SpCnt_919"/>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2306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20" name="Text_Box_17_SpCnt_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 name="Text_Box_17_SpCnt_91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316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04" name="Text_Box_15_SpCnt_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Text_Box_15_SpCnt_92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327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95" name="Text_Box_18_SpCnt_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 name="Text_Box_18_SpCnt_92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337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05" name="Text_Box_18_SpCnt_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Text_Box_18_SpCnt_92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347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98" name="Text_Box_16_SpCnt_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 name="Text_Box_16_SpCnt_92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35776" behindDoc="0" locked="0" layoutInCell="1" allowOverlap="1">
                  <wp:simplePos x="0" y="0"/>
                  <wp:positionH relativeFrom="column">
                    <wp:posOffset>0</wp:posOffset>
                  </wp:positionH>
                  <wp:positionV relativeFrom="paragraph">
                    <wp:posOffset>0</wp:posOffset>
                  </wp:positionV>
                  <wp:extent cx="1053465" cy="541655"/>
                  <wp:effectExtent l="0" t="0" r="0" b="0"/>
                  <wp:wrapNone/>
                  <wp:docPr id="597" name="Text_Box_16_SpCnt_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Text_Box_16_SpCnt_921"/>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2368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08" name="Text_Box_18_SpCnt_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Text_Box_18_SpCnt_92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378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16" name="Text_Box_17_SpCnt_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 name="Text_Box_17_SpCnt_92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388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22" name="Text_Box_18_SpCnt_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 name="Text_Box_18_SpCnt_92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398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06" name="Text_Box_17_SpCnt_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Text_Box_17_SpCnt_92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408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07" name="Text_Box_1094_SpCnt_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Text_Box_1094_SpCnt_92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419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99" name="Text_Box_15_SpCnt_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Text_Box_15_SpCnt_92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429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00" name="Text_Box_15_SpCnt_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Text_Box_15_SpCnt_92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439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01" name="Text_Box_15_SpCnt_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Text_Box_15_SpCnt_92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449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02" name="Text_Box_17_SpCnt_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Text_Box_17_SpCnt_92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460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19" name="Text_Box_1094_SpCnt_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 name="Text_Box_1094_SpCnt_92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470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09" name="Text_Box_1094_SpCnt_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Text_Box_1094_SpCnt_92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480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03" name="Text_Box_1094_SpCnt_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Text_Box_1094_SpCnt_92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490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10" name="Text_Box_15_SpCnt_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Text_Box_15_SpCnt_92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501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14" name="Text_Box_18_SpCnt_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 name="Text_Box_18_SpCnt_92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511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15" name="Text_Box_17_SpCnt_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Text_Box_17_SpCnt_92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521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11" name="Text_Box_17_SpCnt_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Text_Box_17_SpCnt_92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531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92" name="Text_Box_17_SpCnt_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Text_Box_17_SpCnt_92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542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12" name="Text_Box_16_SpCnt_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Text_Box_16_SpCnt_92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552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17" name="Text_Box_17_SpCnt_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Text_Box_17_SpCnt_92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562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13" name="Text_Box_15_SpCnt_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Text_Box_15_SpCnt_93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572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18" name="Text_Box_15_SpCnt_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Text_Box_15_SpCnt_93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583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21" name="Text_Box_1094_SpCnt_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Text_Box_1094_SpCnt_92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593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93" name="Text_Box_15_SpCnt_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Text_Box_15_SpCnt_93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603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94" name="Text_Box_1094_SpCnt_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Text_Box_1094_SpCnt_92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613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40" name="Text_Box_15_SpCnt_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 name="Text_Box_15_SpCnt_93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624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35" name="Text_Box_18_SpCnt_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 name="Text_Box_18_SpCnt_92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634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46" name="Text_Box_1094_SpCnt_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 name="Text_Box_1094_SpCnt_92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644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36" name="Text_Box_18_SpCnt_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 name="Text_Box_18_SpCnt_92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654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54" name="Text_Box_1094_SpCnt_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 name="Text_Box_1094_SpCnt_92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664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43" name="Text_Box_18_SpCnt_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 name="Text_Box_18_SpCnt_93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675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52" name="Text_Box_1094_SpCnt_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 name="Text_Box_1094_SpCnt_92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685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38" name="Text_Box_18_SpCnt_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Text_Box_18_SpCnt_93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695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41" name="Text_Box_18_SpCnt_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 name="Text_Box_18_SpCnt_93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705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37" name="Text_Box_1094_SpCnt_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 name="Text_Box_1094_SpCnt_93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716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24" name="Text_Box_16_SpCnt_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 name="Text_Box_16_SpCnt_92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726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39" name="Text_Box_16_SpCnt_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 name="Text_Box_16_SpCnt_92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736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42" name="Text_Box_1094_SpCnt_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 name="Text_Box_1094_SpCnt_93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746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53" name="Text_Box_17_SpCnt_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Text_Box_17_SpCnt_92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757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28" name="Text_Box_18_SpCnt_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Text_Box_18_SpCnt_93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767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44" name="Text_Box_16_SpCnt_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 name="Text_Box_16_SpCnt_92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777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25" name="Text_Box_15_SpCnt_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 name="Text_Box_15_SpCnt_93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787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48" name="Text_Box_16_SpCnt_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 name="Text_Box_16_SpCnt_92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798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33" name="Text_Box_17_SpCnt_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Text_Box_17_SpCnt_92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808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45" name="Text_Box_18_SpCnt_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Text_Box_18_SpCnt_93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818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647" name="Text_Box_17_SpCnt_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Text_Box_17_SpCnt_92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2828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31" name="Text_Box_1094_SpCnt_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 name="Text_Box_1094_SpCnt_93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839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49" name="Text_Box_1094_SpCnt_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 name="Text_Box_1094_SpCnt_93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849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50" name="Text_Box_18_SpCnt_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 name="Text_Box_18_SpCnt_93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859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26" name="Text_Box_17_SpCnt_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 name="Text_Box_17_SpCnt_93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869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55" name="Text_Box_18_SpCnt_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Text_Box_18_SpCnt_93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880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29" name="Text_Box_17_SpCnt_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Text_Box_17_SpCnt_93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890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51" name="Text_Box_17_SpCnt_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 name="Text_Box_17_SpCnt_93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900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27" name="Text_Box_17_SpCnt_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 name="Text_Box_17_SpCnt_93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910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30" name="Text_Box_1094_SpCnt_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 name="Text_Box_1094_SpCnt_93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920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32" name="Text_Box_1094_SpCnt_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 name="Text_Box_1094_SpCnt_93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931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34" name="Text_Box_1094_SpCnt_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 name="Text_Box_1094_SpCnt_93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941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57" name="Text_Box_18_SpCnt_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 name="Text_Box_18_SpCnt_93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951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56" name="Text_Box_15_SpCnt_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 name="Text_Box_15_SpCnt_93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961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58" name="Text_Box_1094_SpCnt_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 name="Text_Box_1094_SpCnt_93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972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07" name="Text_Box_1094_SpCnt_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Text_Box_1094_SpCnt_93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982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10" name="Text_Box_17_SpCnt_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Text_Box_17_SpCnt_93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2992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98" name="Text_Box_18_SpCnt_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Text_Box_18_SpCnt_93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002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09" name="Text_Box_18_SpCnt_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Text_Box_18_SpCnt_93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013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99" name="Text_Box_16_SpCnt_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Text_Box_16_SpCnt_92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023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15" name="Text_Box_18_SpCnt_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Text_Box_18_SpCnt_94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033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23" name="Text_Box_16_SpCnt_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Text_Box_16_SpCnt_92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043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02" name="Text_Box_17_SpCnt_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Text_Box_17_SpCnt_93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054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20" name="Text_Box_16_SpCnt_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Text_Box_16_SpCnt_92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064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27" name="Text_Box_15_SpCnt_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Text_Box_15_SpCnt_93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074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24" name="Text_Box_1094_SpCnt_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Text_Box_1094_SpCnt_93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084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08" name="Text_Box_15_SpCnt_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Text_Box_15_SpCnt_93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095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25" name="Text_Box_1094_SpCnt_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Text_Box_1094_SpCnt_94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105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97" name="Text_Box_1094_SpCnt_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Text_Box_1094_SpCnt_94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115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00" name="Text_Box_18_SpCnt_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Text_Box_18_SpCnt_94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125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16" name="Text_Box_15_SpCnt_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Text_Box_15_SpCnt_93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136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01" name="Text_Box_15_SpCnt_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Text_Box_15_SpCnt_93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146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05" name="Text_Box_16_SpCnt_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Text_Box_16_SpCnt_93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156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03" name="Text_Box_17_SpCnt_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Text_Box_17_SpCnt_93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166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11" name="Text_Box_18_SpCnt_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Text_Box_18_SpCnt_94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176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496" name="Text_Box_15_SpCnt_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Text_Box_15_SpCnt_94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187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21" name="Text_Box_1094_SpCnt_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Text_Box_1094_SpCnt_94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197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06" name="Text_Box_17_SpCnt_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Text_Box_17_SpCnt_93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207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04" name="Text_Box_15_SpCnt_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Text_Box_15_SpCnt_94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217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17" name="Text_Box_16_SpCnt_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Text_Box_16_SpCnt_93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228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12" name="Text_Box_18_SpCnt_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Text_Box_18_SpCnt_94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238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13" name="Text_Box_15_SpCnt_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Text_Box_15_SpCnt_94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248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14" name="Text_Box_1094_SpCnt_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Text_Box_1094_SpCnt_94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258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18" name="Text_Box_17_SpCnt_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Text_Box_17_SpCnt_93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269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19" name="Text_Box_17_SpCnt_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Text_Box_17_SpCnt_93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279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22" name="Text_Box_15_SpCnt_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Text_Box_15_SpCnt_94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289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526" name="Text_Box_1094_SpCnt_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Text_Box_1094_SpCnt_94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299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75" name="Text_Box_1094_SpCnt_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Text_Box_1094_SpCnt_94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310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60" name="Text_Box_17_SpCnt_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 name="Text_Box_17_SpCnt_94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320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86" name="Text_Box_18_SpCnt_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 name="Text_Box_18_SpCnt_94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330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61" name="Text_Box_15_SpCnt_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 name="Text_Box_15_SpCnt_94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340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79" name="Text_Box_18_SpCnt_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Text_Box_18_SpCnt_94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35104" behindDoc="0" locked="0" layoutInCell="1" allowOverlap="1">
                  <wp:simplePos x="0" y="0"/>
                  <wp:positionH relativeFrom="column">
                    <wp:posOffset>0</wp:posOffset>
                  </wp:positionH>
                  <wp:positionV relativeFrom="paragraph">
                    <wp:posOffset>0</wp:posOffset>
                  </wp:positionV>
                  <wp:extent cx="1053465" cy="541655"/>
                  <wp:effectExtent l="0" t="0" r="0" b="0"/>
                  <wp:wrapNone/>
                  <wp:docPr id="687" name="Text_Box_17_SpCnt_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Text_Box_17_SpCnt_941"/>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3361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66" name="Text_Box_15_SpCnt_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 name="Text_Box_15_SpCnt_94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371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62" name="Text_Box_16_SpCnt_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Text_Box_16_SpCnt_93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381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69" name="Text_Box_15_SpCnt_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 name="Text_Box_15_SpCnt_94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39200" behindDoc="0" locked="0" layoutInCell="1" allowOverlap="1">
                  <wp:simplePos x="0" y="0"/>
                  <wp:positionH relativeFrom="column">
                    <wp:posOffset>0</wp:posOffset>
                  </wp:positionH>
                  <wp:positionV relativeFrom="paragraph">
                    <wp:posOffset>0</wp:posOffset>
                  </wp:positionV>
                  <wp:extent cx="1053465" cy="541655"/>
                  <wp:effectExtent l="0" t="0" r="0" b="0"/>
                  <wp:wrapNone/>
                  <wp:docPr id="688" name="Text_Box_18_SpCnt_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 name="Text_Box_18_SpCnt_946"/>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3402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89" name="Text_Box_16_SpCnt_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Text_Box_16_SpCnt_93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412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63" name="Text_Box_17_SpCnt_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Text_Box_17_SpCnt_94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422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71" name="Text_Box_1094_SpCnt_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 name="Text_Box_1094_SpCnt_94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432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74" name="Text_Box_18_SpCnt_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 name="Text_Box_18_SpCnt_94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443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67" name="Text_Box_16_SpCnt_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 name="Text_Box_16_SpCnt_93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453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77" name="Text_Box_16_SpCnt_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Text_Box_16_SpCnt_93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463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68" name="Text_Box_18_SpCnt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 name="Text_Box_18_SpCnt_94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473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81" name="Text_Box_18_SpCnt_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Text_Box_18_SpCnt_94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484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76" name="Text_Box_15_SpCnt_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 name="Text_Box_15_SpCnt_94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494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65" name="Text_Box_17_SpCnt_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 name="Text_Box_17_SpCnt_94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504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70" name="Text_Box_16_SpCnt_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 name="Text_Box_16_SpCnt_93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514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78" name="Text_Box_15_SpCnt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 name="Text_Box_15_SpCnt_94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525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83" name="Text_Box_1094_SpCnt_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Text_Box_1094_SpCnt_94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535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80" name="Text_Box_17_SpCnt_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Text_Box_17_SpCnt_94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545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82" name="Text_Box_16_SpCnt_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Text_Box_16_SpCnt_93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555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84" name="Text_Box_1094_SpCnt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Text_Box_1094_SpCnt_94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566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72" name="Text_Box_17_SpCnt_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 name="Text_Box_17_SpCnt_94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576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64" name="Text_Box_1094_SpCnt_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Text_Box_1094_SpCnt_94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586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73" name="Text_Box_1094_SpCnt_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Text_Box_1094_SpCnt_95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596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90" name="Text_Box_17_SpCnt_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Text_Box_17_SpCnt_94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607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59" name="Text_Box_17_SpCnt_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Text_Box_17_SpCnt_94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617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85" name="Text_Box_18_SpCnt_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Text_Box_18_SpCnt_95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627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18" name="Text_Box_15_SpCnt_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Text_Box_15_SpCnt_94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637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19" name="Text_Box_16_SpCnt_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Text_Box_16_SpCnt_93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648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15" name="Text_Box_17_SpCnt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 name="Text_Box_17_SpCnt_94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658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06" name="Text_Box_18_SpCnt_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Text_Box_18_SpCnt_95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668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05" name="Text_Box_1094_SpCnt_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Text_Box_1094_SpCnt_95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678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17" name="Text_Box_15_SpCnt_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 name="Text_Box_15_SpCnt_95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688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93" name="Text_Box_18_SpCnt_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Text_Box_18_SpCnt_95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699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14" name="Text_Box_15_SpCnt_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 name="Text_Box_15_SpCnt_95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709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91" name="Text_Box_17_SpCnt_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Text_Box_17_SpCnt_94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719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21" name="Text_Box_16_SpCnt_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Text_Box_16_SpCnt_93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729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97" name="Text_Box_16_SpCnt_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Text_Box_16_SpCnt_94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740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99" name="Text_Box_17_SpCnt_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 name="Text_Box_17_SpCnt_95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750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92" name="Text_Box_16_SpCnt_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Text_Box_16_SpCnt_94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760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16" name="Text_Box_15_SpCnt_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Text_Box_15_SpCnt_95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770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98" name="Text_Box_18_SpCnt_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Text_Box_18_SpCnt_95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781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20" name="Text_Box_18_SpCnt_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Text_Box_18_SpCnt_95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791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94" name="Text_Box_18_SpCnt_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Text_Box_18_SpCnt_95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801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95" name="Text_Box_1094_SpCnt_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Text_Box_1094_SpCnt_95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811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22" name="Text_Box_1094_SpCnt_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Text_Box_1094_SpCnt_95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822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696" name="Text_Box_17_SpCnt_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Text_Box_17_SpCnt_95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832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03" name="Text_Box_15_SpCnt_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Text_Box_15_SpCnt_95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842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00" name="Text_Box_16_SpCnt_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Text_Box_16_SpCnt_94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852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09" name="Text_Box_1094_SpCnt_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Text_Box_1094_SpCnt_95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863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01" name="Text_Box_15_SpCnt_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Text_Box_15_SpCnt_95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873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02" name="Text_Box_1094_SpCnt_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Text_Box_1094_SpCnt_95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883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04" name="Text_Box_17_SpCnt_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Text_Box_17_SpCnt_95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893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07" name="Text_Box_17_SpCnt_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Text_Box_17_SpCnt_95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904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08" name="Text_Box_17_SpCnt_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Text_Box_17_SpCnt_95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914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10" name="Text_Box_18_SpCnt_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Text_Box_18_SpCnt_95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924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11" name="Text_Box_16_SpCnt_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 name="Text_Box_16_SpCnt_94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934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12" name="Text_Box_18_SpCnt_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 name="Text_Box_18_SpCnt_95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944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13" name="Text_Box_1094_SpCnt_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Text_Box_1094_SpCnt_95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955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40" name="Text_Box_18_SpCnt_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 name="Text_Box_18_SpCnt_95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965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33" name="Text_Box_17_SpCnt_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Text_Box_17_SpCnt_95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975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26" name="Text_Box_16_SpCnt_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Text_Box_16_SpCnt_94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985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48" name="Text_Box_15_SpCnt_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 name="Text_Box_15_SpCnt_95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3996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44" name="Text_Box_17_SpCnt_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 name="Text_Box_17_SpCnt_95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006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34" name="Text_Box_16_SpCnt_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Text_Box_16_SpCnt_94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016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30" name="Text_Box_18_SpCnt_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Text_Box_18_SpCnt_95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026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25" name="Text_Box_17_SpCnt_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Text_Box_17_SpCnt_95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037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47" name="Text_Box_15_SpCnt_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 name="Text_Box_15_SpCnt_95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047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27" name="Text_Box_17_SpCnt_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Text_Box_17_SpCnt_95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057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53" name="Text_Box_17_SpCnt_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 name="Text_Box_17_SpCnt_95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067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39" name="Text_Box_16_SpCnt_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 name="Text_Box_16_SpCnt_94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078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42" name="Text_Box_15_SpCnt_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Text_Box_15_SpCnt_95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088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41" name="Text_Box_16_SpCnt_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 name="Text_Box_16_SpCnt_94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098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32" name="Text_Box_16_SpCnt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Text_Box_16_SpCnt_94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108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45" name="Text_Box_15_SpCnt_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 name="Text_Box_15_SpCnt_95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119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28" name="Text_Box_1094_SpCnt_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Text_Box_1094_SpCnt_95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129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50" name="Text_Box_18_SpCnt_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 name="Text_Box_18_SpCnt_96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139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35" name="Text_Box_16_SpCnt_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 name="Text_Box_16_SpCnt_94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149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43" name="Text_Box_17_SpCnt_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 name="Text_Box_17_SpCnt_96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160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29" name="Text_Box_16_SpCnt_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Text_Box_16_SpCnt_95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170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54" name="Text_Box_16_SpCnt_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 name="Text_Box_16_SpCnt_95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180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51" name="Text_Box_1094_SpCnt_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 name="Text_Box_1094_SpCnt_95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190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749" name="Text_Box_18_SpCnt_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 name="Text_Box_18_SpCnt_96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4200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31" name="Text_Box_15_SpCnt_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Text_Box_15_SpCnt_95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211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23" name="Text_Box_17_SpCnt_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Text_Box_17_SpCnt_96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221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36" name="Text_Box_18_SpCnt_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 name="Text_Box_18_SpCnt_96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231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52" name="Text_Box_18_SpCnt_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 name="Text_Box_18_SpCnt_96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241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724" name="Text_Box_1094_SpCnt_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Text_Box_1094_SpCnt_95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4252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46" name="Text_Box_16_SpCnt_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 name="Text_Box_16_SpCnt_95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262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37" name="Text_Box_15_SpCnt_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 name="Text_Box_15_SpCnt_96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272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38" name="Text_Box_18_SpCnt_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 name="Text_Box_18_SpCnt_96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282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83" name="Text_Box_17_SpCnt_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 name="Text_Box_17_SpCnt_96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293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64" name="Text_Box_16_SpCnt_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 name="Text_Box_16_SpCnt_95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303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74" name="Text_Box_16_SpCnt_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 name="Text_Box_16_SpCnt_95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313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67" name="Text_Box_18_SpCnt_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 name="Text_Box_18_SpCnt_96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323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75" name="Text_Box_15_SpCnt_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 name="Text_Box_15_SpCnt_96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334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61" name="Text_Box_18_SpCnt_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 name="Text_Box_18_SpCnt_96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344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66" name="Text_Box_1094_SpCnt_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 name="Text_Box_1094_SpCnt_96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354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56" name="Text_Box_17_SpCnt_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 name="Text_Box_17_SpCnt_96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364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82" name="Text_Box_16_SpCnt_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 name="Text_Box_16_SpCnt_95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375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73" name="Text_Box_15_SpCnt_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 name="Text_Box_15_SpCnt_96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385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76" name="Text_Box_16_SpCnt_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 name="Text_Box_16_SpCnt_95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395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77" name="Text_Box_1094_SpCnt_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 name="Text_Box_1094_SpCnt_96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40576" behindDoc="0" locked="0" layoutInCell="1" allowOverlap="1">
                  <wp:simplePos x="0" y="0"/>
                  <wp:positionH relativeFrom="column">
                    <wp:posOffset>0</wp:posOffset>
                  </wp:positionH>
                  <wp:positionV relativeFrom="paragraph">
                    <wp:posOffset>0</wp:posOffset>
                  </wp:positionV>
                  <wp:extent cx="1053465" cy="541655"/>
                  <wp:effectExtent l="0" t="0" r="0" b="0"/>
                  <wp:wrapNone/>
                  <wp:docPr id="768" name="Text_Box_15_SpCnt_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 name="Text_Box_15_SpCnt_963"/>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441600" behindDoc="0" locked="0" layoutInCell="1" allowOverlap="1">
                  <wp:simplePos x="0" y="0"/>
                  <wp:positionH relativeFrom="column">
                    <wp:posOffset>0</wp:posOffset>
                  </wp:positionH>
                  <wp:positionV relativeFrom="paragraph">
                    <wp:posOffset>0</wp:posOffset>
                  </wp:positionV>
                  <wp:extent cx="1053465" cy="541655"/>
                  <wp:effectExtent l="0" t="0" r="0" b="0"/>
                  <wp:wrapNone/>
                  <wp:docPr id="786" name="Text_Box_17_SpCnt_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 name="Text_Box_17_SpCnt_964"/>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4426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59" name="Text_Box_16_SpCnt_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 name="Text_Box_16_SpCnt_95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436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84" name="Text_Box_17_SpCnt_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 name="Text_Box_17_SpCnt_96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446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69" name="Text_Box_18_SpCnt_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 name="Text_Box_18_SpCnt_96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456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770" name="Text_Box_18_SpCnt_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 name="Text_Box_18_SpCnt_96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4467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78" name="Text_Box_16_SpCnt_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 name="Text_Box_16_SpCnt_95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477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79" name="Text_Box_1094_SpCnt_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 name="Text_Box_1094_SpCnt_96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487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81" name="Text_Box_1094_SpCnt_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 name="Text_Box_1094_SpCnt_96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497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62" name="Text_Box_15_SpCnt_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 name="Text_Box_15_SpCnt_96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508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85" name="Text_Box_1094_SpCnt_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 name="Text_Box_1094_SpCnt_96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518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55" name="Text_Box_17_SpCnt_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 name="Text_Box_17_SpCnt_96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528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65" name="Text_Box_15_SpCnt_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 name="Text_Box_15_SpCnt_96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538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60" name="Text_Box_15_SpCnt_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 name="Text_Box_15_SpCnt_96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549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80" name="Text_Box_1094_SpCnt_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 name="Text_Box_1094_SpCnt_96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559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57" name="Text_Box_16_SpCnt_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 name="Text_Box_16_SpCnt_95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569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58" name="Text_Box_17_SpCnt_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 name="Text_Box_17_SpCnt_96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579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63" name="Text_Box_1094_SpCnt_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 name="Text_Box_1094_SpCnt_96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590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71" name="Text_Box_15_SpCnt_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 name="Text_Box_15_SpCnt_96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600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72" name="Text_Box_15_SpCnt_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 name="Text_Box_15_SpCnt_96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610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14" name="Text_Box_16_SpCnt_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Text_Box_16_SpCnt_96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620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88" name="Text_Box_1094_SpCnt_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 name="Text_Box_1094_SpCnt_96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631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07" name="Text_Box_18_SpCnt_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 name="Text_Box_18_SpCnt_96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641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18" name="Text_Box_1094_SpCnt_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 name="Text_Box_1094_SpCnt_96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651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17" name="Text_Box_1094_SpCnt_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Text_Box_1094_SpCnt_96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661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87" name="Text_Box_18_SpCnt_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 name="Text_Box_18_SpCnt_97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672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93" name="Text_Box_16_SpCnt_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 name="Text_Box_16_SpCnt_96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682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08" name="Text_Box_1094_SpCnt_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 name="Text_Box_1094_SpCnt_97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692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00" name="Text_Box_17_SpCnt_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 name="Text_Box_17_SpCnt_96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702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11" name="Text_Box_18_SpCnt_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 name="Text_Box_18_SpCnt_97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712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97" name="Text_Box_18_SpCnt_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 name="Text_Box_18_SpCnt_97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723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95" name="Text_Box_15_SpCnt_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 name="Text_Box_15_SpCnt_96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733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96" name="Text_Box_16_SpCnt_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 name="Text_Box_16_SpCnt_96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743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90" name="Text_Box_16_SpCnt_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 name="Text_Box_16_SpCnt_96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753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89" name="Text_Box_15_SpCnt_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 name="Text_Box_15_SpCnt_97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764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91" name="Text_Box_17_SpCnt_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 name="Text_Box_17_SpCnt_96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774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92" name="Text_Box_1094_SpCnt_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 name="Text_Box_1094_SpCnt_97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784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12" name="Text_Box_18_SpCnt_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 name="Text_Box_18_SpCnt_97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794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94" name="Text_Box_1094_SpCnt_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 name="Text_Box_1094_SpCnt_97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805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98" name="Text_Box_15_SpCnt_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 name="Text_Box_15_SpCnt_97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815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799" name="Text_Box_16_SpCnt_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 name="Text_Box_16_SpCnt_96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825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01" name="Text_Box_17_SpCnt_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Text_Box_17_SpCnt_97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835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02" name="Text_Box_16_SpCnt_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Text_Box_16_SpCnt_96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846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03" name="Text_Box_17_SpCnt_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Text_Box_17_SpCnt_97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856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04" name="Text_Box_17_SpCnt_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 name="Text_Box_17_SpCnt_97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866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05" name="Text_Box_17_SpCnt_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 name="Text_Box_17_SpCnt_97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876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06" name="Text_Box_15_SpCnt_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 name="Text_Box_15_SpCnt_97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887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09" name="Text_Box_18_SpCnt_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 name="Text_Box_18_SpCnt_97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897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10" name="Text_Box_15_SpCnt_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 name="Text_Box_15_SpCnt_97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907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13" name="Text_Box_16_SpCnt_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Text_Box_16_SpCnt_96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917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15" name="Text_Box_17_SpCnt_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Text_Box_17_SpCnt_97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928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16" name="Text_Box_1094_SpCnt_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Text_Box_1094_SpCnt_97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938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20" name="Text_Box_18_SpCnt_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 name="Text_Box_18_SpCnt_97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948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21" name="Text_Box_18_SpCnt_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 name="Text_Box_18_SpCnt_97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958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19" name="Text_Box_16_SpCnt_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 name="Text_Box_16_SpCnt_96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968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13" name="Text_Box_17_SpCnt_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Text_Box_17_SpCnt_97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979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97" name="Text_Box_17_SpCnt_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 name="Text_Box_17_SpCnt_97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989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93" name="Text_Box_15_SpCnt_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 name="Text_Box_15_SpCnt_97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4999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88" name="Text_Box_1094_SpCnt_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 name="Text_Box_1094_SpCnt_97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009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89" name="Text_Box_17_SpCnt_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 name="Text_Box_17_SpCnt_97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020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14" name="Text_Box_18_SpCnt_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Text_Box_18_SpCnt_97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030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98" name="Text_Box_18_SpCnt_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 name="Text_Box_18_SpCnt_97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040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03" name="Text_Box_17_SpCnt_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Text_Box_17_SpCnt_97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050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00" name="Text_Box_1094_SpCnt_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Text_Box_1094_SpCnt_97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061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07" name="Text_Box_15_SpCnt_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Text_Box_15_SpCnt_97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071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02" name="Text_Box_17_SpCnt_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Text_Box_17_SpCnt_97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081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99" name="Text_Box_16_SpCnt_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 name="Text_Box_16_SpCnt_96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091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09" name="Text_Box_1094_SpCnt_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Text_Box_1094_SpCnt_97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102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86" name="Text_Box_15_SpCnt_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 name="Text_Box_15_SpCnt_97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112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17" name="Text_Box_1094_SpCnt_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Text_Box_1094_SpCnt_97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122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04" name="Text_Box_15_SpCnt_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Text_Box_15_SpCnt_97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132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01" name="Text_Box_17_SpCnt_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Text_Box_17_SpCnt_98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143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90" name="Text_Box_1094_SpCnt_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 name="Text_Box_1094_SpCnt_97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153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15" name="Text_Box_18_SpCnt_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Text_Box_18_SpCnt_97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163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87" name="Text_Box_16_SpCnt_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 name="Text_Box_16_SpCnt_96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173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16" name="Text_Box_1094_SpCnt_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Text_Box_1094_SpCnt_97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184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05" name="Text_Box_15_SpCnt_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Text_Box_15_SpCnt_97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194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91" name="Text_Box_1094_SpCnt_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 name="Text_Box_1094_SpCnt_98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204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06" name="Text_Box_1094_SpCnt_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Text_Box_1094_SpCnt_98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214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92" name="Text_Box_18_SpCnt_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 name="Text_Box_18_SpCnt_98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224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08" name="Text_Box_17_SpCnt_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Text_Box_17_SpCnt_98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235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10" name="Text_Box_1094_SpCnt_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Text_Box_1094_SpCnt_98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245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11" name="Text_Box_17_SpCnt_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Text_Box_17_SpCnt_98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255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94" name="Text_Box_1094_SpCnt_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 name="Text_Box_1094_SpCnt_98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265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12" name="Text_Box_17_SpCnt_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Text_Box_17_SpCnt_98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276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95" name="Text_Box_16_SpCnt_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 name="Text_Box_16_SpCnt_97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286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96" name="Text_Box_17_SpCnt_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 name="Text_Box_17_SpCnt_98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296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25" name="Text_Box_15_SpCnt_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Text_Box_15_SpCnt_97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306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19" name="Text_Box_15_SpCnt_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Text_Box_15_SpCnt_98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317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43" name="Text_Box_17_SpCnt_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Text_Box_17_SpCnt_98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327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49" name="Text_Box_17_SpCnt_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 name="Text_Box_17_SpCnt_98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337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20" name="Text_Box_1094_SpCnt_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Text_Box_1094_SpCnt_98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347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42" name="Text_Box_15_SpCnt_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 name="Text_Box_15_SpCnt_98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358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45" name="Text_Box_16_SpCnt_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 name="Text_Box_16_SpCnt_97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368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22" name="Text_Box_17_SpCnt_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Text_Box_17_SpCnt_98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378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44" name="Text_Box_18_SpCnt_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 name="Text_Box_18_SpCnt_98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388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28" name="Text_Box_18_SpCnt_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 name="Text_Box_18_SpCnt_98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399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32" name="Text_Box_18_SpCnt_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Text_Box_18_SpCnt_98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409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46" name="Text_Box_16_SpCnt_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 name="Text_Box_16_SpCnt_97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419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48" name="Text_Box_16_SpCnt_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 name="Text_Box_16_SpCnt_97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429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30" name="Text_Box_16_SpCnt_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Text_Box_16_SpCnt_97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440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26" name="Text_Box_1094_SpCnt_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Text_Box_1094_SpCnt_98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450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27" name="Text_Box_16_SpCnt_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Text_Box_16_SpCnt_97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460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29" name="Text_Box_15_SpCnt_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Text_Box_15_SpCnt_98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470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31" name="Text_Box_18_SpCnt_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Text_Box_18_SpCnt_98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480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33" name="Text_Box_16_SpCnt_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Text_Box_16_SpCnt_97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491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47" name="Text_Box_1094_SpCnt_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 name="Text_Box_1094_SpCnt_98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501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23" name="Text_Box_15_SpCnt_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Text_Box_15_SpCnt_98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511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18" name="Text_Box_18_SpCnt_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Text_Box_18_SpCnt_98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521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34" name="Text_Box_1094_SpCnt_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Text_Box_1094_SpCnt_98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532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21" name="Text_Box_18_SpCnt_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Text_Box_18_SpCnt_98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542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24" name="Text_Box_16_SpCnt_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Text_Box_16_SpCnt_97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552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35" name="Text_Box_16_SpCnt_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Text_Box_16_SpCnt_97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562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36" name="Text_Box_16_SpCnt_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Text_Box_16_SpCnt_97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573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40" name="Text_Box_1094_SpCnt_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Text_Box_1094_SpCnt_98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583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37" name="Text_Box_17_SpCnt_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Text_Box_17_SpCnt_98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593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38" name="Text_Box_18_SpCnt_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Text_Box_18_SpCnt_98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603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39" name="Text_Box_15_SpCnt_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 name="Text_Box_15_SpCnt_98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614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41" name="Text_Box_16_SpCnt_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 name="Text_Box_16_SpCnt_98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624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69" name="Text_Box_1094_SpCnt_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 name="Text_Box_1094_SpCnt_98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634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73" name="Text_Box_17_SpCnt_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Text_Box_17_SpCnt_98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644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67" name="Text_Box_18_SpCnt_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 name="Text_Box_18_SpCnt_98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6550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951" name="Text_Box_18_SpCnt_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Text_Box_18_SpCnt_98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5665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59" name="Text_Box_16_SpCnt_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Text_Box_16_SpCnt_98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67552" behindDoc="0" locked="0" layoutInCell="1" allowOverlap="1">
                  <wp:simplePos x="0" y="0"/>
                  <wp:positionH relativeFrom="column">
                    <wp:posOffset>0</wp:posOffset>
                  </wp:positionH>
                  <wp:positionV relativeFrom="paragraph">
                    <wp:posOffset>0</wp:posOffset>
                  </wp:positionV>
                  <wp:extent cx="1053465" cy="541655"/>
                  <wp:effectExtent l="0" t="0" r="0" b="0"/>
                  <wp:wrapNone/>
                  <wp:docPr id="957" name="Text_Box_1094_SpCnt_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 name="Text_Box_1094_SpCnt_990"/>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5685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58" name="Text_Box_18_SpCnt_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 name="Text_Box_18_SpCnt_99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696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52" name="Text_Box_15_SpCnt_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Text_Box_15_SpCnt_98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706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74" name="Text_Box_17_SpCnt_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 name="Text_Box_17_SpCnt_99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716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80" name="Text_Box_18_SpCnt_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 name="Text_Box_18_SpCnt_99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726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62" name="Text_Box_1094_SpCnt_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Text_Box_1094_SpCnt_99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7369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956" name="Text_Box_17_SpCnt_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Text_Box_17_SpCnt_99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5747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76" name="Text_Box_16_SpCnt_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 name="Text_Box_16_SpCnt_98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757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54" name="Text_Box_18_SpCnt_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Text_Box_18_SpCnt_99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767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79" name="Text_Box_15_SpCnt_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Text_Box_15_SpCnt_98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777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81" name="Text_Box_18_SpCnt_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 name="Text_Box_18_SpCnt_99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788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50" name="Text_Box_15_SpCnt_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Text_Box_15_SpCnt_98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798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60" name="Text_Box_17_SpCnt_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Text_Box_17_SpCnt_99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808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68" name="Text_Box_16_SpCnt_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 name="Text_Box_16_SpCnt_98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818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78" name="Text_Box_18_SpCnt_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 name="Text_Box_18_SpCnt_99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829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55" name="Text_Box_15_SpCnt_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Text_Box_15_SpCnt_98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839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53" name="Text_Box_1094_SpCnt_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Text_Box_1094_SpCnt_99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849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61" name="Text_Box_16_SpCnt_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Text_Box_16_SpCnt_98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859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64" name="Text_Box_17_SpCnt_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Text_Box_17_SpCnt_99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870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70" name="Text_Box_16_SpCnt_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Text_Box_16_SpCnt_98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880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72" name="Text_Box_16_SpCnt_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Text_Box_16_SpCnt_98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890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63" name="Text_Box_15_SpCnt_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Text_Box_15_SpCnt_98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900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965" name="Text_Box_15_SpCnt_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 name="Text_Box_15_SpCnt_99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5911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77" name="Text_Box_18_SpCnt_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Text_Box_18_SpCnt_99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921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66" name="Text_Box_15_SpCnt_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 name="Text_Box_15_SpCnt_99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931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71" name="Text_Box_17_SpCnt_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Text_Box_17_SpCnt_99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941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75" name="Text_Box_16_SpCnt_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 name="Text_Box_16_SpCnt_98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952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82" name="Text_Box_15_SpCnt_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 name="Text_Box_15_SpCnt_99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962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83" name="Text_Box_18_SpCnt_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 name="Text_Box_18_SpCnt_99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972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984" name="Text_Box_1094_SpCnt_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 name="Text_Box_1094_SpCnt_99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982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26" name="Text_Box_18_SpCnt_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 name="Text_Box_18_SpCnt_99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5992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50" name="Text_Box_15_SpCnt_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 name="Text_Box_15_SpCnt_99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003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27" name="Text_Box_16_SpCnt_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 name="Text_Box_16_SpCnt_98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013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43" name="Text_Box_15_SpCnt_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Text_Box_15_SpCnt_99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023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47" name="Text_Box_17_SpCnt_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 name="Text_Box_17_SpCnt_99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033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28" name="Text_Box_15_SpCnt_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 name="Text_Box_15_SpCnt_99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044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51" name="Text_Box_16_SpCnt_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 name="Text_Box_16_SpCnt_98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054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52" name="Text_Box_16_SpCnt_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 name="Text_Box_16_SpCnt_99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064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53" name="Text_Box_18_SpCnt_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 name="Text_Box_18_SpCnt_99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074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31" name="Text_Box_15_SpCnt_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 name="Text_Box_15_SpCnt_99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085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34" name="Text_Box_1094_SpCnt_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 name="Text_Box_1094_SpCnt_99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095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25" name="Text_Box_16_SpCnt_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 name="Text_Box_16_SpCnt_99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105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39" name="Text_Box_16_SpCnt_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 name="Text_Box_16_SpCnt_99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115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32" name="Text_Box_16_SpCnt_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 name="Text_Box_16_SpCnt_99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126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44" name="Text_Box_15_SpCnt_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 name="Text_Box_15_SpCnt_99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136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45" name="Text_Box_16_SpCnt_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 name="Text_Box_16_SpCnt_99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146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35" name="Text_Box_17_SpCnt_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 name="Text_Box_17_SpCnt_99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156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36" name="Text_Box_17_SpCnt_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 name="Text_Box_17_SpCnt_99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167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29" name="Text_Box_17_SpCnt_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 name="Text_Box_17_SpCnt_99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177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30" name="Text_Box_15_SpCnt_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 name="Text_Box_15_SpCnt_99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187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40" name="Text_Box_16_SpCnt_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 name="Text_Box_16_SpCnt_99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197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33" name="Text_Box_18_SpCnt_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 name="Text_Box_18_SpCnt_99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208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41" name="Text_Box_15_SpCnt_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 name="Text_Box_15_SpCnt_99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218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46" name="Text_Box_17_SpCnt_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 name="Text_Box_17_SpCnt_99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2284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37" name="Text_Box_1094_SpCnt_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 name="Text_Box_1094_SpCnt_99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238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22" name="Text_Box_16_SpCnt_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 name="Text_Box_16_SpCnt_99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248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38" name="Text_Box_16_SpCnt_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 name="Text_Box_16_SpCnt_99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259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23" name="Text_Box_16_SpCnt_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 name="Text_Box_16_SpCnt_99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269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24" name="Text_Box_16_SpCnt_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 name="Text_Box_16_SpCnt_99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279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42" name="Text_Box_15_SpCnt_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 name="Text_Box_15_SpCnt_100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289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48" name="Text_Box_15_SpCnt_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 name="Text_Box_15_SpCnt_100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30016" behindDoc="0" locked="0" layoutInCell="1" allowOverlap="1">
                  <wp:simplePos x="0" y="0"/>
                  <wp:positionH relativeFrom="column">
                    <wp:posOffset>0</wp:posOffset>
                  </wp:positionH>
                  <wp:positionV relativeFrom="paragraph">
                    <wp:posOffset>0</wp:posOffset>
                  </wp:positionV>
                  <wp:extent cx="1053465" cy="541655"/>
                  <wp:effectExtent l="0" t="0" r="0" b="0"/>
                  <wp:wrapNone/>
                  <wp:docPr id="849" name="Text_Box_16_SpCnt_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 name="Text_Box_16_SpCnt_1000"/>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6310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68" name="Text_Box_17_SpCnt_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 name="Text_Box_17_SpCnt_100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320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73" name="Text_Box_18_SpCnt_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 name="Text_Box_18_SpCnt_1000"/>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330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66" name="Text_Box_1094_SpCnt_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 name="Text_Box_1094_SpCnt_99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341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69" name="Text_Box_18_SpCnt_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 name="Text_Box_18_SpCnt_100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351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84" name="Text_Box_1094_SpCnt_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 name="Text_Box_1094_SpCnt_99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361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61" name="Text_Box_18_SpCnt_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 name="Text_Box_18_SpCnt_100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371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55" name="Text_Box_15_SpCnt_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 name="Text_Box_15_SpCnt_100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382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56" name="Text_Box_17_SpCnt_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 name="Text_Box_17_SpCnt_100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392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78" name="Text_Box_17_SpCnt_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 name="Text_Box_17_SpCnt_100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402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85" name="Text_Box_18_SpCnt_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 name="Text_Box_18_SpCnt_100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412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71" name="Text_Box_1094_SpCnt_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 name="Text_Box_1094_SpCnt_99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4230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74" name="Text_Box_18_SpCnt_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 name="Text_Box_18_SpCnt_100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433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62" name="Text_Box_1094_SpCnt_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 name="Text_Box_1094_SpCnt_99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443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81" name="Text_Box_1094_SpCnt_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 name="Text_Box_1094_SpCnt_100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453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67" name="Text_Box_16_SpCnt_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 name="Text_Box_16_SpCnt_100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464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63" name="Text_Box_17_SpCnt_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 name="Text_Box_17_SpCnt_100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474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60" name="Text_Box_16_SpCnt_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 name="Text_Box_16_SpCnt_100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484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59" name="Text_Box_15_SpCnt_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 name="Text_Box_15_SpCnt_100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494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64" name="Text_Box_16_SpCnt_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 name="Text_Box_16_SpCnt_100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504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65" name="Text_Box_17_SpCnt_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 name="Text_Box_17_SpCnt_100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515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79" name="Text_Box_18_SpCnt_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 name="Text_Box_18_SpCnt_100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52544" behindDoc="0" locked="0" layoutInCell="1" allowOverlap="1">
                  <wp:simplePos x="0" y="0"/>
                  <wp:positionH relativeFrom="column">
                    <wp:posOffset>0</wp:posOffset>
                  </wp:positionH>
                  <wp:positionV relativeFrom="paragraph">
                    <wp:posOffset>0</wp:posOffset>
                  </wp:positionV>
                  <wp:extent cx="1053465" cy="541655"/>
                  <wp:effectExtent l="0" t="0" r="0" b="0"/>
                  <wp:wrapNone/>
                  <wp:docPr id="870" name="Text_Box_18_SpCnt_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 name="Text_Box_18_SpCnt_1006"/>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6535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75" name="Text_Box_1094_SpCnt_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 name="Text_Box_1094_SpCnt_100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5459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77" name="Text_Box_18_SpCnt_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 name="Text_Box_18_SpCnt_100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5561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72" name="Text_Box_18_SpCnt_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 name="Text_Box_18_SpCnt_100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566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880" name="Text_Box_15_SpCnt_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Text_Box_15_SpCnt_100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576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54" name="Text_Box_1094_SpCnt_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 name="Text_Box_1094_SpCnt_1002"/>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5868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76" name="Text_Box_16_SpCnt_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 name="Text_Box_16_SpCnt_100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5971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57" name="Text_Box_17_SpCnt_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 name="Text_Box_17_SpCnt_100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6073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82" name="Text_Box_1094_SpCnt_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 name="Text_Box_1094_SpCnt_1003"/>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61760" behindDoc="0" locked="0" layoutInCell="1" allowOverlap="1">
                  <wp:simplePos x="0" y="0"/>
                  <wp:positionH relativeFrom="column">
                    <wp:posOffset>0</wp:posOffset>
                  </wp:positionH>
                  <wp:positionV relativeFrom="paragraph">
                    <wp:posOffset>0</wp:posOffset>
                  </wp:positionV>
                  <wp:extent cx="1053465" cy="541655"/>
                  <wp:effectExtent l="0" t="0" r="0" b="0"/>
                  <wp:wrapNone/>
                  <wp:docPr id="883" name="Text_Box_18_SpCnt_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 name="Text_Box_18_SpCnt_1009"/>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66278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858" name="Text_Box_16_SpCnt_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 name="Text_Box_16_SpCnt_100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638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30" name="Text_Box_17_SpCnt_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Text_Box_17_SpCnt_100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6483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32" name="Text_Box_16_SpCnt_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Text_Box_16_SpCnt_100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6585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20" name="Text_Box_15_SpCnt_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Text_Box_15_SpCnt_100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668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39" name="Text_Box_1094_SpCnt_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Text_Box_1094_SpCnt_100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67904" behindDoc="0" locked="0" layoutInCell="1" allowOverlap="1">
                  <wp:simplePos x="0" y="0"/>
                  <wp:positionH relativeFrom="column">
                    <wp:posOffset>0</wp:posOffset>
                  </wp:positionH>
                  <wp:positionV relativeFrom="paragraph">
                    <wp:posOffset>0</wp:posOffset>
                  </wp:positionV>
                  <wp:extent cx="1053465" cy="541655"/>
                  <wp:effectExtent l="0" t="0" r="0" b="0"/>
                  <wp:wrapNone/>
                  <wp:docPr id="1044" name="Text_Box_1094_SpCnt_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Text_Box_1094_SpCnt_1005"/>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66892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25" name="Text_Box_15_SpCnt_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Text_Box_15_SpCnt_100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699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47" name="Text_Box_17_SpCnt_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Text_Box_17_SpCnt_100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7097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43" name="Text_Box_16_SpCnt_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Text_Box_16_SpCnt_100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720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26" name="Text_Box_18_SpCnt_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Text_Box_18_SpCnt_101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7302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18" name="Text_Box_18_SpCnt_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Text_Box_18_SpCnt_101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740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27" name="Text_Box_1094_SpCnt_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Text_Box_1094_SpCnt_100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750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33" name="Text_Box_1094_SpCnt_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Text_Box_1094_SpCnt_100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760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19" name="Text_Box_17_SpCnt_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Text_Box_17_SpCnt_100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771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41" name="Text_Box_1094_SpCnt_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Text_Box_1094_SpCnt_100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781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42" name="Text_Box_16_SpCnt_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Text_Box_16_SpCnt_100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791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28" name="Text_Box_18_SpCnt_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Text_Box_18_SpCnt_101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80192" behindDoc="0" locked="0" layoutInCell="1" allowOverlap="1">
                  <wp:simplePos x="0" y="0"/>
                  <wp:positionH relativeFrom="column">
                    <wp:posOffset>0</wp:posOffset>
                  </wp:positionH>
                  <wp:positionV relativeFrom="paragraph">
                    <wp:posOffset>0</wp:posOffset>
                  </wp:positionV>
                  <wp:extent cx="1053465" cy="541655"/>
                  <wp:effectExtent l="0" t="0" r="0" b="0"/>
                  <wp:wrapNone/>
                  <wp:docPr id="1023" name="Text_Box_1094_SpCnt_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Text_Box_1094_SpCnt_1009"/>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6812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21" name="Text_Box_1094_SpCnt_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Text_Box_1094_SpCnt_101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822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34" name="Text_Box_15_SpCnt_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Text_Box_15_SpCnt_100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8326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22" name="Text_Box_15_SpCnt_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Text_Box_15_SpCnt_100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842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24" name="Text_Box_1094_SpCnt_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Text_Box_1094_SpCnt_101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8531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40" name="Text_Box_16_SpCnt_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Text_Box_16_SpCnt_100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863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29" name="Text_Box_1094_SpCnt_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Text_Box_1094_SpCnt_101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873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17" name="Text_Box_18_SpCnt_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Text_Box_18_SpCnt_101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883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31" name="Text_Box_17_SpCnt_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Text_Box_17_SpCnt_100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8940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45" name="Text_Box_1094_SpCnt_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Text_Box_1094_SpCnt_101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904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35" name="Text_Box_18_SpCnt_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Text_Box_18_SpCnt_101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914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36" name="Text_Box_17_SpCnt_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Text_Box_17_SpCnt_101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9248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37" name="Text_Box_16_SpCnt_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Text_Box_16_SpCnt_101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9350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38" name="Text_Box_17_SpCnt_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Text_Box_17_SpCnt_101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6945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48" name="Text_Box_15_SpCnt_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Text_Box_15_SpCnt_1009"/>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9555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46" name="Text_Box_1094_SpCnt_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Text_Box_1094_SpCnt_101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9657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76" name="Text_Box_1094_SpCnt_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Text_Box_1094_SpCnt_101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9760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57" name="Text_Box_18_SpCnt_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Text_Box_18_SpCnt_101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986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80" name="Text_Box_1094_SpCnt_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Text_Box_1094_SpCnt_101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69964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50" name="Text_Box_18_SpCnt_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Text_Box_18_SpCnt_101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0067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70" name="Text_Box_17_SpCnt_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Text_Box_17_SpCnt_101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016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72" name="Text_Box_15_SpCnt_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Text_Box_15_SpCnt_1010"/>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0272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54" name="Text_Box_15_SpCnt_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Text_Box_15_SpCnt_1011"/>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0374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73" name="Text_Box_17_SpCnt_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Text_Box_17_SpCnt_101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0476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52" name="Text_Box_18_SpCnt_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Text_Box_18_SpCnt_101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057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63" name="Text_Box_16_SpCnt_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Text_Box_16_SpCnt_1011"/>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70681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58" name="Text_Box_17_SpCnt_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Text_Box_17_SpCnt_101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70784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53" name="Text_Box_18_SpCnt_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Text_Box_18_SpCnt_101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0886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78" name="Text_Box_15_SpCnt_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Text_Box_15_SpCnt_101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0988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69" name="Text_Box_17_SpCnt_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Text_Box_17_SpCnt_101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10912" behindDoc="0" locked="0" layoutInCell="1" allowOverlap="1">
                  <wp:simplePos x="0" y="0"/>
                  <wp:positionH relativeFrom="column">
                    <wp:posOffset>0</wp:posOffset>
                  </wp:positionH>
                  <wp:positionV relativeFrom="paragraph">
                    <wp:posOffset>0</wp:posOffset>
                  </wp:positionV>
                  <wp:extent cx="1053465" cy="541655"/>
                  <wp:effectExtent l="0" t="0" r="0" b="0"/>
                  <wp:wrapNone/>
                  <wp:docPr id="1074" name="Text_Box_1094_SpCnt_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Text_Box_1094_SpCnt_1017"/>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71193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55" name="Text_Box_15_SpCnt_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Text_Box_15_SpCnt_101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12960"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75" name="Text_Box_16_SpCnt_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Text_Box_16_SpCnt_1012"/>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1398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56" name="Text_Box_16_SpCnt_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 name="Text_Box_16_SpCnt_1013"/>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15008" behindDoc="0" locked="0" layoutInCell="1" allowOverlap="1">
                  <wp:simplePos x="0" y="0"/>
                  <wp:positionH relativeFrom="column">
                    <wp:posOffset>0</wp:posOffset>
                  </wp:positionH>
                  <wp:positionV relativeFrom="paragraph">
                    <wp:posOffset>0</wp:posOffset>
                  </wp:positionV>
                  <wp:extent cx="1053465" cy="541655"/>
                  <wp:effectExtent l="0" t="0" r="0" b="0"/>
                  <wp:wrapNone/>
                  <wp:docPr id="1066" name="Text_Box_18_SpCnt_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Text_Box_18_SpCnt_1019"/>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716032"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64" name="Text_Box_15_SpCnt_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Text_Box_15_SpCnt_1014"/>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1705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51" name="Text_Box_17_SpCnt_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Text_Box_17_SpCnt_101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1808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59" name="Text_Box_16_SpCnt_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Text_Box_16_SpCnt_1014"/>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71910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60" name="Text_Box_16_SpCnt_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Text_Box_16_SpCnt_1015"/>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20128"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62" name="Text_Box_1094_SpCnt_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Text_Box_1094_SpCnt_101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2115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65" name="Text_Box_15_SpCnt_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Text_Box_15_SpCnt_1015"/>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722176"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77" name="Text_Box_16_SpCnt_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Text_Box_16_SpCnt_1016"/>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72320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61" name="Text_Box_1094_SpCnt_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Text_Box_1094_SpCnt_101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724224"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79" name="Text_Box_17_SpCnt_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Text_Box_17_SpCnt_1017"/>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2524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49" name="Text_Box_16_SpCnt_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Text_Box_16_SpCnt_101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72627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67" name="Text_Box_17_SpCnt_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Text_Box_17_SpCnt_101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72729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68" name="Text_Box_15_SpCnt_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Text_Box_15_SpCnt_1016"/>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28320"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71" name="Text_Box_15_SpCnt_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Text_Box_15_SpCnt_1017"/>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729344"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110" name="Text_Box_17_SpCnt_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 name="Text_Box_17_SpCnt_101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730368"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83" name="Text_Box_16_SpCnt_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 name="Text_Box_16_SpCnt_1018"/>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731392" behindDoc="0" locked="0" layoutInCell="1" allowOverlap="1">
                  <wp:simplePos x="0" y="0"/>
                  <wp:positionH relativeFrom="column">
                    <wp:posOffset>0</wp:posOffset>
                  </wp:positionH>
                  <wp:positionV relativeFrom="paragraph">
                    <wp:posOffset>0</wp:posOffset>
                  </wp:positionV>
                  <wp:extent cx="1053465" cy="537210"/>
                  <wp:effectExtent l="0" t="0" r="0" b="0"/>
                  <wp:wrapNone/>
                  <wp:docPr id="1093" name="Text_Box_16_SpCnt_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Text_Box_16_SpCnt_1019"/>
                          <pic:cNvPicPr>
                            <a:picLocks noChangeAspect="1"/>
                          </pic:cNvPicPr>
                        </pic:nvPicPr>
                        <pic:blipFill>
                          <a:blip r:embed="rId8"/>
                          <a:stretch>
                            <a:fillRect/>
                          </a:stretch>
                        </pic:blipFill>
                        <pic:spPr>
                          <a:xfrm>
                            <a:off x="0" y="0"/>
                            <a:ext cx="1053465" cy="537210"/>
                          </a:xfrm>
                          <a:prstGeom prst="rect">
                            <a:avLst/>
                          </a:prstGeom>
                          <a:noFill/>
                          <a:ln>
                            <a:noFill/>
                          </a:ln>
                        </pic:spPr>
                      </pic:pic>
                    </a:graphicData>
                  </a:graphic>
                </wp:anchor>
              </w:drawing>
            </w:r>
            <w:r>
              <w:drawing>
                <wp:anchor distT="0" distB="0" distL="114300" distR="114300" simplePos="0" relativeHeight="252732416" behindDoc="0" locked="0" layoutInCell="1" allowOverlap="1">
                  <wp:simplePos x="0" y="0"/>
                  <wp:positionH relativeFrom="column">
                    <wp:posOffset>0</wp:posOffset>
                  </wp:positionH>
                  <wp:positionV relativeFrom="paragraph">
                    <wp:posOffset>0</wp:posOffset>
                  </wp:positionV>
                  <wp:extent cx="1053465" cy="532765"/>
                  <wp:effectExtent l="0" t="0" r="0" b="0"/>
                  <wp:wrapNone/>
                  <wp:docPr id="1081" name="Text_Box_15_SpCnt_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Text_Box_15_SpCnt_1018"/>
                          <pic:cNvPicPr>
                            <a:picLocks noChangeAspect="1"/>
                          </pic:cNvPicPr>
                        </pic:nvPicPr>
                        <pic:blipFill>
                          <a:blip r:embed="rId8"/>
                          <a:stretch>
                            <a:fillRect/>
                          </a:stretch>
                        </pic:blipFill>
                        <pic:spPr>
                          <a:xfrm>
                            <a:off x="0" y="0"/>
                            <a:ext cx="1053465" cy="532765"/>
                          </a:xfrm>
                          <a:prstGeom prst="rect">
                            <a:avLst/>
                          </a:prstGeom>
                          <a:noFill/>
                          <a:ln>
                            <a:noFill/>
                          </a:ln>
                        </pic:spPr>
                      </pic:pic>
                    </a:graphicData>
                  </a:graphic>
                </wp:anchor>
              </w:drawing>
            </w:r>
            <w:r>
              <w:drawing>
                <wp:anchor distT="0" distB="0" distL="114300" distR="114300" simplePos="0" relativeHeight="252733440" behindDoc="0" locked="0" layoutInCell="1" allowOverlap="1">
                  <wp:simplePos x="0" y="0"/>
                  <wp:positionH relativeFrom="column">
                    <wp:posOffset>0</wp:posOffset>
                  </wp:positionH>
                  <wp:positionV relativeFrom="paragraph">
                    <wp:posOffset>0</wp:posOffset>
                  </wp:positionV>
                  <wp:extent cx="1053465" cy="541655"/>
                  <wp:effectExtent l="0" t="0" r="0" b="0"/>
                  <wp:wrapNone/>
                  <wp:docPr id="1091" name="Text_Box_15_SpCnt_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 name="Text_Box_15_SpCnt_1019"/>
                          <pic:cNvPicPr>
                            <a:picLocks noChangeAspect="1"/>
                          </pic:cNvPicPr>
                        </pic:nvPicPr>
                        <pic:blipFill>
                          <a:blip r:embed="rId8"/>
                          <a:stretch>
                            <a:fillRect/>
                          </a:stretch>
                        </pic:blipFill>
                        <pic:spPr>
                          <a:xfrm>
                            <a:off x="0" y="0"/>
                            <a:ext cx="1053465" cy="541655"/>
                          </a:xfrm>
                          <a:prstGeom prst="rect">
                            <a:avLst/>
                          </a:prstGeom>
                          <a:noFill/>
                          <a:ln>
                            <a:noFill/>
                          </a:ln>
                        </pic:spPr>
                      </pic:pic>
                    </a:graphicData>
                  </a:graphic>
                </wp:anchor>
              </w:drawing>
            </w:r>
            <w:r>
              <w:drawing>
                <wp:anchor distT="0" distB="0" distL="114300" distR="114300" simplePos="0" relativeHeight="2527344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11" name="Text_Box_16_SpCnt_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 name="Text_Box_16_SpCnt_102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354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08" name="Text_Box_15_SpCnt_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 name="Text_Box_15_SpCnt_102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365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82" name="Text_Box_16_SpCnt_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 name="Text_Box_16_SpCnt_102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375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86" name="Text_Box_1094_SpCnt_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 name="Text_Box_1094_SpCnt_102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385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84" name="Text_Box_15_SpCnt_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 name="Text_Box_15_SpCnt_102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395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98" name="Text_Box_18_SpCnt_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 name="Text_Box_18_SpCnt_102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406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95" name="Text_Box_18_SpCnt_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 name="Text_Box_18_SpCnt_102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416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00" name="Text_Box_15_SpCnt_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 name="Text_Box_15_SpCnt_102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426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01" name="Text_Box_17_SpCnt_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 name="Text_Box_17_SpCnt_102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436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89" name="Text_Box_15_SpCnt_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 name="Text_Box_15_SpCnt_102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447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02" name="Text_Box_1094_SpCnt_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 name="Text_Box_1094_SpCnt_102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457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92" name="Text_Box_16_SpCnt_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Text_Box_16_SpCnt_102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467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85" name="Text_Box_17_SpCnt_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 name="Text_Box_17_SpCnt_102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477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09" name="Text_Box_1094_SpCnt_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 name="Text_Box_1094_SpCnt_102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488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94" name="Text_Box_18_SpCnt_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Text_Box_18_SpCnt_102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498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12" name="Text_Box_17_SpCnt_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 name="Text_Box_17_SpCnt_102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508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99" name="Text_Box_17_SpCnt_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 name="Text_Box_17_SpCnt_102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518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96" name="Text_Box_17_SpCnt_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Text_Box_17_SpCnt_102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528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97" name="Text_Box_17_SpCnt_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Text_Box_17_SpCnt_102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539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90" name="Text_Box_17_SpCnt_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 name="Text_Box_17_SpCnt_102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549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88" name="Text_Box_17_SpCnt_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 name="Text_Box_17_SpCnt_102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559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87" name="Text_Box_17_SpCnt_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 name="Text_Box_17_SpCnt_102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569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03" name="Text_Box_15_SpCnt_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 name="Text_Box_15_SpCnt_102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580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04" name="Text_Box_18_SpCnt_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 name="Text_Box_18_SpCnt_102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590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05" name="Text_Box_18_SpCnt_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 name="Text_Box_18_SpCnt_102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600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06" name="Text_Box_15_SpCnt_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 name="Text_Box_15_SpCnt_102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610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07" name="Text_Box_16_SpCnt_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 name="Text_Box_16_SpCnt_102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621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44" name="Text_Box_18_SpCnt_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 name="Text_Box_18_SpCnt_102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631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27" name="Text_Box_1094_SpCnt_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 name="Text_Box_1094_SpCnt_102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641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22" name="Text_Box_1094_SpCnt_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 name="Text_Box_1094_SpCnt_102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651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39" name="Text_Box_17_SpCnt_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 name="Text_Box_17_SpCnt_102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662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25" name="Text_Box_16_SpCnt_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 name="Text_Box_16_SpCnt_102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672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28" name="Text_Box_17_SpCnt_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 name="Text_Box_17_SpCnt_103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682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18" name="Text_Box_16_SpCnt_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 name="Text_Box_16_SpCnt_102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692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30" name="Text_Box_16_SpCnt_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 name="Text_Box_16_SpCnt_102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703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32" name="Text_Box_15_SpCnt_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 name="Text_Box_15_SpCnt_102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713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23" name="Text_Box_18_SpCnt_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 name="Text_Box_18_SpCnt_102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723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19" name="Text_Box_1094_SpCnt_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 name="Text_Box_1094_SpCnt_102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733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20" name="Text_Box_17_SpCnt_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 name="Text_Box_17_SpCnt_103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744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43" name="Text_Box_16_SpCnt_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 name="Text_Box_16_SpCnt_102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754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33" name="Text_Box_16_SpCnt_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 name="Text_Box_16_SpCnt_102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764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21" name="Text_Box_17_SpCnt_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 name="Text_Box_17_SpCnt_103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774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13" name="Text_Box_1094_SpCnt_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 name="Text_Box_1094_SpCnt_102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784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24" name="Text_Box_17_SpCnt_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 name="Text_Box_17_SpCnt_103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795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26" name="Text_Box_1094_SpCnt_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 name="Text_Box_1094_SpCnt_102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805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29" name="Text_Box_18_SpCnt_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 name="Text_Box_18_SpCnt_102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815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16" name="Text_Box_1094_SpCnt_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Text_Box_1094_SpCnt_102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825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14" name="Text_Box_17_SpCnt_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 name="Text_Box_17_SpCnt_103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836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31" name="Text_Box_15_SpCnt_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 name="Text_Box_15_SpCnt_102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846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38" name="Text_Box_16_SpCnt_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 name="Text_Box_16_SpCnt_102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856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34" name="Text_Box_17_SpCnt_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 name="Text_Box_17_SpCnt_103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866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35" name="Text_Box_16_SpCnt_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 name="Text_Box_16_SpCnt_103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877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36" name="Text_Box_15_SpCnt_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 name="Text_Box_15_SpCnt_102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887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37" name="Text_Box_1094_SpCnt_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 name="Text_Box_1094_SpCnt_102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897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15" name="Text_Box_15_SpCnt_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 name="Text_Box_15_SpCnt_102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907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40" name="Text_Box_16_SpCnt_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 name="Text_Box_16_SpCnt_103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918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41" name="Text_Box_18_SpCnt_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 name="Text_Box_18_SpCnt_102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928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42" name="Text_Box_18_SpCnt_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 name="Text_Box_18_SpCnt_102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938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17" name="Text_Box_15_SpCnt_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 name="Text_Box_15_SpCnt_103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948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46" name="Text_Box_17_SpCnt_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 name="Text_Box_17_SpCnt_103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959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47" name="Text_Box_17_SpCnt_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 name="Text_Box_17_SpCnt_103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969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45" name="Text_Box_15_SpCnt_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 name="Text_Box_15_SpCnt_103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979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87" name="Text_Box_15_SpCnt_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 name="Text_Box_15_SpCnt_103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7989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04" name="Text_Box_18_SpCnt_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Text_Box_18_SpCnt_103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000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00" name="Text_Box_15_SpCnt_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Text_Box_15_SpCnt_103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010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85" name="Text_Box_18_SpCnt_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 name="Text_Box_18_SpCnt_103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020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09" name="Text_Box_17_SpCnt_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Text_Box_17_SpCnt_103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030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97" name="Text_Box_16_SpCnt_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 name="Text_Box_16_SpCnt_103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040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96" name="Text_Box_16_SpCnt_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 name="Text_Box_16_SpCnt_103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051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10" name="Text_Box_1094_SpCnt_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Text_Box_1094_SpCnt_103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061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16" name="Text_Box_16_SpCnt_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Text_Box_16_SpCnt_103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071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13" name="Text_Box_15_SpCnt_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Text_Box_15_SpCnt_103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081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95" name="Text_Box_17_SpCnt_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 name="Text_Box_17_SpCnt_103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092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98" name="Text_Box_17_SpCnt_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 name="Text_Box_17_SpCnt_104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102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99" name="Text_Box_18_SpCnt_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Text_Box_18_SpCnt_103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112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01" name="Text_Box_1094_SpCnt_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ext_Box_1094_SpCnt_103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122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02" name="Text_Box_17_SpCnt_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Text_Box_17_SpCnt_104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133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11" name="Text_Box_18_SpCnt_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Text_Box_18_SpCnt_103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143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03" name="Text_Box_1094_SpCnt_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Text_Box_1094_SpCnt_103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153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12" name="Text_Box_18_SpCnt_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Text_Box_18_SpCnt_103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163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88" name="Text_Box_1094_SpCnt_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 name="Text_Box_1094_SpCnt_103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174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89" name="Text_Box_16_SpCnt_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 name="Text_Box_16_SpCnt_103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184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92" name="Text_Box_18_SpCnt_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 name="Text_Box_18_SpCnt_103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194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05" name="Text_Box_15_SpCnt_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Text_Box_15_SpCnt_103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204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94" name="Text_Box_15_SpCnt_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 name="Text_Box_15_SpCnt_103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215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90" name="Text_Box_18_SpCnt_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 name="Text_Box_18_SpCnt_103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225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86" name="Text_Box_15_SpCnt_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 name="Text_Box_15_SpCnt_103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235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14" name="Text_Box_15_SpCnt_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Text_Box_15_SpCnt_103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245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91" name="Text_Box_17_SpCnt_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 name="Text_Box_17_SpCnt_104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256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993" name="Text_Box_1094_SpCnt_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 name="Text_Box_1094_SpCnt_103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266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06" name="Text_Box_16_SpCnt_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Text_Box_16_SpCnt_103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276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07" name="Text_Box_18_SpCnt_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Text_Box_18_SpCnt_103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286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15" name="Text_Box_16_SpCnt_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Text_Box_16_SpCnt_103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296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008" name="Text_Box_15_SpCnt_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Text_Box_15_SpCnt_103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307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07" name="Text_Box_15_SpCnt_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 name="Text_Box_15_SpCnt_104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317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98" name="Text_Box_1094_SpCnt_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 name="Text_Box_1094_SpCnt_103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327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00" name="Text_Box_15_SpCnt_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 name="Text_Box_15_SpCnt_104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337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97" name="Text_Box_15_SpCnt_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 name="Text_Box_15_SpCnt_104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348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86" name="Text_Box_1094_SpCnt_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 name="Text_Box_1094_SpCnt_103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358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99" name="Text_Box_15_SpCnt_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Text_Box_15_SpCnt_104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368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01" name="Text_Box_16_SpCnt_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 name="Text_Box_16_SpCnt_103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378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95" name="Text_Box_17_SpCnt_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 name="Text_Box_17_SpCnt_104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389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92" name="Text_Box_16_SpCnt_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 name="Text_Box_16_SpCnt_103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399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93" name="Text_Box_1094_SpCnt_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 name="Text_Box_1094_SpCnt_103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409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89" name="Text_Box_15_SpCnt_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 name="Text_Box_15_SpCnt_104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419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94" name="Text_Box_17_SpCnt_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 name="Text_Box_17_SpCnt_104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430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82" name="Text_Box_16_SpCnt_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 name="Text_Box_16_SpCnt_104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440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02" name="Text_Box_18_SpCnt_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Text_Box_18_SpCnt_103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450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96" name="Text_Box_18_SpCnt_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Text_Box_18_SpCnt_103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460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03" name="Text_Box_16_SpCnt_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 name="Text_Box_16_SpCnt_104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471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05" name="Text_Box_17_SpCnt_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 name="Text_Box_17_SpCnt_104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481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04" name="Text_Box_15_SpCnt_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 name="Text_Box_15_SpCnt_104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491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91" name="Text_Box_18_SpCnt_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 name="Text_Box_18_SpCnt_104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501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81" name="Text_Box_18_SpCnt_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 name="Text_Box_18_SpCnt_104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512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06" name="Text_Box_18_SpCnt_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Text_Box_18_SpCnt_104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522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08" name="Text_Box_15_SpCnt_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 name="Text_Box_15_SpCnt_104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532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09" name="Text_Box_1094_SpCnt_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 name="Text_Box_1094_SpCnt_103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542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10" name="Text_Box_1094_SpCnt_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Text_Box_1094_SpCnt_103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552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11" name="Text_Box_1094_SpCnt_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Text_Box_1094_SpCnt_104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563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90" name="Text_Box_15_SpCnt_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 name="Text_Box_15_SpCnt_104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573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80" name="Text_Box_17_SpCnt_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 name="Text_Box_17_SpCnt_104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583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83" name="Text_Box_15_SpCnt_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 name="Text_Box_15_SpCnt_104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593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84" name="Text_Box_17_SpCnt_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 name="Text_Box_17_SpCnt_104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604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85" name="Text_Box_18_SpCnt_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 name="Text_Box_18_SpCnt_104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614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87" name="Text_Box_15_SpCnt_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 name="Text_Box_15_SpCnt_104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624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88" name="Text_Box_15_SpCnt_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 name="Text_Box_15_SpCnt_105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634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18" name="Text_Box_18_SpCnt_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 name="Text_Box_18_SpCnt_104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645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27" name="Text_Box_16_SpCnt_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Text_Box_16_SpCnt_104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655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12" name="Text_Box_1094_SpCnt_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 name="Text_Box_1094_SpCnt_104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665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40" name="Text_Box_17_SpCnt_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 name="Text_Box_17_SpCnt_104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675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26" name="Text_Box_16_SpCnt_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Text_Box_16_SpCnt_104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686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32" name="Text_Box_18_SpCnt_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 name="Text_Box_18_SpCnt_104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696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28" name="Text_Box_17_SpCnt_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Text_Box_17_SpCnt_104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706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19" name="Text_Box_15_SpCnt_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 name="Text_Box_15_SpCnt_105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716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14" name="Text_Box_1094_SpCnt_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 name="Text_Box_1094_SpCnt_104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727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25" name="Text_Box_16_SpCnt_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 name="Text_Box_16_SpCnt_104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737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34" name="Text_Box_15_SpCnt_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 name="Text_Box_15_SpCnt_105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747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43" name="Text_Box_18_SpCnt_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 name="Text_Box_18_SpCnt_104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757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29" name="Text_Box_15_SpCnt_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Text_Box_15_SpCnt_105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768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21" name="Text_Box_17_SpCnt_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 name="Text_Box_17_SpCnt_105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778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38" name="Text_Box_16_SpCnt_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 name="Text_Box_16_SpCnt_104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788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13" name="Text_Box_18_SpCnt_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 name="Text_Box_18_SpCnt_104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798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16" name="Text_Box_16_SpCnt_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Text_Box_16_SpCnt_104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808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30" name="Text_Box_17_SpCnt_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 name="Text_Box_17_SpCnt_105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819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41" name="Text_Box_16_SpCnt_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 name="Text_Box_16_SpCnt_104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829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17" name="Text_Box_17_SpCnt_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 name="Text_Box_17_SpCnt_105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839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31" name="Text_Box_15_SpCnt_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 name="Text_Box_15_SpCnt_105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849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20" name="Text_Box_1094_SpCnt_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 name="Text_Box_1094_SpCnt_104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860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33" name="Text_Box_1094_SpCnt_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 name="Text_Box_1094_SpCnt_104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870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15" name="Text_Box_16_SpCnt_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 name="Text_Box_16_SpCnt_104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880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22" name="Text_Box_18_SpCnt_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 name="Text_Box_18_SpCnt_104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890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23" name="Text_Box_17_SpCnt_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 name="Text_Box_17_SpCnt_105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901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24" name="Text_Box_18_SpCnt_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 name="Text_Box_18_SpCnt_104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911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35" name="Text_Box_18_SpCnt_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 name="Text_Box_18_SpCnt_105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921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36" name="Text_Box_15_SpCnt_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 name="Text_Box_15_SpCnt_105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931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37" name="Text_Box_16_SpCnt_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 name="Text_Box_16_SpCnt_104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942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39" name="Text_Box_1094_SpCnt_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 name="Text_Box_1094_SpCnt_104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952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42" name="Text_Box_15_SpCnt_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 name="Text_Box_15_SpCnt_105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962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58" name="Text_Box_1094_SpCnt_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Text_Box_1094_SpCnt_104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972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51" name="Text_Box_17_SpCnt_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 name="Text_Box_17_SpCnt_105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983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46" name="Text_Box_15_SpCnt_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 name="Text_Box_15_SpCnt_105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8993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71" name="Text_Box_15_SpCnt_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 name="Text_Box_15_SpCnt_105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003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72" name="Text_Box_17_SpCnt_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 name="Text_Box_17_SpCnt_105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013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49" name="Text_Box_1094_SpCnt_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 name="Text_Box_1094_SpCnt_104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024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59" name="Text_Box_18_SpCnt_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 name="Text_Box_18_SpCnt_105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034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64" name="Text_Box_18_SpCnt_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 name="Text_Box_18_SpCnt_105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044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75" name="Text_Box_16_SpCnt_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 name="Text_Box_16_SpCnt_105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054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52" name="Text_Box_16_SpCnt_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 name="Text_Box_16_SpCnt_105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064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44" name="Text_Box_17_SpCnt_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 name="Text_Box_17_SpCnt_105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075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60" name="Text_Box_18_SpCnt_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 name="Text_Box_18_SpCnt_105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085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55" name="Text_Box_18_SpCnt_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 name="Text_Box_18_SpCnt_105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095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68" name="Text_Box_18_SpCnt_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 name="Text_Box_18_SpCnt_105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105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56" name="Text_Box_17_SpCnt_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 name="Text_Box_17_SpCnt_105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116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65" name="Text_Box_17_SpCnt_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 name="Text_Box_17_SpCnt_105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126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61" name="Text_Box_18_SpCnt_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 name="Text_Box_18_SpCnt_105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136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69" name="Text_Box_16_SpCnt_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 name="Text_Box_16_SpCnt_105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146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48" name="Text_Box_16_SpCnt_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 name="Text_Box_16_SpCnt_105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157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73" name="Text_Box_1094_SpCnt_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 name="Text_Box_1094_SpCnt_104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167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70" name="Text_Box_1094_SpCnt_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 name="Text_Box_1094_SpCnt_104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177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62" name="Text_Box_18_SpCnt_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 name="Text_Box_18_SpCnt_105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187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74" name="Text_Box_15_SpCnt_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 name="Text_Box_15_SpCnt_105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198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45" name="Text_Box_18_SpCnt_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 name="Text_Box_18_SpCnt_105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208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63" name="Text_Box_17_SpCnt_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 name="Text_Box_17_SpCnt_105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218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66" name="Text_Box_18_SpCnt_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 name="Text_Box_18_SpCnt_105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228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50" name="Text_Box_17_SpCnt_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 name="Text_Box_17_SpCnt_106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239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57" name="Text_Box_18_SpCnt_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 name="Text_Box_18_SpCnt_106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249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47" name="Text_Box_16_SpCnt_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 name="Text_Box_16_SpCnt_105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259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53" name="Text_Box_15_SpCnt_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 name="Text_Box_15_SpCnt_106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269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54" name="Text_Box_16_SpCnt_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 name="Text_Box_16_SpCnt_105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280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67" name="Text_Box_16_SpCnt_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Text_Box_16_SpCnt_105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290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77" name="Text_Box_16_SpCnt_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 name="Text_Box_16_SpCnt_105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300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96" name="Text_Box_1094_SpCnt_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 name="Text_Box_1094_SpCnt_105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310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88" name="Text_Box_17_SpCnt_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 name="Text_Box_17_SpCnt_106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320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78" name="Text_Box_16_SpCnt_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 name="Text_Box_16_SpCnt_105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331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95" name="Text_Box_18_SpCnt_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 name="Text_Box_18_SpCnt_106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341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91" name="Text_Box_18_SpCnt_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 name="Text_Box_18_SpCnt_106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351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83" name="Text_Box_17_SpCnt_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 name="Text_Box_17_SpCnt_106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361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79" name="Text_Box_18_SpCnt_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 name="Text_Box_18_SpCnt_106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372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81" name="Text_Box_16_SpCnt_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 name="Text_Box_16_SpCnt_105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382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80" name="Text_Box_16_SpCnt_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 name="Text_Box_16_SpCnt_106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392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97" name="Text_Box_1094_SpCnt_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 name="Text_Box_1094_SpCnt_105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402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98" name="Text_Box_17_SpCnt_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 name="Text_Box_17_SpCnt_106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413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92" name="Text_Box_17_SpCnt_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 name="Text_Box_17_SpCnt_106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423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99" name="Text_Box_1094_SpCnt_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 name="Text_Box_1094_SpCnt_105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433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82" name="Text_Box_17_SpCnt_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 name="Text_Box_17_SpCnt_106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443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84" name="Text_Box_1094_SpCnt_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 name="Text_Box_1094_SpCnt_105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454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89" name="Text_Box_17_SpCnt_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 name="Text_Box_17_SpCnt_106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464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85" name="Text_Box_15_SpCnt_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 name="Text_Box_15_SpCnt_106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474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00" name="Text_Box_15_SpCnt_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 name="Text_Box_15_SpCnt_106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484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94" name="Text_Box_17_SpCnt_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 name="Text_Box_17_SpCnt_106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495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03" name="Text_Box_1094_SpCnt_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 name="Text_Box_1094_SpCnt_105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505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04" name="Text_Box_16_SpCnt_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 name="Text_Box_16_SpCnt_106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515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86" name="Text_Box_18_SpCnt_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 name="Text_Box_18_SpCnt_106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525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01" name="Text_Box_1094_SpCnt_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 name="Text_Box_1094_SpCnt_105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536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05" name="Text_Box_16_SpCnt_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 name="Text_Box_16_SpCnt_106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546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87" name="Text_Box_15_SpCnt_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 name="Text_Box_15_SpCnt_106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556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93" name="Text_Box_1094_SpCnt_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 name="Text_Box_1094_SpCnt_105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566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90" name="Text_Box_16_SpCnt_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 name="Text_Box_16_SpCnt_106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576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02" name="Text_Box_1094_SpCnt_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 name="Text_Box_1094_SpCnt_105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587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06" name="Text_Box_18_SpCnt_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 name="Text_Box_18_SpCnt_106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597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07" name="Text_Box_1094_SpCnt_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 name="Text_Box_1094_SpCnt_105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607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276" name="Text_Box_15_SpCnt_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 name="Text_Box_15_SpCnt_106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617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16" name="Text_Box_1094_SpCnt_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 name="Text_Box_1094_SpCnt_105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628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15" name="Text_Box_1094_SpCnt_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 name="Text_Box_1094_SpCnt_106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638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26" name="Text_Box_17_SpCnt_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 name="Text_Box_17_SpCnt_106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648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36" name="Text_Box_17_SpCnt_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 name="Text_Box_17_SpCnt_106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658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22" name="Text_Box_16_SpCnt_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 name="Text_Box_16_SpCnt_106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669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28" name="Text_Box_16_SpCnt_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 name="Text_Box_16_SpCnt_106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679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39" name="Text_Box_1094_SpCnt_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 name="Text_Box_1094_SpCnt_106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689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23" name="Text_Box_15_SpCnt_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 name="Text_Box_15_SpCnt_106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699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17" name="Text_Box_17_SpCnt_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 name="Text_Box_17_SpCnt_107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710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34" name="Text_Box_15_SpCnt_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 name="Text_Box_15_SpCnt_106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720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27" name="Text_Box_15_SpCnt_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 name="Text_Box_15_SpCnt_106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730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29" name="Text_Box_18_SpCnt_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 name="Text_Box_18_SpCnt_106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740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24" name="Text_Box_18_SpCnt_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 name="Text_Box_18_SpCnt_106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751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20" name="Text_Box_18_SpCnt_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 name="Text_Box_18_SpCnt_106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761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30" name="Text_Box_15_SpCnt_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 name="Text_Box_15_SpCnt_106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771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13" name="Text_Box_18_SpCnt_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 name="Text_Box_18_SpCnt_106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781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09" name="Text_Box_18_SpCnt_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 name="Text_Box_18_SpCnt_107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792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11" name="Text_Box_1094_SpCnt_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 name="Text_Box_1094_SpCnt_106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802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18" name="Text_Box_16_SpCnt_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 name="Text_Box_16_SpCnt_106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812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33" name="Text_Box_18_SpCnt_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 name="Text_Box_18_SpCnt_107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822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10" name="Text_Box_16_SpCnt_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 name="Text_Box_16_SpCnt_106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832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25" name="Text_Box_16_SpCnt_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 name="Text_Box_16_SpCnt_106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843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35" name="Text_Box_17_SpCnt_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 name="Text_Box_17_SpCnt_107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853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14" name="Text_Box_15_SpCnt_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 name="Text_Box_15_SpCnt_106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863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19" name="Text_Box_17_SpCnt_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 name="Text_Box_17_SpCnt_107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873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38" name="Text_Box_15_SpCnt_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 name="Text_Box_15_SpCnt_107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884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31" name="Text_Box_17_SpCnt_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 name="Text_Box_17_SpCnt_107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894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21" name="Text_Box_18_SpCnt_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 name="Text_Box_18_SpCnt_107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904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12" name="Text_Box_16_SpCnt_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 name="Text_Box_16_SpCnt_106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914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32" name="Text_Box_15_SpCnt_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 name="Text_Box_15_SpCnt_107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925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08" name="Text_Box_17_SpCnt_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 name="Text_Box_17_SpCnt_107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935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37" name="Text_Box_15_SpCnt_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 name="Text_Box_15_SpCnt_107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945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45" name="Text_Box_1094_SpCnt_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 name="Text_Box_1094_SpCnt_106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955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48" name="Text_Box_16_SpCnt_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 name="Text_Box_16_SpCnt_107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966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44" name="Text_Box_17_SpCnt_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 name="Text_Box_17_SpCnt_107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976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43" name="Text_Box_15_SpCnt_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 name="Text_Box_15_SpCnt_107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986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68" name="Text_Box_1094_SpCnt_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 name="Text_Box_1094_SpCnt_106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29996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67" name="Text_Box_15_SpCnt_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 name="Text_Box_15_SpCnt_107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007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58" name="Text_Box_1094_SpCnt_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 name="Text_Box_1094_SpCnt_106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017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51" name="Text_Box_18_SpCnt_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 name="Text_Box_18_SpCnt_107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027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57" name="Text_Box_15_SpCnt_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 name="Text_Box_15_SpCnt_107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037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60" name="Text_Box_18_SpCnt_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 name="Text_Box_18_SpCnt_107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048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56" name="Text_Box_15_SpCnt_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 name="Text_Box_15_SpCnt_107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058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65" name="Text_Box_16_SpCnt_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 name="Text_Box_16_SpCnt_107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068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46" name="Text_Box_17_SpCnt_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 name="Text_Box_17_SpCnt_107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078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59" name="Text_Box_17_SpCnt_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 name="Text_Box_17_SpCnt_107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088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52" name="Text_Box_18_SpCnt_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 name="Text_Box_18_SpCnt_107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099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53" name="Text_Box_16_SpCnt_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 name="Text_Box_16_SpCnt_107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109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61" name="Text_Box_17_SpCnt_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 name="Text_Box_17_SpCnt_107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119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62" name="Text_Box_16_SpCnt_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 name="Text_Box_16_SpCnt_107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129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47" name="Text_Box_15_SpCnt_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 name="Text_Box_15_SpCnt_107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140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49" name="Text_Box_15_SpCnt_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 name="Text_Box_15_SpCnt_107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150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50" name="Text_Box_1094_SpCnt_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 name="Text_Box_1094_SpCnt_106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160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69" name="Text_Box_16_SpCnt_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 name="Text_Box_16_SpCnt_107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170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54" name="Text_Box_18_SpCnt_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 name="Text_Box_18_SpCnt_107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181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64" name="Text_Box_18_SpCnt_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 name="Text_Box_18_SpCnt_107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191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55" name="Text_Box_17_SpCnt_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 name="Text_Box_17_SpCnt_107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201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63" name="Text_Box_15_SpCnt_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 name="Text_Box_15_SpCnt_107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211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66" name="Text_Box_15_SpCnt_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 name="Text_Box_15_SpCnt_108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222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70" name="Text_Box_17_SpCnt_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 name="Text_Box_17_SpCnt_108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232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71" name="Text_Box_18_SpCnt_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 name="Text_Box_18_SpCnt_107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242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40" name="Text_Box_16_SpCnt_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 name="Text_Box_16_SpCnt_107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252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41" name="Text_Box_16_SpCnt_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 name="Text_Box_16_SpCnt_107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263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42" name="Text_Box_17_SpCnt_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 name="Text_Box_17_SpCnt_108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273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72" name="Text_Box_1094_SpCnt_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 name="Text_Box_1094_SpCnt_106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283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79" name="Text_Box_15_SpCnt_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 name="Text_Box_15_SpCnt_108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293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87" name="Text_Box_16_SpCnt_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 name="Text_Box_16_SpCnt_107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304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89" name="Text_Box_18_SpCnt_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 name="Text_Box_18_SpCnt_107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314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76" name="Text_Box_15_SpCnt_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 name="Text_Box_15_SpCnt_108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324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92" name="Text_Box_16_SpCnt_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 name="Text_Box_16_SpCnt_107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334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03" name="Text_Box_1094_SpCnt_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 name="Text_Box_1094_SpCnt_106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344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80" name="Text_Box_18_SpCnt_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 name="Text_Box_18_SpCnt_108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355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73" name="Text_Box_16_SpCnt_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 name="Text_Box_16_SpCnt_107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365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84" name="Text_Box_1094_SpCnt_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 name="Text_Box_1094_SpCnt_106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375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75" name="Text_Box_1094_SpCnt_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 name="Text_Box_1094_SpCnt_107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385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77" name="Text_Box_1094_SpCnt_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 name="Text_Box_1094_SpCnt_107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396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78" name="Text_Box_17_SpCnt_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 name="Text_Box_17_SpCnt_108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406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81" name="Text_Box_1094_SpCnt_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 name="Text_Box_1094_SpCnt_107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416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82" name="Text_Box_17_SpCnt_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 name="Text_Box_17_SpCnt_108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426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00" name="Text_Box_17_SpCnt_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 name="Text_Box_17_SpCnt_108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437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94" name="Text_Box_15_SpCnt_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 name="Text_Box_15_SpCnt_108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447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83" name="Text_Box_15_SpCnt_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 name="Text_Box_15_SpCnt_108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457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98" name="Text_Box_17_SpCnt_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 name="Text_Box_17_SpCnt_108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467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85" name="Text_Box_17_SpCnt_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 name="Text_Box_17_SpCnt_108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478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86" name="Text_Box_16_SpCnt_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 name="Text_Box_16_SpCnt_108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488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93" name="Text_Box_16_SpCnt_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 name="Text_Box_16_SpCnt_108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498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91" name="Text_Box_1094_SpCnt_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 name="Text_Box_1094_SpCnt_107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508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88" name="Text_Box_16_SpCnt_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 name="Text_Box_16_SpCnt_108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519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90" name="Text_Box_16_SpCnt_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 name="Text_Box_16_SpCnt_108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529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95" name="Text_Box_17_SpCnt_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 name="Text_Box_17_SpCnt_108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539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96" name="Text_Box_16_SpCnt_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 name="Text_Box_16_SpCnt_108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549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97" name="Text_Box_18_SpCnt_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 name="Text_Box_18_SpCnt_108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560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99" name="Text_Box_1094_SpCnt_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 name="Text_Box_1094_SpCnt_107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570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01" name="Text_Box_16_SpCnt_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 name="Text_Box_16_SpCnt_108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580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02" name="Text_Box_17_SpCnt_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 name="Text_Box_17_SpCnt_108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590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374" name="Text_Box_18_SpCnt_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 name="Text_Box_18_SpCnt_108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600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16" name="Text_Box_18_SpCnt_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 name="Text_Box_18_SpCnt_108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611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15" name="Text_Box_1094_SpCnt_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 name="Text_Box_1094_SpCnt_107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621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21" name="Text_Box_1094_SpCnt_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 name="Text_Box_1094_SpCnt_107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631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33" name="Text_Box_16_SpCnt_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 name="Text_Box_16_SpCnt_108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641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13" name="Text_Box_18_SpCnt_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 name="Text_Box_18_SpCnt_108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652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30" name="Text_Box_16_SpCnt_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 name="Text_Box_16_SpCnt_108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662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20" name="Text_Box_18_SpCnt_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 name="Text_Box_18_SpCnt_108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672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11" name="Text_Box_16_SpCnt_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 name="Text_Box_16_SpCnt_108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682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35" name="Text_Box_18_SpCnt_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 name="Text_Box_18_SpCnt_108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693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04" name="Text_Box_17_SpCnt_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 name="Text_Box_17_SpCnt_108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703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07" name="Text_Box_17_SpCnt_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 name="Text_Box_17_SpCnt_109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713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25" name="Text_Box_18_SpCnt_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 name="Text_Box_18_SpCnt_108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723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29" name="Text_Box_16_SpCnt_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 name="Text_Box_16_SpCnt_108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734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28" name="Text_Box_18_SpCnt_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 name="Text_Box_18_SpCnt_108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744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17" name="Text_Box_18_SpCnt_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 name="Text_Box_18_SpCnt_108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754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05" name="Text_Box_17_SpCnt_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 name="Text_Box_17_SpCnt_109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764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09" name="Text_Box_18_SpCnt_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 name="Text_Box_18_SpCnt_109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775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10" name="Text_Box_1094_SpCnt_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 name="Text_Box_1094_SpCnt_107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785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34" name="Text_Box_1094_SpCnt_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 name="Text_Box_1094_SpCnt_107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795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18" name="Text_Box_1094_SpCnt_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 name="Text_Box_1094_SpCnt_107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805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06" name="Text_Box_17_SpCnt_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 name="Text_Box_17_SpCnt_109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816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26" name="Text_Box_16_SpCnt_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 name="Text_Box_16_SpCnt_109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826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19" name="Text_Box_15_SpCnt_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 name="Text_Box_15_SpCnt_108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836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23" name="Text_Box_15_SpCnt_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 name="Text_Box_15_SpCnt_108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846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22" name="Text_Box_1094_SpCnt_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 name="Text_Box_1094_SpCnt_108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856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08" name="Text_Box_16_SpCnt_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 name="Text_Box_16_SpCnt_109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867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12" name="Text_Box_18_SpCnt_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 name="Text_Box_18_SpCnt_109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877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14" name="Text_Box_15_SpCnt_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 name="Text_Box_15_SpCnt_108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887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24" name="Text_Box_15_SpCnt_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 name="Text_Box_15_SpCnt_108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897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27" name="Text_Box_17_SpCnt_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 name="Text_Box_17_SpCnt_109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908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31" name="Text_Box_1094_SpCnt_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 name="Text_Box_1094_SpCnt_108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918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32" name="Text_Box_15_SpCnt_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 name="Text_Box_15_SpCnt_108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928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48" name="Text_Box_15_SpCnt_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 name="Text_Box_15_SpCnt_109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938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65" name="Text_Box_15_SpCnt_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 name="Text_Box_15_SpCnt_109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949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54" name="Text_Box_18_SpCnt_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 name="Text_Box_18_SpCnt_109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959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58" name="Text_Box_16_SpCnt_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 name="Text_Box_16_SpCnt_109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969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41" name="Text_Box_17_SpCnt_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 name="Text_Box_17_SpCnt_109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979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44" name="Text_Box_18_SpCnt_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 name="Text_Box_18_SpCnt_109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0990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39" name="Text_Box_16_SpCnt_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 name="Text_Box_16_SpCnt_109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000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67" name="Text_Box_16_SpCnt_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 name="Text_Box_16_SpCnt_109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010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40" name="Text_Box_18_SpCnt_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 name="Text_Box_18_SpCnt_109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020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57" name="Text_Box_18_SpCnt_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 name="Text_Box_18_SpCnt_109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031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45" name="Text_Box_17_SpCnt_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 name="Text_Box_17_SpCnt_109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041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56" name="Text_Box_15_SpCnt_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 name="Text_Box_15_SpCnt_109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051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42" name="Text_Box_16_SpCnt_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 name="Text_Box_16_SpCnt_109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061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36" name="Text_Box_16_SpCnt_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 name="Text_Box_16_SpCnt_109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072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37" name="Text_Box_1094_SpCnt_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 name="Text_Box_1094_SpCnt_108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082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46" name="Text_Box_15_SpCnt_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 name="Text_Box_15_SpCnt_109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092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59" name="Text_Box_17_SpCnt_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 name="Text_Box_17_SpCnt_109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102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49" name="Text_Box_18_SpCnt_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 name="Text_Box_18_SpCnt_109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112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38" name="Text_Box_1094_SpCnt_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 name="Text_Box_1094_SpCnt_108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123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47" name="Text_Box_15_SpCnt_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 name="Text_Box_15_SpCnt_109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133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43" name="Text_Box_16_SpCnt_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 name="Text_Box_16_SpCnt_109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143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66" name="Text_Box_17_SpCnt_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 name="Text_Box_17_SpCnt_109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153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50" name="Text_Box_17_SpCnt_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 name="Text_Box_17_SpCnt_109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164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55" name="Text_Box_15_SpCnt_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 name="Text_Box_15_SpCnt_109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174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51" name="Text_Box_15_SpCnt_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 name="Text_Box_15_SpCnt_109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184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52" name="Text_Box_15_SpCnt_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 name="Text_Box_15_SpCnt_109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194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53" name="Text_Box_17_SpCnt_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 name="Text_Box_17_SpCnt_109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205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63" name="Text_Box_18_SpCnt_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 name="Text_Box_18_SpCnt_109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215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60" name="Text_Box_15_SpCnt_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 name="Text_Box_15_SpCnt_109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225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61" name="Text_Box_15_SpCnt_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 name="Text_Box_15_SpCnt_109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235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62" name="Text_Box_17_SpCnt_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 name="Text_Box_17_SpCnt_110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246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64" name="Text_Box_17_SpCnt_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 name="Text_Box_17_SpCnt_110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256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69" name="Text_Box_16_SpCnt_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 name="Text_Box_16_SpCnt_109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266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70" name="Text_Box_16_SpCnt_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 name="Text_Box_16_SpCnt_109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276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68" name="Text_Box_1094_SpCnt_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 name="Text_Box_1094_SpCnt_108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287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71" name="Text_Box_18_SpCnt_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 name="Text_Box_18_SpCnt_109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297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72" name="Text_Box_1094_SpCnt_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 name="Text_Box_1094_SpCnt_108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307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74" name="Text_Box_18_SpCnt_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 name="Text_Box_18_SpCnt_109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317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73" name="Text_Box_17_SpCnt_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 name="Text_Box_17_SpCnt_110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328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60" name="Text_Box_15_SpCnt_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 name="Text_Box_15_SpCnt_110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338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57" name="Text_Box_1094_SpCnt_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 name="Text_Box_1094_SpCnt_108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348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75" name="Text_Box_16_SpCnt_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 name="Text_Box_16_SpCnt_110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358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77" name="Text_Box_17_SpCnt_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 name="Text_Box_17_SpCnt_110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368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66" name="Text_Box_18_SpCnt_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 name="Text_Box_18_SpCnt_110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379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76" name="Text_Box_16_SpCnt_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 name="Text_Box_16_SpCnt_110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389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62" name="Text_Box_17_SpCnt_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Text_Box_17_SpCnt_110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399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68" name="Text_Box_17_SpCnt_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Text_Box_17_SpCnt_110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409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58" name="Text_Box_15_SpCnt_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 name="Text_Box_15_SpCnt_110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420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69" name="Text_Box_17_SpCnt_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Text_Box_17_SpCnt_110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430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63" name="Text_Box_17_SpCnt_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Text_Box_17_SpCnt_110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440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51" name="Text_Box_18_SpCnt_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 name="Text_Box_18_SpCnt_110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450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56" name="Text_Box_16_SpCnt_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 name="Text_Box_16_SpCnt_110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461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70" name="Text_Box_1094_SpCnt_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Text_Box_1094_SpCnt_108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471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78" name="Text_Box_1094_SpCnt_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 name="Text_Box_1094_SpCnt_108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481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49" name="Text_Box_15_SpCnt_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 name="Text_Box_15_SpCnt_110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491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74" name="Text_Box_16_SpCnt_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 name="Text_Box_16_SpCnt_110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502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71" name="Text_Box_1094_SpCnt_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 name="Text_Box_1094_SpCnt_108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512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79" name="Text_Box_15_SpCnt_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 name="Text_Box_15_SpCnt_110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522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50" name="Text_Box_18_SpCnt_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 name="Text_Box_18_SpCnt_110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532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61" name="Text_Box_17_SpCnt_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 name="Text_Box_17_SpCnt_110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543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67" name="Text_Box_15_SpCnt_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 name="Text_Box_15_SpCnt_110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553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55" name="Text_Box_18_SpCnt_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 name="Text_Box_18_SpCnt_110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563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54" name="Text_Box_18_SpCnt_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 name="Text_Box_18_SpCnt_110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573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48" name="Text_Box_1094_SpCnt_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 name="Text_Box_1094_SpCnt_109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584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52" name="Text_Box_16_SpCnt_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 name="Text_Box_16_SpCnt_110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594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53" name="Text_Box_18_SpCnt_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 name="Text_Box_18_SpCnt_110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604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72" name="Text_Box_17_SpCnt_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 name="Text_Box_17_SpCnt_110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614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59" name="Text_Box_1094_SpCnt_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 name="Text_Box_1094_SpCnt_109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624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64" name="Text_Box_17_SpCnt_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 name="Text_Box_17_SpCnt_111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635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65" name="Text_Box_16_SpCnt_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 name="Text_Box_16_SpCnt_110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645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173" name="Text_Box_15_SpCnt_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 name="Text_Box_15_SpCnt_110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655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94" name="Text_Box_18_SpCnt_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 name="Text_Box_18_SpCnt_110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665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99" name="Text_Box_1094_SpCnt_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 name="Text_Box_1094_SpCnt_109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676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85" name="Text_Box_1094_SpCnt_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 name="Text_Box_1094_SpCnt_109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686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97" name="Text_Box_15_SpCnt_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 name="Text_Box_15_SpCnt_110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696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09" name="Text_Box_17_SpCnt_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 name="Text_Box_17_SpCnt_111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706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93" name="Text_Box_16_SpCnt_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 name="Text_Box_16_SpCnt_110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717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86" name="Text_Box_15_SpCnt_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 name="Text_Box_15_SpCnt_110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727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08" name="Text_Box_15_SpCnt_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 name="Text_Box_15_SpCnt_110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737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87" name="Text_Box_17_SpCnt_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 name="Text_Box_17_SpCnt_111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747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90" name="Text_Box_1094_SpCnt_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 name="Text_Box_1094_SpCnt_109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758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95" name="Text_Box_15_SpCnt_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 name="Text_Box_15_SpCnt_110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768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10" name="Text_Box_16_SpCnt_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 name="Text_Box_16_SpCnt_110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778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88" name="Text_Box_17_SpCnt_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 name="Text_Box_17_SpCnt_111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788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91" name="Text_Box_16_SpCnt_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 name="Text_Box_16_SpCnt_110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799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89" name="Text_Box_18_SpCnt_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 name="Text_Box_18_SpCnt_110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809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92" name="Text_Box_16_SpCnt_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 name="Text_Box_16_SpCnt_110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819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02" name="Text_Box_18_SpCnt_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 name="Text_Box_18_SpCnt_110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829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79" name="Text_Box_15_SpCnt_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 name="Text_Box_15_SpCnt_111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840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80" name="Text_Box_15_SpCnt_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 name="Text_Box_15_SpCnt_111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850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00" name="Text_Box_15_SpCnt_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 name="Text_Box_15_SpCnt_111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860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96" name="Text_Box_18_SpCnt_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 name="Text_Box_18_SpCnt_110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870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84" name="Text_Box_15_SpCnt_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 name="Text_Box_15_SpCnt_111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880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03" name="Text_Box_15_SpCnt_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 name="Text_Box_15_SpCnt_111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891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98" name="Text_Box_17_SpCnt_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 name="Text_Box_17_SpCnt_111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901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01" name="Text_Box_15_SpCnt_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 name="Text_Box_15_SpCnt_111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911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04" name="Text_Box_1094_SpCnt_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 name="Text_Box_1094_SpCnt_109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921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05" name="Text_Box_1094_SpCnt_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 name="Text_Box_1094_SpCnt_109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932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81" name="Text_Box_1094_SpCnt_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 name="Text_Box_1094_SpCnt_109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942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06" name="Text_Box_17_SpCnt_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 name="Text_Box_17_SpCnt_111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952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07" name="Text_Box_1094_SpCnt_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 name="Text_Box_1094_SpCnt_109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962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82" name="Text_Box_15_SpCnt_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 name="Text_Box_15_SpCnt_111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973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83" name="Text_Box_15_SpCnt_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 name="Text_Box_15_SpCnt_111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983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25" name="Text_Box_18_SpCnt_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 name="Text_Box_18_SpCnt_111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1993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14" name="Text_Box_1094_SpCnt_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 name="Text_Box_1094_SpCnt_109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003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12" name="Text_Box_17_SpCnt_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 name="Text_Box_17_SpCnt_111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014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27" name="Text_Box_18_SpCnt_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 name="Text_Box_18_SpCnt_111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024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29" name="Text_Box_18_SpCnt_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 name="Text_Box_18_SpCnt_111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034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39" name="Text_Box_18_SpCnt_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 name="Text_Box_18_SpCnt_111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044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26" name="Text_Box_15_SpCnt_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 name="Text_Box_15_SpCnt_111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055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18" name="Text_Box_17_SpCnt_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 name="Text_Box_17_SpCnt_111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065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42" name="Text_Box_1094_SpCnt_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 name="Text_Box_1094_SpCnt_110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075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41" name="Text_Box_18_SpCnt_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 name="Text_Box_18_SpCnt_111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085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36" name="Text_Box_16_SpCnt_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 name="Text_Box_16_SpCnt_111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096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23" name="Text_Box_17_SpCnt_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 name="Text_Box_17_SpCnt_111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106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37" name="Text_Box_15_SpCnt_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 name="Text_Box_15_SpCnt_111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116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21" name="Text_Box_17_SpCnt_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 name="Text_Box_17_SpCnt_111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126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20" name="Text_Box_1094_SpCnt_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 name="Text_Box_1094_SpCnt_110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136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30" name="Text_Box_1094_SpCnt_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 name="Text_Box_1094_SpCnt_110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147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38" name="Text_Box_18_SpCnt_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 name="Text_Box_18_SpCnt_111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157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28" name="Text_Box_16_SpCnt_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 name="Text_Box_16_SpCnt_111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167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33" name="Text_Box_1094_SpCnt_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 name="Text_Box_1094_SpCnt_110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177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40" name="Text_Box_17_SpCnt_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 name="Text_Box_17_SpCnt_112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188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32" name="Text_Box_1094_SpCnt_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 name="Text_Box_1094_SpCnt_110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198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22" name="Text_Box_17_SpCnt_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 name="Text_Box_17_SpCnt_112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208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15" name="Text_Box_18_SpCnt_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 name="Text_Box_18_SpCnt_111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218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16" name="Text_Box_16_SpCnt_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 name="Text_Box_16_SpCnt_111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229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24" name="Text_Box_16_SpCnt_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 name="Text_Box_16_SpCnt_111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239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17" name="Text_Box_16_SpCnt_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 name="Text_Box_16_SpCnt_111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249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11" name="Text_Box_17_SpCnt_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 name="Text_Box_17_SpCnt_112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259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35" name="Text_Box_18_SpCnt_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 name="Text_Box_18_SpCnt_111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270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31" name="Text_Box_16_SpCnt_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 name="Text_Box_16_SpCnt_111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280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19" name="Text_Box_16_SpCnt_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 name="Text_Box_16_SpCnt_111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290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34" name="Text_Box_18_SpCnt_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 name="Text_Box_18_SpCnt_111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300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13" name="Text_Box_1094_SpCnt_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 name="Text_Box_1094_SpCnt_110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311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57" name="Text_Box_1094_SpCnt_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 name="Text_Box_1094_SpCnt_110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321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63" name="Text_Box_17_SpCnt_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 name="Text_Box_17_SpCnt_112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331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43" name="Text_Box_15_SpCnt_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 name="Text_Box_15_SpCnt_112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341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58" name="Text_Box_15_SpCnt_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 name="Text_Box_15_SpCnt_112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352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46" name="Text_Box_18_SpCnt_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 name="Text_Box_18_SpCnt_111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362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48" name="Text_Box_18_SpCnt_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 name="Text_Box_18_SpCnt_112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372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74" name="Text_Box_15_SpCnt_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 name="Text_Box_15_SpCnt_112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382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44" name="Text_Box_16_SpCnt_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 name="Text_Box_16_SpCnt_111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392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56" name="Text_Box_16_SpCnt_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 name="Text_Box_16_SpCnt_111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403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52" name="Text_Box_18_SpCnt_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 name="Text_Box_18_SpCnt_112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413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45" name="Text_Box_16_SpCnt_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 name="Text_Box_16_SpCnt_111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423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47" name="Text_Box_16_SpCnt_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 name="Text_Box_16_SpCnt_112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433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51" name="Text_Box_18_SpCnt_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 name="Text_Box_18_SpCnt_112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444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49" name="Text_Box_16_SpCnt_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 name="Text_Box_16_SpCnt_112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454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50" name="Text_Box_1094_SpCnt_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 name="Text_Box_1094_SpCnt_110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464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53" name="Text_Box_15_SpCnt_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 name="Text_Box_15_SpCnt_112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474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54" name="Text_Box_17_SpCnt_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 name="Text_Box_17_SpCnt_112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485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55" name="Text_Box_16_SpCnt_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 name="Text_Box_16_SpCnt_112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495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64" name="Text_Box_16_SpCnt_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 name="Text_Box_16_SpCnt_112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505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59" name="Text_Box_18_SpCnt_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 name="Text_Box_18_SpCnt_112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515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60" name="Text_Box_1094_SpCnt_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 name="Text_Box_1094_SpCnt_110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526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61" name="Text_Box_16_SpCnt_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 name="Text_Box_16_SpCnt_112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536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62" name="Text_Box_16_SpCnt_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 name="Text_Box_16_SpCnt_112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546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65" name="Text_Box_1094_SpCnt_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 name="Text_Box_1094_SpCnt_110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556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70" name="Text_Box_1094_SpCnt_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 name="Text_Box_1094_SpCnt_111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567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72" name="Text_Box_17_SpCnt_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 name="Text_Box_17_SpCnt_112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577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66" name="Text_Box_16_SpCnt_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 name="Text_Box_16_SpCnt_112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587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67" name="Text_Box_18_SpCnt_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 name="Text_Box_18_SpCnt_112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597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68" name="Text_Box_18_SpCnt_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 name="Text_Box_18_SpCnt_112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608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69" name="Text_Box_18_SpCnt_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 name="Text_Box_18_SpCnt_112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618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71" name="Text_Box_16_SpCnt_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 name="Text_Box_16_SpCnt_112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628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73" name="Text_Box_17_SpCnt_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 name="Text_Box_17_SpCnt_112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638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95" name="Text_Box_18_SpCnt_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 name="Text_Box_18_SpCnt_112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648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92" name="Text_Box_18_SpCnt_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 name="Text_Box_18_SpCnt_112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659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83" name="Text_Box_16_SpCnt_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 name="Text_Box_16_SpCnt_112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669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05" name="Text_Box_16_SpCnt_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 name="Text_Box_16_SpCnt_112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679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96" name="Text_Box_16_SpCnt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 name="Text_Box_16_SpCnt_113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689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98" name="Text_Box_15_SpCnt_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 name="Text_Box_15_SpCnt_112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700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06" name="Text_Box_18_SpCnt_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 name="Text_Box_18_SpCnt_112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710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85" name="Text_Box_17_SpCnt_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 name="Text_Box_17_SpCnt_112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720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93" name="Text_Box_1094_SpCnt_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 name="Text_Box_1094_SpCnt_111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730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97" name="Text_Box_16_SpCnt_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 name="Text_Box_16_SpCnt_113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741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75" name="Text_Box_16_SpCnt_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 name="Text_Box_16_SpCnt_113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751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02" name="Text_Box_1094_SpCnt_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 name="Text_Box_1094_SpCnt_111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761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86" name="Text_Box_16_SpCnt_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 name="Text_Box_16_SpCnt_113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771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99" name="Text_Box_1094_SpCnt_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 name="Text_Box_1094_SpCnt_111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782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84" name="Text_Box_1094_SpCnt_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 name="Text_Box_1094_SpCnt_111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792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78" name="Text_Box_1094_SpCnt_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 name="Text_Box_1094_SpCnt_111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802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00" name="Text_Box_1094_SpCnt_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 name="Text_Box_1094_SpCnt_111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812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04" name="Text_Box_1094_SpCnt_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 name="Text_Box_1094_SpCnt_111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823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87" name="Text_Box_18_SpCnt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 name="Text_Box_18_SpCnt_113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833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76" name="Text_Box_15_SpCnt_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 name="Text_Box_15_SpCnt_112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843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88" name="Text_Box_17_SpCnt_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 name="Text_Box_17_SpCnt_112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853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79" name="Text_Box_1094_SpCnt_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 name="Text_Box_1094_SpCnt_111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864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77" name="Text_Box_18_SpCnt_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 name="Text_Box_18_SpCnt_113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874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89" name="Text_Box_1094_SpCnt_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 name="Text_Box_1094_SpCnt_111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884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80" name="Text_Box_18_SpCnt_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 name="Text_Box_18_SpCnt_113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894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90" name="Text_Box_18_SpCnt_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 name="Text_Box_18_SpCnt_113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904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82" name="Text_Box_16_SpCnt_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 name="Text_Box_16_SpCnt_113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915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91" name="Text_Box_15_SpCnt_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 name="Text_Box_15_SpCnt_112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925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81" name="Text_Box_17_SpCnt_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 name="Text_Box_17_SpCnt_112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935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894" name="Text_Box_16_SpCnt_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 name="Text_Box_16_SpCnt_113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945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01" name="Text_Box_18_SpCnt_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 name="Text_Box_18_SpCnt_113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956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03" name="Text_Box_17_SpCnt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 name="Text_Box_17_SpCnt_113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966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36" name="Text_Box_1094_SpCnt_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 name="Text_Box_1094_SpCnt_112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976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34" name="Text_Box_1094_SpCnt_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 name="Text_Box_1094_SpCnt_112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986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18" name="Text_Box_18_SpCnt_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 name="Text_Box_18_SpCnt_113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2997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20" name="Text_Box_16_SpCnt_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 name="Text_Box_16_SpCnt_113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007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13" name="Text_Box_16_SpCnt_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 name="Text_Box_16_SpCnt_113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017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32" name="Text_Box_16_SpCnt_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 name="Text_Box_16_SpCnt_113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027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26" name="Text_Box_16_SpCnt_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 name="Text_Box_16_SpCnt_113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038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12" name="Text_Box_1094_SpCnt_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 name="Text_Box_1094_SpCnt_112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048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11" name="Text_Box_1094_SpCnt_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 name="Text_Box_1094_SpCnt_112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058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15" name="Text_Box_17_SpCnt_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 name="Text_Box_17_SpCnt_113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068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27" name="Text_Box_1094_SpCnt_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 name="Text_Box_1094_SpCnt_112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079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14" name="Text_Box_18_SpCnt_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 name="Text_Box_18_SpCnt_113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089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07" name="Text_Box_17_SpCnt_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 name="Text_Box_17_SpCnt_113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099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16" name="Text_Box_15_SpCnt_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 name="Text_Box_15_SpCnt_112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109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28" name="Text_Box_17_SpCnt_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 name="Text_Box_17_SpCnt_113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120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29" name="Text_Box_15_SpCnt_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 name="Text_Box_15_SpCnt_112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130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17" name="Text_Box_1094_SpCnt_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 name="Text_Box_1094_SpCnt_112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140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30" name="Text_Box_1094_SpCnt_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 name="Text_Box_1094_SpCnt_112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150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31" name="Text_Box_17_SpCnt_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 name="Text_Box_17_SpCnt_113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160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35" name="Text_Box_18_SpCnt_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 name="Text_Box_18_SpCnt_113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171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25" name="Text_Box_1094_SpCnt_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 name="Text_Box_1094_SpCnt_112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181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33" name="Text_Box_16_SpCnt_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 name="Text_Box_16_SpCnt_114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191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08" name="Text_Box_15_SpCnt_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 name="Text_Box_15_SpCnt_112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201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37" name="Text_Box_17_SpCnt_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 name="Text_Box_17_SpCnt_113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212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21" name="Text_Box_15_SpCnt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 name="Text_Box_15_SpCnt_113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222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38" name="Text_Box_16_SpCnt_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 name="Text_Box_16_SpCnt_114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232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19" name="Text_Box_16_SpCnt_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 name="Text_Box_16_SpCnt_114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242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22" name="Text_Box_15_SpCnt_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 name="Text_Box_15_SpCnt_113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253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09" name="Text_Box_15_SpCnt_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 name="Text_Box_15_SpCnt_113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263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10" name="Text_Box_15_SpCnt_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 name="Text_Box_15_SpCnt_113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273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23" name="Text_Box_17_SpCnt_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 name="Text_Box_17_SpCnt_113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283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24" name="Text_Box_18_SpCnt_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 name="Text_Box_18_SpCnt_113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294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67" name="Text_Box_17_SpCnt_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 name="Text_Box_17_SpCnt_113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304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53" name="Text_Box_1094_SpCnt_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 name="Text_Box_1094_SpCnt_112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314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66" name="Text_Box_15_SpCnt_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 name="Text_Box_15_SpCnt_113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324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44" name="Text_Box_16_SpCnt_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 name="Text_Box_16_SpCnt_114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335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49" name="Text_Box_1094_SpCnt_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 name="Text_Box_1094_SpCnt_112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345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57" name="Text_Box_17_SpCnt_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 name="Text_Box_17_SpCnt_113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355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68" name="Text_Box_18_SpCnt_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 name="Text_Box_18_SpCnt_113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365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54" name="Text_Box_15_SpCnt_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 name="Text_Box_15_SpCnt_113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376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62" name="Text_Box_1094_SpCnt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 name="Text_Box_1094_SpCnt_113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386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58" name="Text_Box_17_SpCnt_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 name="Text_Box_17_SpCnt_113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396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55" name="Text_Box_1094_SpCnt_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 name="Text_Box_1094_SpCnt_113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406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63" name="Text_Box_18_SpCnt_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 name="Text_Box_18_SpCnt_114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416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45" name="Text_Box_15_SpCnt_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 name="Text_Box_15_SpCnt_113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427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52" name="Text_Box_1094_SpCnt_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 name="Text_Box_1094_SpCnt_113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437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59" name="Text_Box_18_SpCnt_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 name="Text_Box_18_SpCnt_114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447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70" name="Text_Box_16_SpCnt_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 name="Text_Box_16_SpCnt_114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457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60" name="Text_Box_18_SpCnt_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 name="Text_Box_18_SpCnt_114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468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39" name="Text_Box_18_SpCnt_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 name="Text_Box_18_SpCnt_114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478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46" name="Text_Box_15_SpCnt_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 name="Text_Box_15_SpCnt_113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488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56" name="Text_Box_17_SpCnt_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 name="Text_Box_17_SpCnt_114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498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61" name="Text_Box_17_SpCnt_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 name="Text_Box_17_SpCnt_114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509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47" name="Text_Box_15_SpCnt_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 name="Text_Box_15_SpCnt_113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519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50" name="Text_Box_18_SpCnt_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 name="Text_Box_18_SpCnt_114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529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40" name="Text_Box_1094_SpCnt_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 name="Text_Box_1094_SpCnt_113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539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41" name="Text_Box_18_SpCnt_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 name="Text_Box_18_SpCnt_114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550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51" name="Text_Box_1094_SpCnt_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 name="Text_Box_1094_SpCnt_113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560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42" name="Text_Box_18_SpCnt_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 name="Text_Box_18_SpCnt_114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570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64" name="Text_Box_18_SpCnt_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 name="Text_Box_18_SpCnt_114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580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65" name="Text_Box_18_SpCnt_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 name="Text_Box_18_SpCnt_114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591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43" name="Text_Box_16_SpCnt_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 name="Text_Box_16_SpCnt_114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601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48" name="Text_Box_16_SpCnt_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 name="Text_Box_16_SpCnt_114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611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69" name="Text_Box_18_SpCnt_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 name="Text_Box_18_SpCnt_114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621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97" name="Text_Box_17_SpCnt_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 name="Text_Box_17_SpCnt_114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632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00" name="Text_Box_15_SpCnt_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Text_Box_15_SpCnt_113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642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90" name="Text_Box_17_SpCnt_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 name="Text_Box_17_SpCnt_114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652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99" name="Text_Box_16_SpCnt_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 name="Text_Box_16_SpCnt_114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662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83" name="Text_Box_15_SpCnt_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 name="Text_Box_15_SpCnt_114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672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93" name="Text_Box_1094_SpCnt_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 name="Text_Box_1094_SpCnt_113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683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02" name="Text_Box_15_SpCnt_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Text_Box_15_SpCnt_114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693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98" name="Text_Box_15_SpCnt_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 name="Text_Box_15_SpCnt_114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703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84" name="Text_Box_16_SpCnt_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 name="Text_Box_16_SpCnt_114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713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73" name="Text_Box_17_SpCnt_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 name="Text_Box_17_SpCnt_114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724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91" name="Text_Box_17_SpCnt_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 name="Text_Box_17_SpCnt_114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734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94" name="Text_Box_18_SpCnt_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 name="Text_Box_18_SpCnt_115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744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76" name="Text_Box_15_SpCnt_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 name="Text_Box_15_SpCnt_114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754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79" name="Text_Box_1094_SpCnt_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 name="Text_Box_1094_SpCnt_113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765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95" name="Text_Box_17_SpCnt_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 name="Text_Box_17_SpCnt_114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775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85" name="Text_Box_17_SpCnt_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 name="Text_Box_17_SpCnt_114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785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72" name="Text_Box_16_SpCnt_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 name="Text_Box_16_SpCnt_114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795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86" name="Text_Box_17_SpCnt_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 name="Text_Box_17_SpCnt_114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806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88" name="Text_Box_15_SpCnt_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 name="Text_Box_15_SpCnt_114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816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80" name="Text_Box_18_SpCnt_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 name="Text_Box_18_SpCnt_115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826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75" name="Text_Box_1094_SpCnt_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 name="Text_Box_1094_SpCnt_113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836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74" name="Text_Box_15_SpCnt_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 name="Text_Box_15_SpCnt_114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847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01" name="Text_Box_15_SpCnt_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Text_Box_15_SpCnt_114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857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92" name="Text_Box_1094_SpCnt_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 name="Text_Box_1094_SpCnt_113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867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87" name="Text_Box_16_SpCnt_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 name="Text_Box_16_SpCnt_115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877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89" name="Text_Box_15_SpCnt_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 name="Text_Box_15_SpCnt_114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888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77" name="Text_Box_18_SpCnt_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 name="Text_Box_18_SpCnt_115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898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78" name="Text_Box_16_SpCnt_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 name="Text_Box_16_SpCnt_115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908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81" name="Text_Box_17_SpCnt_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 name="Text_Box_17_SpCnt_114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918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82" name="Text_Box_15_SpCnt_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 name="Text_Box_15_SpCnt_114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928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96" name="Text_Box_16_SpCnt_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 name="Text_Box_16_SpCnt_115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939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971" name="Text_Box_16_SpCnt_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 name="Text_Box_16_SpCnt_115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949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23" name="Text_Box_1094_SpCnt_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Text_Box_1094_SpCnt_113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959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29" name="Text_Box_18_SpCnt_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 name="Text_Box_18_SpCnt_115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969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24" name="Text_Box_1094_SpCnt_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 name="Text_Box_1094_SpCnt_114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980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03" name="Text_Box_18_SpCnt_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Text_Box_18_SpCnt_115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3990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04" name="Text_Box_15_SpCnt_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Text_Box_15_SpCnt_114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000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12" name="Text_Box_15_SpCnt_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Text_Box_15_SpCnt_115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010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30" name="Text_Box_1094_SpCnt_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 name="Text_Box_1094_SpCnt_114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021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26" name="Text_Box_16_SpCnt_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 name="Text_Box_16_SpCnt_115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031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17" name="Text_Box_17_SpCnt_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Text_Box_17_SpCnt_115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041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05" name="Text_Box_1094_SpCnt_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Text_Box_1094_SpCnt_114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051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18" name="Text_Box_1094_SpCnt_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 name="Text_Box_1094_SpCnt_114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062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06" name="Text_Box_1094_SpCnt_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Text_Box_1094_SpCnt_114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072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27" name="Text_Box_17_SpCnt_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 name="Text_Box_17_SpCnt_115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082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20" name="Text_Box_15_SpCnt_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 name="Text_Box_15_SpCnt_115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092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13" name="Text_Box_18_SpCnt_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Text_Box_18_SpCnt_115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103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07" name="Text_Box_18_SpCnt_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Text_Box_18_SpCnt_115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113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31" name="Text_Box_18_SpCnt_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 name="Text_Box_18_SpCnt_115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123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19" name="Text_Box_16_SpCnt_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Text_Box_16_SpCnt_115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133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08" name="Text_Box_15_SpCnt_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Text_Box_15_SpCnt_115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144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14" name="Text_Box_17_SpCnt_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Text_Box_17_SpCnt_115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154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28" name="Text_Box_17_SpCnt_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 name="Text_Box_17_SpCnt_115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164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21" name="Text_Box_17_SpCnt_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Text_Box_17_SpCnt_115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174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15" name="Text_Box_15_SpCnt_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Text_Box_15_SpCnt_115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184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32" name="Text_Box_18_SpCnt_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 name="Text_Box_18_SpCnt_115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195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16" name="Text_Box_1094_SpCnt_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 name="Text_Box_1094_SpCnt_114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205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09" name="Text_Box_15_SpCnt_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Text_Box_15_SpCnt_115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215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22" name="Text_Box_17_SpCnt_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 name="Text_Box_17_SpCnt_115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225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25" name="Text_Box_16_SpCnt_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 name="Text_Box_16_SpCnt_115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236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33" name="Text_Box_15_SpCnt_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 name="Text_Box_15_SpCnt_115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246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34" name="Text_Box_16_SpCnt_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 name="Text_Box_16_SpCnt_115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256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10" name="Text_Box_15_SpCnt_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Text_Box_15_SpCnt_115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266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11" name="Text_Box_18_SpCnt_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Text_Box_18_SpCnt_115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277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55" name="Text_Box_1094_SpCnt_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Text_Box_1094_SpCnt_114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287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39" name="Text_Box_18_SpCnt_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 name="Text_Box_18_SpCnt_116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297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40" name="Text_Box_17_SpCnt_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 name="Text_Box_17_SpCnt_115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307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37" name="Text_Box_18_SpCnt_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 name="Text_Box_18_SpCnt_116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318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38" name="Text_Box_17_SpCnt_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 name="Text_Box_17_SpCnt_115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328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66" name="Text_Box_1094_SpCnt_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 name="Text_Box_1094_SpCnt_114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338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49" name="Text_Box_16_SpCnt_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 name="Text_Box_16_SpCnt_115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348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44" name="Text_Box_16_SpCnt_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 name="Text_Box_16_SpCnt_115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359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43" name="Text_Box_16_SpCnt_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 name="Text_Box_16_SpCnt_116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369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50" name="Text_Box_15_SpCnt_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Text_Box_15_SpCnt_115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379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36" name="Text_Box_17_SpCnt_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 name="Text_Box_17_SpCnt_115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389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45" name="Text_Box_16_SpCnt_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 name="Text_Box_16_SpCnt_116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400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61" name="Text_Box_15_SpCnt_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 name="Text_Box_15_SpCnt_115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410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51" name="Text_Box_1094_SpCnt_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Text_Box_1094_SpCnt_114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420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54" name="Text_Box_18_SpCnt_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Text_Box_18_SpCnt_116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430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41" name="Text_Box_1094_SpCnt_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 name="Text_Box_1094_SpCnt_114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440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46" name="Text_Box_1094_SpCnt_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 name="Text_Box_1094_SpCnt_115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451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65" name="Text_Box_18_SpCnt_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 name="Text_Box_18_SpCnt_116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461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42" name="Text_Box_15_SpCnt_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 name="Text_Box_15_SpCnt_115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471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47" name="Text_Box_15_SpCnt_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 name="Text_Box_15_SpCnt_116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481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57" name="Text_Box_18_SpCnt_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 name="Text_Box_18_SpCnt_116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492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48" name="Text_Box_1094_SpCnt_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 name="Text_Box_1094_SpCnt_115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502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35" name="Text_Box_1094_SpCnt_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 name="Text_Box_1094_SpCnt_115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512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56" name="Text_Box_17_SpCnt_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 name="Text_Box_17_SpCnt_115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522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52" name="Text_Box_18_SpCnt_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Text_Box_18_SpCnt_116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533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53" name="Text_Box_18_SpCnt_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Text_Box_18_SpCnt_116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543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58" name="Text_Box_18_SpCnt_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 name="Text_Box_18_SpCnt_116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553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59" name="Text_Box_16_SpCnt_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 name="Text_Box_16_SpCnt_116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563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60" name="Text_Box_1094_SpCnt_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 name="Text_Box_1094_SpCnt_115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574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62" name="Text_Box_18_SpCnt_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 name="Text_Box_18_SpCnt_116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584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63" name="Text_Box_18_SpCnt_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 name="Text_Box_18_SpCnt_116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594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64" name="Text_Box_15_SpCnt_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 name="Text_Box_15_SpCnt_116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604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71" name="Text_Box_17_SpCnt_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 name="Text_Box_17_SpCnt_116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615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70" name="Text_Box_15_SpCnt_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 name="Text_Box_15_SpCnt_116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625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69" name="Text_Box_1094_SpCnt_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 name="Text_Box_1094_SpCnt_115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635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72" name="Text_Box_18_SpCnt_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 name="Text_Box_18_SpCnt_117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645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73" name="Text_Box_15_SpCnt_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 name="Text_Box_15_SpCnt_116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656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67" name="Text_Box_17_SpCnt_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 name="Text_Box_17_SpCnt_116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666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2068" name="Text_Box_17_SpCnt_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 name="Text_Box_17_SpCnt_116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676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74" name="Text_Box_15_SpCnt_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 name="Text_Box_15_SpCnt_116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686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58" name="Text_Box_16_SpCnt_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 name="Text_Box_16_SpCnt_116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696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60" name="Text_Box_17_SpCnt_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 name="Text_Box_17_SpCnt_116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707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50" name="Text_Box_17_SpCnt_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 name="Text_Box_17_SpCnt_116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717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55" name="Text_Box_17_SpCnt_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 name="Text_Box_17_SpCnt_116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727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70" name="Text_Box_18_SpCnt_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 name="Text_Box_18_SpCnt_117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737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77" name="Text_Box_16_SpCnt_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 name="Text_Box_16_SpCnt_116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748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54" name="Text_Box_15_SpCnt_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 name="Text_Box_15_SpCnt_116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758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75" name="Text_Box_18_SpCnt_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 name="Text_Box_18_SpCnt_117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768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78" name="Text_Box_15_SpCnt_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 name="Text_Box_15_SpCnt_116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778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59" name="Text_Box_15_SpCnt_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 name="Text_Box_15_SpCnt_116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789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48" name="Text_Box_17_SpCnt_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 name="Text_Box_17_SpCnt_116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799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66" name="Text_Box_1094_SpCnt_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 name="Text_Box_1094_SpCnt_115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809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64" name="Text_Box_15_SpCnt_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 name="Text_Box_15_SpCnt_116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819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49" name="Text_Box_16_SpCnt_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 name="Text_Box_16_SpCnt_116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830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47" name="Text_Box_15_SpCnt_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 name="Text_Box_15_SpCnt_116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840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51" name="Text_Box_1094_SpCnt_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 name="Text_Box_1094_SpCnt_115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850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61" name="Text_Box_1094_SpCnt_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 name="Text_Box_1094_SpCnt_115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860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73" name="Text_Box_15_SpCnt_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 name="Text_Box_15_SpCnt_117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871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52" name="Text_Box_17_SpCnt_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 name="Text_Box_17_SpCnt_116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881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53" name="Text_Box_18_SpCnt_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 name="Text_Box_18_SpCnt_117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891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56" name="Text_Box_15_SpCnt_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 name="Text_Box_15_SpCnt_117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901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69" name="Text_Box_1094_SpCnt_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 name="Text_Box_1094_SpCnt_115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912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62" name="Text_Box_16_SpCnt_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 name="Text_Box_16_SpCnt_116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922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57" name="Text_Box_1094_SpCnt_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 name="Text_Box_1094_SpCnt_115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932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68" name="Text_Box_17_SpCnt_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 name="Text_Box_17_SpCnt_116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942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63" name="Text_Box_1094_SpCnt_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 name="Text_Box_1094_SpCnt_116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952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76" name="Text_Box_15_SpCnt_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 name="Text_Box_15_SpCnt_117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963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65" name="Text_Box_15_SpCnt_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 name="Text_Box_15_SpCnt_117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973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67" name="Text_Box_1094_SpCnt_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 name="Text_Box_1094_SpCnt_116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983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71" name="Text_Box_1094_SpCnt_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 name="Text_Box_1094_SpCnt_116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4993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772" name="Text_Box_17_SpCnt_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 name="Text_Box_17_SpCnt_116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004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92" name="Text_Box_17_SpCnt_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 name="Text_Box_17_SpCnt_117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014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91" name="Text_Box_18_SpCnt_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 name="Text_Box_18_SpCnt_117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024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01" name="Text_Box_15_SpCnt_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 name="Text_Box_15_SpCnt_117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034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93" name="Text_Box_18_SpCnt_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 name="Text_Box_18_SpCnt_117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045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86" name="Text_Box_1094_SpCnt_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 name="Text_Box_1094_SpCnt_116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055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80" name="Text_Box_17_SpCnt_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 name="Text_Box_17_SpCnt_117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065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85" name="Text_Box_15_SpCnt_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 name="Text_Box_15_SpCnt_117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075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94" name="Text_Box_17_SpCnt_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 name="Text_Box_17_SpCnt_117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086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87" name="Text_Box_16_SpCnt_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 name="Text_Box_16_SpCnt_116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096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76" name="Text_Box_1094_SpCnt_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 name="Text_Box_1094_SpCnt_116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106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81" name="Text_Box_16_SpCnt_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 name="Text_Box_16_SpCnt_116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116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88" name="Text_Box_18_SpCnt_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 name="Text_Box_18_SpCnt_117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127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82" name="Text_Box_18_SpCnt_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 name="Text_Box_18_SpCnt_117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137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97" name="Text_Box_1094_SpCnt_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 name="Text_Box_1094_SpCnt_116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147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95" name="Text_Box_1094_SpCnt_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 name="Text_Box_1094_SpCnt_116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157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96" name="Text_Box_18_SpCnt_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 name="Text_Box_18_SpCnt_117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168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98" name="Text_Box_17_SpCnt_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 name="Text_Box_17_SpCnt_117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178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99" name="Text_Box_18_SpCnt_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 name="Text_Box_18_SpCnt_117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188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00" name="Text_Box_15_SpCnt_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 name="Text_Box_15_SpCnt_117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198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02" name="Text_Box_18_SpCnt_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 name="Text_Box_18_SpCnt_118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208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78" name="Text_Box_1094_SpCnt_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 name="Text_Box_1094_SpCnt_116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219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90" name="Text_Box_16_SpCnt_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 name="Text_Box_16_SpCnt_116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229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06" name="Text_Box_17_SpCnt_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 name="Text_Box_17_SpCnt_117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239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03" name="Text_Box_15_SpCnt_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 name="Text_Box_15_SpCnt_117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249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89" name="Text_Box_17_SpCnt_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 name="Text_Box_17_SpCnt_117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260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04" name="Text_Box_1094_SpCnt_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 name="Text_Box_1094_SpCnt_116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270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05" name="Text_Box_1094_SpCnt_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 name="Text_Box_1094_SpCnt_116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280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75" name="Text_Box_16_SpCnt_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 name="Text_Box_16_SpCnt_117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290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77" name="Text_Box_17_SpCnt_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 name="Text_Box_17_SpCnt_117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301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79" name="Text_Box_1094_SpCnt_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 name="Text_Box_1094_SpCnt_117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311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83" name="Text_Box_15_SpCnt_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 name="Text_Box_15_SpCnt_117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321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484" name="Text_Box_16_SpCnt_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 name="Text_Box_16_SpCnt_117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331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29" name="Text_Box_17_SpCnt_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 name="Text_Box_17_SpCnt_117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342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18" name="Text_Box_16_SpCnt_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 name="Text_Box_16_SpCnt_117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352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11" name="Text_Box_1094_SpCnt_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 name="Text_Box_1094_SpCnt_117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362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10" name="Text_Box_1094_SpCnt_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 name="Text_Box_1094_SpCnt_117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372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19" name="Text_Box_18_SpCnt_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 name="Text_Box_18_SpCnt_118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383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26" name="Text_Box_17_SpCnt_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 name="Text_Box_17_SpCnt_117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393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20" name="Text_Box_1094_SpCnt_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 name="Text_Box_1094_SpCnt_117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403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08" name="Text_Box_18_SpCnt_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 name="Text_Box_18_SpCnt_118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413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27" name="Text_Box_17_SpCnt_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 name="Text_Box_17_SpCnt_117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424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24" name="Text_Box_17_SpCnt_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 name="Text_Box_17_SpCnt_118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434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28" name="Text_Box_16_SpCnt_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 name="Text_Box_16_SpCnt_117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444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07" name="Text_Box_18_SpCnt_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 name="Text_Box_18_SpCnt_118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454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22" name="Text_Box_15_SpCnt_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 name="Text_Box_15_SpCnt_117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464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34" name="Text_Box_1094_SpCnt_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 name="Text_Box_1094_SpCnt_117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475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12" name="Text_Box_1094_SpCnt_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 name="Text_Box_1094_SpCnt_117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485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09" name="Text_Box_1094_SpCnt_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 name="Text_Box_1094_SpCnt_117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495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13" name="Text_Box_15_SpCnt_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 name="Text_Box_15_SpCnt_118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505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16" name="Text_Box_1094_SpCnt_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 name="Text_Box_1094_SpCnt_117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516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35" name="Text_Box_15_SpCnt_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 name="Text_Box_15_SpCnt_118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526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14" name="Text_Box_1094_SpCnt_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 name="Text_Box_1094_SpCnt_117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536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25" name="Text_Box_15_SpCnt_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 name="Text_Box_15_SpCnt_118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546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21" name="Text_Box_17_SpCnt_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 name="Text_Box_17_SpCnt_118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557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15" name="Text_Box_17_SpCnt_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 name="Text_Box_17_SpCnt_118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567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36" name="Text_Box_1094_SpCnt_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 name="Text_Box_1094_SpCnt_117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577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23" name="Text_Box_16_SpCnt_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 name="Text_Box_16_SpCnt_117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587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30" name="Text_Box_17_SpCnt_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 name="Text_Box_17_SpCnt_118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598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32" name="Text_Box_16_SpCnt_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 name="Text_Box_16_SpCnt_117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608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31" name="Text_Box_17_SpCnt_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 name="Text_Box_17_SpCnt_118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618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33" name="Text_Box_17_SpCnt_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 name="Text_Box_17_SpCnt_118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628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37" name="Text_Box_18_SpCnt_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 name="Text_Box_18_SpCnt_118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639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38" name="Text_Box_18_SpCnt_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 name="Text_Box_18_SpCnt_118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649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17" name="Text_Box_16_SpCnt_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 name="Text_Box_16_SpCnt_117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659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40" name="Text_Box_18_SpCnt_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 name="Text_Box_18_SpCnt_118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669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58" name="Text_Box_1094_SpCnt_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 name="Text_Box_1094_SpCnt_118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680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47" name="Text_Box_16_SpCnt_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 name="Text_Box_16_SpCnt_117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690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49" name="Text_Box_15_SpCnt_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 name="Text_Box_15_SpCnt_118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700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53" name="Text_Box_18_SpCnt_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 name="Text_Box_18_SpCnt_118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710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54" name="Text_Box_16_SpCnt_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 name="Text_Box_16_SpCnt_117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720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69" name="Text_Box_1094_SpCnt_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 name="Text_Box_1094_SpCnt_118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731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60" name="Text_Box_15_SpCnt_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 name="Text_Box_15_SpCnt_118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741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61" name="Text_Box_1094_SpCnt_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 name="Text_Box_1094_SpCnt_118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751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70" name="Text_Box_18_SpCnt_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 name="Text_Box_18_SpCnt_118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761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50" name="Text_Box_18_SpCnt_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 name="Text_Box_18_SpCnt_118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772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64" name="Text_Box_1094_SpCnt_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 name="Text_Box_1094_SpCnt_118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782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65" name="Text_Box_16_SpCnt_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 name="Text_Box_16_SpCnt_117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792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44" name="Text_Box_17_SpCnt_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 name="Text_Box_17_SpCnt_118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802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55" name="Text_Box_15_SpCnt_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 name="Text_Box_15_SpCnt_118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813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41" name="Text_Box_17_SpCnt_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 name="Text_Box_17_SpCnt_118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823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39" name="Text_Box_1094_SpCnt_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 name="Text_Box_1094_SpCnt_118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833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51" name="Text_Box_16_SpCnt_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 name="Text_Box_16_SpCnt_118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843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62" name="Text_Box_1094_SpCnt_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 name="Text_Box_1094_SpCnt_118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854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48" name="Text_Box_16_SpCnt_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 name="Text_Box_16_SpCnt_118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864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63" name="Text_Box_1094_SpCnt_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 name="Text_Box_1094_SpCnt_118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874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42" name="Text_Box_18_SpCnt_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 name="Text_Box_18_SpCnt_119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884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66" name="Text_Box_17_SpCnt_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 name="Text_Box_17_SpCnt_118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895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43" name="Text_Box_16_SpCnt_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 name="Text_Box_16_SpCnt_118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905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67" name="Text_Box_1094_SpCnt_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 name="Text_Box_1094_SpCnt_118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915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45" name="Text_Box_15_SpCnt_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 name="Text_Box_15_SpCnt_118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925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68" name="Text_Box_17_SpCnt_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 name="Text_Box_17_SpCnt_118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936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46" name="Text_Box_1094_SpCnt_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 name="Text_Box_1094_SpCnt_118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946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52" name="Text_Box_17_SpCnt_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 name="Text_Box_17_SpCnt_119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956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56" name="Text_Box_15_SpCnt_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 name="Text_Box_15_SpCnt_118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966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57" name="Text_Box_16_SpCnt_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 name="Text_Box_16_SpCnt_118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976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59" name="Text_Box_1094_SpCnt_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 name="Text_Box_1094_SpCnt_118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987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77" name="Text_Box_17_SpCnt_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 name="Text_Box_17_SpCnt_119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5997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01" name="Text_Box_16_SpCnt_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 name="Text_Box_16_SpCnt_118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007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97" name="Text_Box_17_SpCnt_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 name="Text_Box_17_SpCnt_119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017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78" name="Text_Box_17_SpCnt_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 name="Text_Box_17_SpCnt_119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028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73" name="Text_Box_1094_SpCnt_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 name="Text_Box_1094_SpCnt_119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038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87" name="Text_Box_17_SpCnt_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 name="Text_Box_17_SpCnt_119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048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94" name="Text_Box_15_SpCnt_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 name="Text_Box_15_SpCnt_118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058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02" name="Text_Box_17_SpCnt_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 name="Text_Box_17_SpCnt_119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069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88" name="Text_Box_15_SpCnt_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 name="Text_Box_15_SpCnt_118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079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90" name="Text_Box_18_SpCnt_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 name="Text_Box_18_SpCnt_119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089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83" name="Text_Box_17_SpCnt_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 name="Text_Box_17_SpCnt_119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099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93" name="Text_Box_1094_SpCnt_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 name="Text_Box_1094_SpCnt_119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110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74" name="Text_Box_16_SpCnt_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 name="Text_Box_16_SpCnt_118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120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71" name="Text_Box_15_SpCnt_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 name="Text_Box_15_SpCnt_119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130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72" name="Text_Box_18_SpCnt_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 name="Text_Box_18_SpCnt_119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140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75" name="Text_Box_17_SpCnt_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 name="Text_Box_17_SpCnt_119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151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84" name="Text_Box_1094_SpCnt_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 name="Text_Box_1094_SpCnt_119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161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76" name="Text_Box_15_SpCnt_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 name="Text_Box_15_SpCnt_119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171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85" name="Text_Box_16_SpCnt_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 name="Text_Box_16_SpCnt_118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181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79" name="Text_Box_17_SpCnt_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 name="Text_Box_17_SpCnt_119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192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80" name="Text_Box_16_SpCnt_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 name="Text_Box_16_SpCnt_118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202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91" name="Text_Box_18_SpCnt_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 name="Text_Box_18_SpCnt_119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212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81" name="Text_Box_16_SpCnt_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 name="Text_Box_16_SpCnt_118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222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82" name="Text_Box_18_SpCnt_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 name="Text_Box_18_SpCnt_119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232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86" name="Text_Box_17_SpCnt_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 name="Text_Box_17_SpCnt_119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243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89" name="Text_Box_17_SpCnt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 name="Text_Box_17_SpCnt_120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253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92" name="Text_Box_18_SpCnt_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 name="Text_Box_18_SpCnt_119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263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95" name="Text_Box_18_SpCnt_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 name="Text_Box_18_SpCnt_119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273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96" name="Text_Box_15_SpCnt_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 name="Text_Box_15_SpCnt_119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284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98" name="Text_Box_1094_SpCnt_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 name="Text_Box_1094_SpCnt_119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294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599" name="Text_Box_18_SpCnt_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 name="Text_Box_18_SpCnt_119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304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00" name="Text_Box_16_SpCnt_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 name="Text_Box_16_SpCnt_118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314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03" name="Text_Box_15_SpCnt_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 name="Text_Box_15_SpCnt_119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325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18" name="Text_Box_18_SpCnt_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 name="Text_Box_18_SpCnt_119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335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12" name="Text_Box_1094_SpCnt_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 name="Text_Box_1094_SpCnt_119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345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25" name="Text_Box_1094_SpCnt_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 name="Text_Box_1094_SpCnt_119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355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17" name="Text_Box_18_SpCnt_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 name="Text_Box_18_SpCnt_119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366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19" name="Text_Box_18_SpCnt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 name="Text_Box_18_SpCnt_120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376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33" name="Text_Box_15_SpCnt_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 name="Text_Box_15_SpCnt_119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386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26" name="Text_Box_1094_SpCnt_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 name="Text_Box_1094_SpCnt_119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396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20" name="Text_Box_17_SpCnt_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 name="Text_Box_17_SpCnt_120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407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09" name="Text_Box_18_SpCnt_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 name="Text_Box_18_SpCnt_120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417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27" name="Text_Box_17_SpCnt_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 name="Text_Box_17_SpCnt_120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427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31" name="Text_Box_15_SpCnt_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 name="Text_Box_15_SpCnt_119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437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13" name="Text_Box_15_SpCnt_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 name="Text_Box_15_SpCnt_119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448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34" name="Text_Box_18_SpCnt_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 name="Text_Box_18_SpCnt_120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458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21" name="Text_Box_16_SpCnt_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 name="Text_Box_16_SpCnt_119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468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10" name="Text_Box_1094_SpCnt_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 name="Text_Box_1094_SpCnt_119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478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08" name="Text_Box_16_SpCnt_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 name="Text_Box_16_SpCnt_119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488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16" name="Text_Box_15_SpCnt_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 name="Text_Box_15_SpCnt_119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499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11" name="Text_Box_1094_SpCnt_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 name="Text_Box_1094_SpCnt_119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509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28" name="Text_Box_16_SpCnt_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 name="Text_Box_16_SpCnt_119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519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04" name="Text_Box_16_SpCnt_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 name="Text_Box_16_SpCnt_119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529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22" name="Text_Box_18_SpCnt_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 name="Text_Box_18_SpCnt_120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540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23" name="Text_Box_18_SpCnt_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 name="Text_Box_18_SpCnt_120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550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05" name="Text_Box_16_SpCnt_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 name="Text_Box_16_SpCnt_119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560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29" name="Text_Box_1094_SpCnt_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 name="Text_Box_1094_SpCnt_119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570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24" name="Text_Box_1094_SpCnt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 name="Text_Box_1094_SpCnt_120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581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30" name="Text_Box_16_SpCnt_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 name="Text_Box_16_SpCnt_119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591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14" name="Text_Box_16_SpCnt_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 name="Text_Box_16_SpCnt_119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601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32" name="Text_Box_16_SpCnt_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 name="Text_Box_16_SpCnt_119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611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06" name="Text_Box_18_SpCnt_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 name="Text_Box_18_SpCnt_120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622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15" name="Text_Box_16_SpCnt_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 name="Text_Box_16_SpCnt_119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632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07" name="Text_Box_15_SpCnt_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 name="Text_Box_15_SpCnt_119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642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37" name="Text_Box_15_SpCnt_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 name="Text_Box_15_SpCnt_119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652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64" name="Text_Box_18_SpCnt_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 name="Text_Box_18_SpCnt_120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663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65" name="Text_Box_16_SpCnt_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 name="Text_Box_16_SpCnt_119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673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52" name="Text_Box_15_SpCnt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 name="Text_Box_15_SpCnt_120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683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53" name="Text_Box_15_SpCnt_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 name="Text_Box_15_SpCnt_120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693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54" name="Text_Box_18_SpCnt_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 name="Text_Box_18_SpCnt_120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704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51" name="Text_Box_16_SpCnt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 name="Text_Box_16_SpCnt_120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714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63" name="Text_Box_16_SpCnt_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 name="Text_Box_16_SpCnt_120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724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45" name="Text_Box_18_SpCnt_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 name="Text_Box_18_SpCnt_120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734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50" name="Text_Box_1094_SpCnt_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 name="Text_Box_1094_SpCnt_120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744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57" name="Text_Box_1094_SpCnt_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 name="Text_Box_1094_SpCnt_120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755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41" name="Text_Box_1094_SpCnt_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 name="Text_Box_1094_SpCnt_120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765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58" name="Text_Box_16_SpCnt_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 name="Text_Box_16_SpCnt_120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775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55" name="Text_Box_1094_SpCnt_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 name="Text_Box_1094_SpCnt_120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785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43" name="Text_Box_18_SpCnt_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 name="Text_Box_18_SpCnt_120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796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59" name="Text_Box_16_SpCnt_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 name="Text_Box_16_SpCnt_120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806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66" name="Text_Box_16_SpCnt_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 name="Text_Box_16_SpCnt_120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816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56" name="Text_Box_1094_SpCnt_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 name="Text_Box_1094_SpCnt_120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826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42" name="Text_Box_17_SpCnt_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 name="Text_Box_17_SpCnt_120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837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35" name="Text_Box_16_SpCnt_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 name="Text_Box_16_SpCnt_120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847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60" name="Text_Box_17_SpCnt_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 name="Text_Box_17_SpCnt_120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857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44" name="Text_Box_1094_SpCnt_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 name="Text_Box_1094_SpCnt_120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867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61" name="Text_Box_15_SpCnt_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 name="Text_Box_15_SpCnt_1202"/>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878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38" name="Text_Box_15_SpCnt_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 name="Text_Box_15_SpCnt_1203"/>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888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36" name="Text_Box_1094_SpCnt_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 name="Text_Box_1094_SpCnt_120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898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48" name="Text_Box_15_SpCnt_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 name="Text_Box_15_SpCnt_1204"/>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908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39" name="Text_Box_17_SpCnt_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 name="Text_Box_17_SpCnt_120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9190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62" name="Text_Box_16_SpCnt_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 name="Text_Box_16_SpCnt_120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9292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46" name="Text_Box_15_SpCnt_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 name="Text_Box_15_SpCnt_1205"/>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9395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49" name="Text_Box_1094_SpCnt_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 name="Text_Box_1094_SpCnt_120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9497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40" name="Text_Box_15_SpCnt_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 name="Text_Box_15_SpCnt_120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9600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47" name="Text_Box_15_SpCnt_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 name="Text_Box_15_SpCnt_120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9702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84" name="Text_Box_18_SpCnt_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 name="Text_Box_18_SpCnt_121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9804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87" name="Text_Box_17_SpCnt_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 name="Text_Box_17_SpCnt_1206"/>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69907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77" name="Text_Box_16_SpCnt_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 name="Text_Box_16_SpCnt_120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0009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72" name="Text_Box_16_SpCnt_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 name="Text_Box_16_SpCnt_120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0112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68" name="Text_Box_15_SpCnt_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 name="Text_Box_15_SpCnt_120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0214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69" name="Text_Box_16_SpCnt_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 name="Text_Box_16_SpCnt_120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0316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88" name="Text_Box_17_SpCnt_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 name="Text_Box_17_SpCnt_1207"/>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0419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85" name="Text_Box_16_SpCnt_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 name="Text_Box_16_SpCnt_121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0521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78" name="Text_Box_16_SpCnt_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 name="Text_Box_16_SpCnt_121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0624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81" name="Text_Box_17_SpCnt_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 name="Text_Box_17_SpCnt_1208"/>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0726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79" name="Text_Box_15_SpCnt_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 name="Text_Box_15_SpCnt_120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0828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71" name="Text_Box_18_SpCnt_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 name="Text_Box_18_SpCnt_121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0931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82" name="Text_Box_17_SpCnt_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 name="Text_Box_17_SpCnt_120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1033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70" name="Text_Box_15_SpCnt_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 name="Text_Box_15_SpCnt_121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1136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89" name="Text_Box_1094_SpCnt_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 name="Text_Box_1094_SpCnt_1209"/>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12384"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73" name="Text_Box_17_SpCnt_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 name="Text_Box_17_SpCnt_121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13408"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83" name="Text_Box_1094_SpCnt_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 name="Text_Box_1094_SpCnt_1210"/>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14432"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86" name="Text_Box_17_SpCnt_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 name="Text_Box_17_SpCnt_121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15456"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90" name="Text_Box_15_SpCnt_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 name="Text_Box_15_SpCnt_121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drawing>
                <wp:anchor distT="0" distB="0" distL="114300" distR="114300" simplePos="0" relativeHeight="253716480" behindDoc="0" locked="0" layoutInCell="1" allowOverlap="1">
                  <wp:simplePos x="0" y="0"/>
                  <wp:positionH relativeFrom="column">
                    <wp:posOffset>317500</wp:posOffset>
                  </wp:positionH>
                  <wp:positionV relativeFrom="paragraph">
                    <wp:posOffset>0</wp:posOffset>
                  </wp:positionV>
                  <wp:extent cx="1370965" cy="532765"/>
                  <wp:effectExtent l="0" t="0" r="0" b="0"/>
                  <wp:wrapNone/>
                  <wp:docPr id="1691" name="Text_Box_1094_SpCnt_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 name="Text_Box_1094_SpCnt_1211"/>
                          <pic:cNvPicPr>
                            <a:picLocks noChangeAspect="1"/>
                          </pic:cNvPicPr>
                        </pic:nvPicPr>
                        <pic:blipFill>
                          <a:blip r:embed="rId8"/>
                          <a:stretch>
                            <a:fillRect/>
                          </a:stretch>
                        </pic:blipFill>
                        <pic:spPr>
                          <a:xfrm>
                            <a:off x="0" y="0"/>
                            <a:ext cx="1370965" cy="532765"/>
                          </a:xfrm>
                          <a:prstGeom prst="rect">
                            <a:avLst/>
                          </a:prstGeom>
                          <a:noFill/>
                          <a:ln>
                            <a:noFill/>
                          </a:ln>
                        </pic:spPr>
                      </pic:pic>
                    </a:graphicData>
                  </a:graphic>
                </wp:anchor>
              </w:drawing>
            </w:r>
            <w:r>
              <w:rPr>
                <w:color w:val="000000"/>
                <w:kern w:val="0"/>
                <w:sz w:val="24"/>
                <w:lang w:bidi="ar"/>
              </w:rPr>
              <w:t>用地面积10亩，建筑面积1.2万平方米，建设冷链物流中心。新建集“农产品冷藏保鲜和物流配送、电商、质检”为一体的经营服务</w:t>
            </w:r>
          </w:p>
          <w:p>
            <w:pPr>
              <w:widowControl/>
              <w:spacing w:line="310" w:lineRule="exact"/>
              <w:jc w:val="center"/>
              <w:textAlignment w:val="center"/>
              <w:rPr>
                <w:color w:val="000000"/>
                <w:kern w:val="0"/>
                <w:sz w:val="24"/>
                <w:lang w:bidi="ar"/>
              </w:rPr>
            </w:pPr>
            <w:r>
              <w:rPr>
                <w:color w:val="000000"/>
                <w:kern w:val="0"/>
                <w:sz w:val="24"/>
                <w:lang w:bidi="ar"/>
              </w:rPr>
              <w:t>中心。</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金华市</w:t>
            </w:r>
          </w:p>
          <w:p>
            <w:pPr>
              <w:widowControl/>
              <w:spacing w:line="310" w:lineRule="exact"/>
              <w:jc w:val="center"/>
              <w:textAlignment w:val="center"/>
              <w:rPr>
                <w:color w:val="000000"/>
                <w:kern w:val="0"/>
                <w:sz w:val="24"/>
                <w:lang w:bidi="ar"/>
              </w:rPr>
            </w:pPr>
            <w:r>
              <w:rPr>
                <w:color w:val="000000"/>
                <w:kern w:val="0"/>
                <w:sz w:val="24"/>
                <w:lang w:bidi="ar"/>
              </w:rPr>
              <w:t>婺城区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bdr w:val="single" w:color="000000" w:sz="4" w:space="0"/>
                <w:shd w:val="clear" w:color="auto" w:fill="FFFF00"/>
                <w:lang w:bidi="ar"/>
              </w:rPr>
            </w:pPr>
            <w:r>
              <w:drawing>
                <wp:anchor distT="0" distB="0" distL="114300" distR="114300" simplePos="0" relativeHeight="253719552"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92" name="Text_Box_1094_SpCnt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 name="Text_Box_1094_SpCnt_66"/>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20576"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93" name="Text_Box_17_SpCnt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 name="Text_Box_17_SpCnt_48"/>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21600"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94" name="Text_Box_18_SpCnt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 name="Text_Box_18_SpCnt_48"/>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22624"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80" name="Text_Box_17_SpCnt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 name="Text_Box_17_SpCnt_49"/>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23648"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95" name="Text_Box_17_SpCnt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 name="Text_Box_17_SpCnt_50"/>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24672"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96" name="Text_Box_16_SpCnt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 name="Text_Box_16_SpCnt_48"/>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25696"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97" name="Text_Box_1094_SpCnt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 name="Text_Box_1094_SpCnt_67"/>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26720"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98" name="Text_Box_1094_SpCnt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 name="Text_Box_1094_SpCnt_68"/>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27744"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67" name="Text_Box_17_SpCnt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 name="Text_Box_17_SpCnt_51"/>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28768"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74" name="Text_Box_15_SpCnt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 name="Text_Box_15_SpCnt_48"/>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29792"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75" name="Text_Box_18_SpCnt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 name="Text_Box_18_SpCnt_49"/>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30816"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76" name="Text_Box_18_SpCnt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 name="Text_Box_18_SpCnt_50"/>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31840"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12" name="Text_Box_15_SpCnt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 name="Text_Box_15_SpCnt_49"/>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32864"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02" name="Text_Box_16_SpCnt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 name="Text_Box_16_SpCnt_49"/>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33888"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27" name="Text_Box_17_SpCnt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 name="Text_Box_17_SpCnt_52"/>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34912"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13" name="Text_Box_1094_SpCnt_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 name="Text_Box_1094_SpCnt_69"/>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35936"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18" name="Text_Box_15_SpCnt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 name="Text_Box_15_SpCnt_50"/>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36960"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699" name="Text_Box_15_SpCnt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 name="Text_Box_15_SpCnt_51"/>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37984"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14" name="Text_Box_17_SpCnt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 name="Text_Box_17_SpCnt_53"/>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39008"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08" name="Text_Box_1094_SpCn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 name="Text_Box_1094_SpCnt_70"/>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40032"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16" name="Text_Box_18_SpCnt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 name="Text_Box_18_SpCnt_51"/>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41056"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30" name="Text_Box_18_SpCnt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 name="Text_Box_18_SpCnt_52"/>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42080"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03" name="Text_Box_17_SpCnt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 name="Text_Box_17_SpCnt_54"/>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43104"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21" name="Text_Box_18_SpCnt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 name="Text_Box_18_SpCnt_53"/>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44128"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22" name="Text_Box_17_SpCnt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 name="Text_Box_17_SpCnt_55"/>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45152"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17" name="Text_Box_18_SpCnt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 name="Text_Box_18_SpCnt_54"/>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46176"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15" name="Text_Box_16_SpCnt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 name="Text_Box_16_SpCnt_50"/>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47200"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29" name="Text_Box_1094_SpCnt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 name="Text_Box_1094_SpCnt_71"/>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48224"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25" name="Text_Box_16_SpCnt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 name="Text_Box_16_SpCnt_51"/>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49248"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07" name="Text_Box_15_SpCnt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 name="Text_Box_15_SpCnt_52"/>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50272"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00" name="Text_Box_16_SpCnt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 name="Text_Box_16_SpCnt_52"/>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51296"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28" name="Text_Box_15_SpCnt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 name="Text_Box_15_SpCnt_53"/>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52320"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10" name="Text_Box_15_SpCnt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 name="Text_Box_15_SpCnt_54"/>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53344"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23" name="Text_Box_16_SpCnt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 name="Text_Box_16_SpCnt_53"/>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54368"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04" name="Text_Box_16_SpCnt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 name="Text_Box_16_SpCnt_54"/>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55392"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19" name="Text_Box_18_SpCnt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 name="Text_Box_18_SpCnt_55"/>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56416"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20" name="Text_Box_17_SpCnt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 name="Text_Box_17_SpCnt_56"/>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57440"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05" name="Text_Box_18_SpCnt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 name="Text_Box_18_SpCnt_56"/>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58464"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24" name="Text_Box_18_SpCnt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 name="Text_Box_18_SpCnt_57"/>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59488"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26" name="Text_Box_1094_SpCnt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 name="Text_Box_1094_SpCnt_72"/>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60512"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01" name="Text_Box_17_SpCnt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 name="Text_Box_17_SpCnt_57"/>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61536"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09" name="Text_Box_17_SpCnt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 name="Text_Box_17_SpCnt_58"/>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62560"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06" name="Text_Box_1094_SpCnt_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 name="Text_Box_1094_SpCnt_73"/>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63584"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11" name="Text_Box_16_SpCnt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 name="Text_Box_16_SpCnt_55"/>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64608"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38" name="Text_Box_15_SpCnt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 name="Text_Box_15_SpCnt_55"/>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65632"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33" name="Text_Box_16_SpCnt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 name="Text_Box_16_SpCnt_56"/>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66656"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41" name="Text_Box_1094_SpCnt_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 name="Text_Box_1094_SpCnt_74"/>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67680"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39" name="Text_Box_15_SpCnt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 name="Text_Box_15_SpCnt_56"/>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68704"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31" name="Text_Box_16_SpCnt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 name="Text_Box_16_SpCnt_57"/>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69728"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35" name="Text_Box_1094_SpCnt_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 name="Text_Box_1094_SpCnt_75"/>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70752"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45" name="Text_Box_16_SpCnt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 name="Text_Box_16_SpCnt_58"/>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71776"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36" name="Text_Box_15_SpCnt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 name="Text_Box_15_SpCnt_57"/>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72800"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43" name="Text_Box_1094_SpCnt_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 name="Text_Box_1094_SpCnt_76"/>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73824"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46" name="Text_Box_17_SpCnt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 name="Text_Box_17_SpCnt_59"/>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74848"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42" name="Text_Box_15_SpCnt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 name="Text_Box_15_SpCnt_58"/>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r>
              <w:drawing>
                <wp:anchor distT="0" distB="0" distL="114300" distR="114300" simplePos="0" relativeHeight="253775872" behindDoc="0" locked="0" layoutInCell="1" allowOverlap="1">
                  <wp:simplePos x="0" y="0"/>
                  <wp:positionH relativeFrom="column">
                    <wp:posOffset>0</wp:posOffset>
                  </wp:positionH>
                  <wp:positionV relativeFrom="paragraph">
                    <wp:posOffset>0</wp:posOffset>
                  </wp:positionV>
                  <wp:extent cx="1178560" cy="541655"/>
                  <wp:effectExtent l="0" t="0" r="0" b="0"/>
                  <wp:wrapNone/>
                  <wp:docPr id="1740" name="Text_Box_18_SpCnt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 name="Text_Box_18_SpCnt_58"/>
                          <pic:cNvPicPr>
                            <a:picLocks noChangeAspect="1"/>
                          </pic:cNvPicPr>
                        </pic:nvPicPr>
                        <pic:blipFill>
                          <a:blip r:embed="rId8"/>
                          <a:stretch>
                            <a:fillRect/>
                          </a:stretch>
                        </pic:blipFill>
                        <pic:spPr>
                          <a:xfrm>
                            <a:off x="0" y="0"/>
                            <a:ext cx="1178560" cy="541655"/>
                          </a:xfrm>
                          <a:prstGeom prst="rect">
                            <a:avLst/>
                          </a:prstGeom>
                          <a:noFill/>
                          <a:ln>
                            <a:noFill/>
                          </a:ln>
                        </pic:spPr>
                      </pic:pic>
                    </a:graphicData>
                  </a:graphic>
                </wp:anchor>
              </w:drawing>
            </w:r>
          </w:p>
          <w:p>
            <w:pPr>
              <w:widowControl/>
              <w:spacing w:line="310" w:lineRule="exact"/>
              <w:jc w:val="center"/>
              <w:textAlignment w:val="center"/>
              <w:rPr>
                <w:color w:val="000000"/>
                <w:kern w:val="0"/>
                <w:sz w:val="24"/>
                <w:lang w:bidi="ar"/>
              </w:rPr>
            </w:pPr>
            <w:r>
              <w:drawing>
                <wp:anchor distT="0" distB="0" distL="114300" distR="114300" simplePos="0" relativeHeight="253776896" behindDoc="0" locked="0" layoutInCell="1" allowOverlap="1">
                  <wp:simplePos x="0" y="0"/>
                  <wp:positionH relativeFrom="column">
                    <wp:posOffset>544830</wp:posOffset>
                  </wp:positionH>
                  <wp:positionV relativeFrom="paragraph">
                    <wp:posOffset>0</wp:posOffset>
                  </wp:positionV>
                  <wp:extent cx="581025" cy="908685"/>
                  <wp:effectExtent l="0" t="0" r="0" b="0"/>
                  <wp:wrapNone/>
                  <wp:docPr id="1744" name="Text_Box_1094_SpCnt_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 name="Text_Box_1094_SpCnt_78"/>
                          <pic:cNvPicPr>
                            <a:picLocks noChangeAspect="1"/>
                          </pic:cNvPicPr>
                        </pic:nvPicPr>
                        <pic:blipFill>
                          <a:blip r:embed="rId8"/>
                          <a:stretch>
                            <a:fillRect/>
                          </a:stretch>
                        </pic:blipFill>
                        <pic:spPr>
                          <a:xfrm>
                            <a:off x="0" y="0"/>
                            <a:ext cx="581025" cy="908685"/>
                          </a:xfrm>
                          <a:prstGeom prst="rect">
                            <a:avLst/>
                          </a:prstGeom>
                          <a:noFill/>
                          <a:ln>
                            <a:noFill/>
                          </a:ln>
                        </pic:spPr>
                      </pic:pic>
                    </a:graphicData>
                  </a:graphic>
                </wp:anchor>
              </w:drawing>
            </w:r>
            <w:r>
              <w:drawing>
                <wp:anchor distT="0" distB="0" distL="114300" distR="114300" simplePos="0" relativeHeight="253777920" behindDoc="0" locked="0" layoutInCell="1" allowOverlap="1">
                  <wp:simplePos x="0" y="0"/>
                  <wp:positionH relativeFrom="column">
                    <wp:posOffset>544830</wp:posOffset>
                  </wp:positionH>
                  <wp:positionV relativeFrom="paragraph">
                    <wp:posOffset>0</wp:posOffset>
                  </wp:positionV>
                  <wp:extent cx="581025" cy="908685"/>
                  <wp:effectExtent l="0" t="0" r="0" b="0"/>
                  <wp:wrapNone/>
                  <wp:docPr id="1732" name="Text_Box_1094_SpCnt_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 name="Text_Box_1094_SpCnt_79"/>
                          <pic:cNvPicPr>
                            <a:picLocks noChangeAspect="1"/>
                          </pic:cNvPicPr>
                        </pic:nvPicPr>
                        <pic:blipFill>
                          <a:blip r:embed="rId8"/>
                          <a:stretch>
                            <a:fillRect/>
                          </a:stretch>
                        </pic:blipFill>
                        <pic:spPr>
                          <a:xfrm>
                            <a:off x="0" y="0"/>
                            <a:ext cx="581025" cy="908685"/>
                          </a:xfrm>
                          <a:prstGeom prst="rect">
                            <a:avLst/>
                          </a:prstGeom>
                          <a:noFill/>
                          <a:ln>
                            <a:noFill/>
                          </a:ln>
                        </pic:spPr>
                      </pic:pic>
                    </a:graphicData>
                  </a:graphic>
                </wp:anchor>
              </w:drawing>
            </w:r>
            <w:r>
              <w:drawing>
                <wp:anchor distT="0" distB="0" distL="114300" distR="114300" simplePos="0" relativeHeight="253778944" behindDoc="0" locked="0" layoutInCell="1" allowOverlap="1">
                  <wp:simplePos x="0" y="0"/>
                  <wp:positionH relativeFrom="column">
                    <wp:posOffset>544830</wp:posOffset>
                  </wp:positionH>
                  <wp:positionV relativeFrom="paragraph">
                    <wp:posOffset>0</wp:posOffset>
                  </wp:positionV>
                  <wp:extent cx="581025" cy="908685"/>
                  <wp:effectExtent l="0" t="0" r="0" b="0"/>
                  <wp:wrapNone/>
                  <wp:docPr id="1734" name="Text_Box_1094_SpCnt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 name="Text_Box_1094_SpCnt_80"/>
                          <pic:cNvPicPr>
                            <a:picLocks noChangeAspect="1"/>
                          </pic:cNvPicPr>
                        </pic:nvPicPr>
                        <pic:blipFill>
                          <a:blip r:embed="rId8"/>
                          <a:stretch>
                            <a:fillRect/>
                          </a:stretch>
                        </pic:blipFill>
                        <pic:spPr>
                          <a:xfrm>
                            <a:off x="0" y="0"/>
                            <a:ext cx="581025" cy="908685"/>
                          </a:xfrm>
                          <a:prstGeom prst="rect">
                            <a:avLst/>
                          </a:prstGeom>
                          <a:noFill/>
                          <a:ln>
                            <a:noFill/>
                          </a:ln>
                        </pic:spPr>
                      </pic:pic>
                    </a:graphicData>
                  </a:graphic>
                </wp:anchor>
              </w:drawing>
            </w:r>
            <w:r>
              <w:rPr>
                <w:color w:val="000000"/>
                <w:kern w:val="0"/>
                <w:sz w:val="24"/>
                <w:lang w:bidi="ar"/>
              </w:rPr>
              <w:t>2022-2024</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婺城区城乡建设投资集团有限公司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10206</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26</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开化县冷链物流配送基地项目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color w:val="000000"/>
                <w:kern w:val="0"/>
                <w:sz w:val="24"/>
                <w:lang w:bidi="ar"/>
              </w:rPr>
              <w:t>用地面积60亩，建筑面积约3万平方米，建设干仓和冷库。</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衢州市</w:t>
            </w:r>
          </w:p>
          <w:p>
            <w:pPr>
              <w:widowControl/>
              <w:spacing w:line="310" w:lineRule="exact"/>
              <w:jc w:val="center"/>
              <w:textAlignment w:val="center"/>
              <w:rPr>
                <w:color w:val="000000"/>
                <w:kern w:val="0"/>
                <w:sz w:val="24"/>
                <w:lang w:bidi="ar"/>
              </w:rPr>
            </w:pPr>
            <w:r>
              <w:rPr>
                <w:color w:val="000000"/>
                <w:kern w:val="0"/>
                <w:sz w:val="24"/>
                <w:lang w:bidi="ar"/>
              </w:rPr>
              <w:t>开化县</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2022-2023</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开化县供销集团</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21000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27</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北洋现代农业冷链物流中心和配套基础设施建设工程</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color w:val="000000"/>
                <w:kern w:val="0"/>
                <w:sz w:val="24"/>
                <w:lang w:bidi="ar"/>
              </w:rPr>
              <w:t>用地面积34.82亩，建筑面积约4.9万平方米，建设农特产品交易市场、冷链仓储用房、物流加工及电商配送用房、特色农产品育苗研发用房、瓜农产业交流用房、农产品展销区及配套设施等。</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台州市</w:t>
            </w:r>
          </w:p>
          <w:p>
            <w:pPr>
              <w:widowControl/>
              <w:spacing w:line="310" w:lineRule="exact"/>
              <w:jc w:val="center"/>
              <w:textAlignment w:val="center"/>
              <w:rPr>
                <w:color w:val="000000"/>
                <w:kern w:val="0"/>
                <w:sz w:val="24"/>
                <w:lang w:bidi="ar"/>
              </w:rPr>
            </w:pPr>
            <w:r>
              <w:rPr>
                <w:color w:val="000000"/>
                <w:kern w:val="0"/>
                <w:sz w:val="24"/>
                <w:lang w:bidi="ar"/>
              </w:rPr>
              <w:t>黄岩区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2022-2025</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台州市黄岩城投资产经营管理公司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114200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28</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遂昌冷链物流城项目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color w:val="000000"/>
                <w:kern w:val="0"/>
                <w:sz w:val="24"/>
                <w:lang w:bidi="ar"/>
              </w:rPr>
              <w:t>用地面积约126亩，建筑面积约7万平方米，建设金岸市场安置、冷链物流综合体及相关配套等。</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丽水市</w:t>
            </w:r>
          </w:p>
          <w:p>
            <w:pPr>
              <w:widowControl/>
              <w:spacing w:line="310" w:lineRule="exact"/>
              <w:jc w:val="center"/>
              <w:textAlignment w:val="center"/>
              <w:rPr>
                <w:color w:val="000000"/>
                <w:kern w:val="0"/>
                <w:sz w:val="24"/>
                <w:lang w:bidi="ar"/>
              </w:rPr>
            </w:pPr>
            <w:r>
              <w:rPr>
                <w:color w:val="000000"/>
                <w:kern w:val="0"/>
                <w:sz w:val="24"/>
                <w:lang w:bidi="ar"/>
              </w:rPr>
              <w:t>遂昌县</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2022-2025</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遂昌县易鲜冷链物流有限公司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61000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29</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长三角中央厨房建设项目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color w:val="000000"/>
                <w:kern w:val="0"/>
                <w:sz w:val="24"/>
                <w:lang w:bidi="ar"/>
              </w:rPr>
              <w:t>用地面积745亩,建筑面积约34.6万平方米，建设冷链仓储中心、开发现代高效农业、改造提升预制菜等特色农产品展示销售体验区。</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湖州市</w:t>
            </w:r>
          </w:p>
          <w:p>
            <w:pPr>
              <w:widowControl/>
              <w:spacing w:line="310" w:lineRule="exact"/>
              <w:jc w:val="center"/>
              <w:textAlignment w:val="center"/>
              <w:rPr>
                <w:color w:val="000000"/>
                <w:kern w:val="0"/>
                <w:sz w:val="24"/>
                <w:lang w:bidi="ar"/>
              </w:rPr>
            </w:pPr>
            <w:r>
              <w:rPr>
                <w:color w:val="000000"/>
                <w:kern w:val="0"/>
                <w:sz w:val="24"/>
                <w:lang w:bidi="ar"/>
              </w:rPr>
              <w:t>南浔区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2023-2027</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湖州南浔景源农业发展有限公司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201562</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4"/>
                <w:lang w:bidi="ar"/>
              </w:rPr>
            </w:pPr>
            <w:r>
              <w:rPr>
                <w:color w:val="000000"/>
                <w:kern w:val="0"/>
                <w:sz w:val="22"/>
                <w:szCs w:val="22"/>
                <w:lang w:bidi="ar"/>
              </w:rPr>
              <w:t>30</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浦江县冷链物流建设项目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color w:val="000000"/>
                <w:kern w:val="0"/>
                <w:sz w:val="24"/>
                <w:lang w:bidi="ar"/>
              </w:rPr>
              <w:t>用地面积40亩，建筑面积约2.3万平方米，建设电子商务中心区，冷链仓储物流配套区，农副产品、冷冻产品、储备肉O2O贸易集散产业园，电商孵化配套区四大功能区。</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rFonts w:hint="eastAsia" w:eastAsia="仿宋_GB2312"/>
                <w:color w:val="000000"/>
                <w:kern w:val="0"/>
                <w:sz w:val="24"/>
                <w:lang w:eastAsia="zh-CN" w:bidi="ar"/>
              </w:rPr>
            </w:pPr>
            <w:r>
              <w:rPr>
                <w:color w:val="000000"/>
                <w:kern w:val="0"/>
                <w:sz w:val="24"/>
                <w:lang w:bidi="ar"/>
              </w:rPr>
              <w:t>金华市</w:t>
            </w:r>
          </w:p>
          <w:p>
            <w:pPr>
              <w:widowControl/>
              <w:spacing w:line="310" w:lineRule="exact"/>
              <w:jc w:val="center"/>
              <w:textAlignment w:val="center"/>
              <w:rPr>
                <w:color w:val="000000"/>
                <w:kern w:val="0"/>
                <w:sz w:val="24"/>
                <w:lang w:bidi="ar"/>
              </w:rPr>
            </w:pPr>
            <w:r>
              <w:rPr>
                <w:color w:val="000000"/>
                <w:kern w:val="0"/>
                <w:sz w:val="24"/>
                <w:lang w:bidi="ar"/>
              </w:rPr>
              <w:t>浦江县</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2023-2024</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浦江县市场开发服务有限公司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kern w:val="0"/>
                <w:sz w:val="24"/>
                <w:lang w:bidi="ar"/>
              </w:rPr>
              <w:t>15000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rFonts w:eastAsia="宋体"/>
                <w:color w:val="000000"/>
                <w:kern w:val="0"/>
                <w:sz w:val="22"/>
                <w:szCs w:val="22"/>
                <w:lang w:bidi="ar"/>
              </w:rPr>
            </w:pPr>
            <w:r>
              <w:rPr>
                <w:color w:val="000000"/>
                <w:kern w:val="0"/>
                <w:sz w:val="22"/>
                <w:szCs w:val="22"/>
                <w:lang w:bidi="ar"/>
              </w:rPr>
              <w:t>31</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spacing w:val="0"/>
                <w:kern w:val="0"/>
                <w:sz w:val="24"/>
                <w:szCs w:val="24"/>
                <w:lang w:bidi="ar"/>
              </w:rPr>
              <w:t>长三角大宗温控商品供应链平台（嘉兴港区）项目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left"/>
              <w:textAlignment w:val="center"/>
              <w:rPr>
                <w:color w:val="000000"/>
                <w:kern w:val="0"/>
                <w:sz w:val="24"/>
                <w:lang w:bidi="ar"/>
              </w:rPr>
            </w:pPr>
            <w:r>
              <w:rPr>
                <w:color w:val="000000"/>
                <w:spacing w:val="0"/>
                <w:kern w:val="0"/>
                <w:sz w:val="24"/>
                <w:szCs w:val="24"/>
                <w:lang w:bidi="ar"/>
              </w:rPr>
              <w:t>用地面积约125.99亩，建筑面积约12.14万平方米，建设进口食品（海鲜、肉类、水果）仓储用房，同时提供供应链管理服务、标准化服务、仓储设备租赁服务。</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spacing w:val="0"/>
                <w:kern w:val="0"/>
                <w:sz w:val="24"/>
                <w:szCs w:val="24"/>
                <w:lang w:bidi="ar"/>
              </w:rPr>
              <w:t>嘉兴市嘉兴港区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spacing w:val="0"/>
                <w:kern w:val="0"/>
                <w:sz w:val="24"/>
                <w:szCs w:val="24"/>
                <w:lang w:bidi="ar"/>
              </w:rPr>
              <w:t>2021-2023</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spacing w:val="0"/>
                <w:kern w:val="0"/>
                <w:sz w:val="24"/>
                <w:szCs w:val="24"/>
                <w:lang w:bidi="ar"/>
              </w:rPr>
              <w:t>浙江中润互联供应链有限公司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10" w:lineRule="exact"/>
              <w:jc w:val="center"/>
              <w:textAlignment w:val="center"/>
              <w:rPr>
                <w:color w:val="000000"/>
                <w:kern w:val="0"/>
                <w:sz w:val="24"/>
                <w:lang w:bidi="ar"/>
              </w:rPr>
            </w:pPr>
            <w:r>
              <w:rPr>
                <w:color w:val="000000"/>
                <w:spacing w:val="0"/>
                <w:kern w:val="0"/>
                <w:sz w:val="24"/>
                <w:szCs w:val="24"/>
                <w:lang w:bidi="ar"/>
              </w:rPr>
              <w:t>78000</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2"/>
                <w:szCs w:val="22"/>
                <w:lang w:bidi="ar"/>
              </w:rPr>
            </w:pPr>
            <w:r>
              <w:rPr>
                <w:color w:val="000000"/>
                <w:kern w:val="0"/>
                <w:sz w:val="22"/>
                <w:szCs w:val="22"/>
                <w:lang w:bidi="ar"/>
              </w:rPr>
              <w:t>32</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pacing w:val="0"/>
                <w:kern w:val="0"/>
                <w:sz w:val="24"/>
                <w:szCs w:val="24"/>
                <w:lang w:bidi="ar"/>
              </w:rPr>
            </w:pPr>
            <w:r>
              <w:rPr>
                <w:rStyle w:val="9"/>
                <w:rFonts w:ascii="Times New Roman" w:cs="Times New Roman"/>
                <w:spacing w:val="0"/>
                <w:kern w:val="0"/>
                <w:sz w:val="24"/>
                <w:szCs w:val="24"/>
                <w:lang w:bidi="ar"/>
              </w:rPr>
              <w:t>嘉海温控供应链及电商智慧产业园项目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color w:val="000000"/>
                <w:spacing w:val="0"/>
                <w:kern w:val="0"/>
                <w:sz w:val="24"/>
                <w:szCs w:val="24"/>
                <w:lang w:bidi="ar"/>
              </w:rPr>
            </w:pPr>
            <w:r>
              <w:rPr>
                <w:rStyle w:val="9"/>
                <w:rFonts w:ascii="Times New Roman" w:cs="Times New Roman"/>
                <w:spacing w:val="0"/>
                <w:kern w:val="0"/>
                <w:sz w:val="24"/>
                <w:szCs w:val="24"/>
                <w:lang w:bidi="ar"/>
              </w:rPr>
              <w:t>用地面积约</w:t>
            </w:r>
            <w:r>
              <w:rPr>
                <w:rStyle w:val="10"/>
                <w:spacing w:val="0"/>
                <w:kern w:val="0"/>
                <w:sz w:val="24"/>
                <w:szCs w:val="24"/>
                <w:lang w:bidi="ar"/>
              </w:rPr>
              <w:t>128</w:t>
            </w:r>
            <w:r>
              <w:rPr>
                <w:rStyle w:val="9"/>
                <w:rFonts w:ascii="Times New Roman" w:cs="Times New Roman"/>
                <w:spacing w:val="0"/>
                <w:kern w:val="0"/>
                <w:sz w:val="24"/>
                <w:szCs w:val="24"/>
                <w:lang w:bidi="ar"/>
              </w:rPr>
              <w:t>亩，建筑面积约</w:t>
            </w:r>
            <w:r>
              <w:rPr>
                <w:rStyle w:val="10"/>
                <w:spacing w:val="0"/>
                <w:kern w:val="0"/>
                <w:sz w:val="24"/>
                <w:szCs w:val="24"/>
                <w:lang w:bidi="ar"/>
              </w:rPr>
              <w:t>9.4</w:t>
            </w:r>
            <w:r>
              <w:rPr>
                <w:rStyle w:val="9"/>
                <w:rFonts w:ascii="Times New Roman" w:cs="Times New Roman"/>
                <w:spacing w:val="0"/>
                <w:kern w:val="0"/>
                <w:sz w:val="24"/>
                <w:szCs w:val="24"/>
                <w:lang w:bidi="ar"/>
              </w:rPr>
              <w:t>万平方米，建设现代温控供应链产业基地、中央厨房配送中心、国际集采分拨中心、跨境电商交易服务平台、供应链金融创新平台、物联网智慧应用平台等。</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pacing w:val="0"/>
                <w:kern w:val="0"/>
                <w:sz w:val="24"/>
                <w:szCs w:val="24"/>
                <w:lang w:bidi="ar"/>
              </w:rPr>
            </w:pPr>
            <w:r>
              <w:rPr>
                <w:rStyle w:val="9"/>
                <w:rFonts w:ascii="Times New Roman" w:cs="Times New Roman"/>
                <w:spacing w:val="0"/>
                <w:kern w:val="0"/>
                <w:sz w:val="24"/>
                <w:szCs w:val="24"/>
                <w:lang w:bidi="ar"/>
              </w:rPr>
              <w:t>嘉兴市海盐县</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pacing w:val="0"/>
                <w:kern w:val="0"/>
                <w:sz w:val="24"/>
                <w:szCs w:val="24"/>
                <w:lang w:bidi="ar"/>
              </w:rPr>
            </w:pPr>
            <w:r>
              <w:rPr>
                <w:color w:val="000000"/>
                <w:spacing w:val="0"/>
                <w:kern w:val="0"/>
                <w:sz w:val="24"/>
                <w:szCs w:val="24"/>
                <w:lang w:bidi="ar"/>
              </w:rPr>
              <w:t>2021-2023</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pacing w:val="0"/>
                <w:kern w:val="0"/>
                <w:sz w:val="24"/>
                <w:szCs w:val="24"/>
                <w:lang w:bidi="ar"/>
              </w:rPr>
            </w:pPr>
            <w:r>
              <w:rPr>
                <w:color w:val="000000"/>
                <w:spacing w:val="0"/>
                <w:kern w:val="0"/>
                <w:sz w:val="24"/>
                <w:szCs w:val="24"/>
                <w:lang w:bidi="ar"/>
              </w:rPr>
              <w:t>乐盐供应链</w:t>
            </w:r>
            <w:r>
              <w:rPr>
                <w:rFonts w:hint="eastAsia"/>
                <w:color w:val="000000"/>
                <w:spacing w:val="0"/>
                <w:kern w:val="0"/>
                <w:sz w:val="24"/>
                <w:szCs w:val="24"/>
                <w:lang w:bidi="ar"/>
              </w:rPr>
              <w:t>（</w:t>
            </w:r>
            <w:r>
              <w:rPr>
                <w:color w:val="000000"/>
                <w:spacing w:val="0"/>
                <w:kern w:val="0"/>
                <w:sz w:val="24"/>
                <w:szCs w:val="24"/>
                <w:lang w:bidi="ar"/>
              </w:rPr>
              <w:t>嘉兴</w:t>
            </w:r>
            <w:r>
              <w:rPr>
                <w:rFonts w:hint="eastAsia"/>
                <w:color w:val="000000"/>
                <w:spacing w:val="0"/>
                <w:kern w:val="0"/>
                <w:sz w:val="24"/>
                <w:szCs w:val="24"/>
                <w:lang w:bidi="ar"/>
              </w:rPr>
              <w:t>）</w:t>
            </w:r>
            <w:r>
              <w:rPr>
                <w:color w:val="000000"/>
                <w:spacing w:val="0"/>
                <w:kern w:val="0"/>
                <w:sz w:val="24"/>
                <w:szCs w:val="24"/>
                <w:lang w:bidi="ar"/>
              </w:rPr>
              <w:t>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pacing w:val="0"/>
                <w:kern w:val="0"/>
                <w:sz w:val="24"/>
                <w:szCs w:val="24"/>
                <w:lang w:bidi="ar"/>
              </w:rPr>
            </w:pPr>
            <w:r>
              <w:rPr>
                <w:color w:val="000000"/>
                <w:spacing w:val="0"/>
                <w:kern w:val="0"/>
                <w:sz w:val="24"/>
                <w:szCs w:val="24"/>
                <w:lang w:bidi="ar"/>
              </w:rPr>
              <w:t>66166</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2"/>
                <w:szCs w:val="22"/>
                <w:lang w:bidi="ar"/>
              </w:rPr>
            </w:pPr>
            <w:r>
              <w:rPr>
                <w:color w:val="000000"/>
                <w:kern w:val="0"/>
                <w:sz w:val="22"/>
                <w:szCs w:val="22"/>
                <w:lang w:bidi="ar"/>
              </w:rPr>
              <w:t>33</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spacing w:val="0"/>
                <w:kern w:val="0"/>
                <w:sz w:val="24"/>
                <w:szCs w:val="24"/>
                <w:lang w:bidi="ar"/>
              </w:rPr>
            </w:pPr>
            <w:r>
              <w:rPr>
                <w:color w:val="171A1D"/>
                <w:spacing w:val="0"/>
                <w:kern w:val="0"/>
                <w:sz w:val="24"/>
                <w:szCs w:val="24"/>
                <w:lang w:bidi="ar"/>
              </w:rPr>
              <w:t>医药（电商）仓储物流项目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spacing w:val="0"/>
                <w:kern w:val="0"/>
                <w:sz w:val="24"/>
                <w:szCs w:val="24"/>
                <w:lang w:bidi="ar"/>
              </w:rPr>
            </w:pPr>
            <w:r>
              <w:rPr>
                <w:color w:val="171A1D"/>
                <w:spacing w:val="0"/>
                <w:kern w:val="0"/>
                <w:sz w:val="24"/>
                <w:szCs w:val="24"/>
                <w:lang w:bidi="ar"/>
              </w:rPr>
              <w:t>项目用地20亩，建筑面积约39885.36平方米，主要从事低温仓储、普通货物仓储服务及配套设施的建设租赁。</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spacing w:val="0"/>
                <w:kern w:val="0"/>
                <w:sz w:val="24"/>
                <w:szCs w:val="24"/>
                <w:lang w:bidi="ar"/>
              </w:rPr>
            </w:pPr>
            <w:r>
              <w:rPr>
                <w:color w:val="171A1D"/>
                <w:spacing w:val="0"/>
                <w:kern w:val="0"/>
                <w:sz w:val="24"/>
                <w:szCs w:val="24"/>
                <w:lang w:bidi="ar"/>
              </w:rPr>
              <w:t>嘉兴市嘉善县</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pacing w:val="0"/>
                <w:kern w:val="0"/>
                <w:sz w:val="24"/>
                <w:szCs w:val="24"/>
                <w:lang w:bidi="ar"/>
              </w:rPr>
            </w:pPr>
            <w:r>
              <w:rPr>
                <w:color w:val="171A1D"/>
                <w:spacing w:val="0"/>
                <w:kern w:val="0"/>
                <w:sz w:val="24"/>
                <w:szCs w:val="24"/>
                <w:lang w:bidi="ar"/>
              </w:rPr>
              <w:t>2021-2024</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pacing w:val="0"/>
                <w:kern w:val="0"/>
                <w:sz w:val="24"/>
                <w:szCs w:val="24"/>
                <w:lang w:bidi="ar"/>
              </w:rPr>
            </w:pPr>
            <w:r>
              <w:rPr>
                <w:color w:val="171A1D"/>
                <w:spacing w:val="0"/>
                <w:kern w:val="0"/>
                <w:sz w:val="24"/>
                <w:szCs w:val="24"/>
                <w:lang w:bidi="ar"/>
              </w:rPr>
              <w:t>嘉善县善合企业管理有限公司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pacing w:val="0"/>
                <w:kern w:val="0"/>
                <w:sz w:val="24"/>
                <w:szCs w:val="24"/>
                <w:lang w:bidi="ar"/>
              </w:rPr>
            </w:pPr>
            <w:r>
              <w:rPr>
                <w:color w:val="171A1D"/>
                <w:spacing w:val="0"/>
                <w:kern w:val="0"/>
                <w:sz w:val="24"/>
                <w:szCs w:val="24"/>
                <w:lang w:bidi="ar"/>
              </w:rPr>
              <w:t>19035</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2"/>
                <w:szCs w:val="22"/>
                <w:lang w:bidi="ar"/>
              </w:rPr>
            </w:pPr>
            <w:r>
              <w:rPr>
                <w:color w:val="000000"/>
                <w:kern w:val="0"/>
                <w:sz w:val="22"/>
                <w:szCs w:val="22"/>
                <w:lang w:bidi="ar"/>
              </w:rPr>
              <w:t>34</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171A1D"/>
                <w:spacing w:val="0"/>
                <w:kern w:val="0"/>
                <w:sz w:val="24"/>
                <w:szCs w:val="24"/>
                <w:lang w:bidi="ar"/>
              </w:rPr>
            </w:pPr>
            <w:r>
              <w:rPr>
                <w:color w:val="171A1D"/>
                <w:spacing w:val="0"/>
                <w:kern w:val="0"/>
                <w:sz w:val="24"/>
                <w:szCs w:val="24"/>
                <w:lang w:bidi="ar"/>
              </w:rPr>
              <w:t>桐乡市振东物流园区迁建及周边基础设施配套</w:t>
            </w:r>
          </w:p>
          <w:p>
            <w:pPr>
              <w:widowControl/>
              <w:spacing w:line="300" w:lineRule="exact"/>
              <w:jc w:val="center"/>
              <w:textAlignment w:val="center"/>
              <w:rPr>
                <w:spacing w:val="0"/>
                <w:kern w:val="0"/>
                <w:sz w:val="24"/>
                <w:szCs w:val="24"/>
                <w:lang w:bidi="ar"/>
              </w:rPr>
            </w:pPr>
            <w:r>
              <w:rPr>
                <w:color w:val="171A1D"/>
                <w:spacing w:val="0"/>
                <w:kern w:val="0"/>
                <w:sz w:val="24"/>
                <w:szCs w:val="24"/>
                <w:lang w:bidi="ar"/>
              </w:rPr>
              <w:t>工程</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spacing w:val="0"/>
                <w:kern w:val="0"/>
                <w:sz w:val="24"/>
                <w:szCs w:val="24"/>
                <w:lang w:bidi="ar"/>
              </w:rPr>
            </w:pPr>
            <w:r>
              <w:rPr>
                <w:color w:val="171A1D"/>
                <w:spacing w:val="0"/>
                <w:kern w:val="0"/>
                <w:sz w:val="24"/>
                <w:szCs w:val="24"/>
                <w:lang w:bidi="ar"/>
              </w:rPr>
              <w:t>总用地面积为96857.11平方米，总建筑面积约473430平方米，其中地上建筑面积418414平方米，分为物流仓储用房建筑面积331520平方米（其中包括冷链物流建筑面积为52272平方米），电商中心、配套公寓及其他服务用房86894平方米，地下建筑面积55016平方米。</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spacing w:val="0"/>
                <w:kern w:val="0"/>
                <w:sz w:val="24"/>
                <w:szCs w:val="24"/>
                <w:lang w:bidi="ar"/>
              </w:rPr>
            </w:pPr>
            <w:r>
              <w:rPr>
                <w:color w:val="171A1D"/>
                <w:spacing w:val="0"/>
                <w:kern w:val="0"/>
                <w:sz w:val="24"/>
                <w:szCs w:val="24"/>
                <w:lang w:bidi="ar"/>
              </w:rPr>
              <w:t>嘉兴市桐乡市</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pacing w:val="0"/>
                <w:kern w:val="0"/>
                <w:sz w:val="24"/>
                <w:szCs w:val="24"/>
                <w:lang w:bidi="ar"/>
              </w:rPr>
            </w:pPr>
            <w:r>
              <w:rPr>
                <w:color w:val="171A1D"/>
                <w:spacing w:val="0"/>
                <w:kern w:val="0"/>
                <w:sz w:val="24"/>
                <w:szCs w:val="24"/>
                <w:lang w:bidi="ar"/>
              </w:rPr>
              <w:t>2023-2026</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pacing w:val="0"/>
                <w:kern w:val="0"/>
                <w:sz w:val="24"/>
                <w:szCs w:val="24"/>
                <w:lang w:bidi="ar"/>
              </w:rPr>
            </w:pPr>
            <w:r>
              <w:rPr>
                <w:color w:val="171A1D"/>
                <w:spacing w:val="0"/>
                <w:kern w:val="0"/>
                <w:sz w:val="24"/>
                <w:szCs w:val="24"/>
                <w:lang w:bidi="ar"/>
              </w:rPr>
              <w:t>桐乡市振东物流园区有限公司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color w:val="000000"/>
                <w:spacing w:val="0"/>
                <w:kern w:val="0"/>
                <w:sz w:val="24"/>
                <w:szCs w:val="24"/>
                <w:lang w:bidi="ar"/>
              </w:rPr>
            </w:pPr>
            <w:r>
              <w:rPr>
                <w:color w:val="171A1D"/>
                <w:spacing w:val="0"/>
                <w:kern w:val="0"/>
                <w:sz w:val="24"/>
                <w:szCs w:val="24"/>
                <w:lang w:bidi="ar"/>
              </w:rPr>
              <w:t>297373</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2"/>
                <w:szCs w:val="22"/>
                <w:lang w:bidi="ar"/>
              </w:rPr>
            </w:pPr>
            <w:r>
              <w:rPr>
                <w:color w:val="000000"/>
                <w:kern w:val="0"/>
                <w:sz w:val="22"/>
                <w:szCs w:val="22"/>
                <w:lang w:bidi="ar"/>
              </w:rPr>
              <w:t>35</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spacing w:val="0"/>
                <w:kern w:val="0"/>
                <w:sz w:val="24"/>
                <w:szCs w:val="24"/>
                <w:lang w:bidi="ar"/>
              </w:rPr>
            </w:pPr>
            <w:r>
              <w:rPr>
                <w:spacing w:val="0"/>
                <w:kern w:val="0"/>
                <w:sz w:val="24"/>
                <w:szCs w:val="24"/>
                <w:lang w:bidi="ar"/>
              </w:rPr>
              <w:t>大洋世家海洋食品加工冷藏物流基地项目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spacing w:val="0"/>
                <w:kern w:val="0"/>
                <w:sz w:val="24"/>
                <w:szCs w:val="24"/>
                <w:lang w:bidi="ar"/>
              </w:rPr>
            </w:pPr>
            <w:r>
              <w:rPr>
                <w:spacing w:val="0"/>
                <w:kern w:val="0"/>
                <w:sz w:val="24"/>
                <w:szCs w:val="24"/>
                <w:lang w:bidi="ar"/>
              </w:rPr>
              <w:t>建设金枪鱼分拣中心、综合生产厂房、金枪鱼鱼柳罐头生产厂房、生物制品厂房、超低温金枪鱼物流加工中心和健康食品厂房，总建筑面积约 15 万平方米。</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spacing w:val="0"/>
                <w:kern w:val="0"/>
                <w:sz w:val="24"/>
                <w:szCs w:val="24"/>
                <w:lang w:bidi="ar"/>
              </w:rPr>
            </w:pPr>
            <w:r>
              <w:rPr>
                <w:spacing w:val="0"/>
                <w:kern w:val="0"/>
                <w:sz w:val="24"/>
                <w:szCs w:val="24"/>
                <w:lang w:bidi="ar"/>
              </w:rPr>
              <w:t>舟山市定海</w:t>
            </w:r>
            <w:r>
              <w:rPr>
                <w:kern w:val="0"/>
                <w:sz w:val="24"/>
                <w:szCs w:val="24"/>
                <w:lang w:bidi="ar"/>
              </w:rPr>
              <w:t>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spacing w:val="0"/>
                <w:kern w:val="0"/>
                <w:sz w:val="24"/>
                <w:szCs w:val="24"/>
                <w:lang w:bidi="ar"/>
              </w:rPr>
            </w:pPr>
            <w:r>
              <w:rPr>
                <w:spacing w:val="0"/>
                <w:kern w:val="0"/>
                <w:sz w:val="24"/>
                <w:szCs w:val="24"/>
                <w:lang w:bidi="ar"/>
              </w:rPr>
              <w:t>2020-2023</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kern w:val="0"/>
                <w:sz w:val="24"/>
                <w:szCs w:val="24"/>
                <w:lang w:bidi="ar"/>
              </w:rPr>
            </w:pPr>
            <w:r>
              <w:rPr>
                <w:spacing w:val="0"/>
                <w:kern w:val="0"/>
                <w:sz w:val="24"/>
                <w:szCs w:val="24"/>
                <w:lang w:bidi="ar"/>
              </w:rPr>
              <w:t>大洋世家</w:t>
            </w:r>
            <w:r>
              <w:rPr>
                <w:rFonts w:hint="eastAsia"/>
                <w:spacing w:val="0"/>
                <w:kern w:val="0"/>
                <w:sz w:val="24"/>
                <w:szCs w:val="24"/>
                <w:lang w:bidi="ar"/>
              </w:rPr>
              <w:t>（</w:t>
            </w:r>
            <w:r>
              <w:rPr>
                <w:spacing w:val="0"/>
                <w:kern w:val="0"/>
                <w:sz w:val="24"/>
                <w:szCs w:val="24"/>
                <w:lang w:bidi="ar"/>
              </w:rPr>
              <w:t>舟山</w:t>
            </w:r>
            <w:r>
              <w:rPr>
                <w:rFonts w:hint="eastAsia"/>
                <w:spacing w:val="0"/>
                <w:kern w:val="0"/>
                <w:sz w:val="24"/>
                <w:szCs w:val="24"/>
                <w:lang w:bidi="ar"/>
              </w:rPr>
              <w:t>）</w:t>
            </w:r>
            <w:r>
              <w:rPr>
                <w:spacing w:val="0"/>
                <w:kern w:val="0"/>
                <w:sz w:val="24"/>
                <w:szCs w:val="24"/>
                <w:lang w:bidi="ar"/>
              </w:rPr>
              <w:t>优品有限</w:t>
            </w:r>
          </w:p>
          <w:p>
            <w:pPr>
              <w:widowControl/>
              <w:spacing w:line="300" w:lineRule="exact"/>
              <w:jc w:val="center"/>
              <w:textAlignment w:val="center"/>
              <w:rPr>
                <w:spacing w:val="0"/>
                <w:kern w:val="0"/>
                <w:sz w:val="24"/>
                <w:szCs w:val="24"/>
                <w:lang w:bidi="ar"/>
              </w:rPr>
            </w:pPr>
            <w:r>
              <w:rPr>
                <w:spacing w:val="0"/>
                <w:kern w:val="0"/>
                <w:sz w:val="24"/>
                <w:szCs w:val="24"/>
                <w:lang w:bidi="ar"/>
              </w:rPr>
              <w:t>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spacing w:val="0"/>
                <w:kern w:val="0"/>
                <w:sz w:val="24"/>
                <w:szCs w:val="24"/>
                <w:lang w:bidi="ar"/>
              </w:rPr>
            </w:pPr>
            <w:r>
              <w:rPr>
                <w:spacing w:val="0"/>
                <w:kern w:val="0"/>
                <w:sz w:val="24"/>
                <w:szCs w:val="24"/>
                <w:lang w:bidi="ar"/>
              </w:rPr>
              <w:t>128274</w:t>
            </w:r>
          </w:p>
        </w:tc>
      </w:tr>
      <w:tr>
        <w:tblPrEx>
          <w:tblCellMar>
            <w:top w:w="0" w:type="dxa"/>
            <w:left w:w="108" w:type="dxa"/>
            <w:bottom w:w="0" w:type="dxa"/>
            <w:right w:w="108" w:type="dxa"/>
          </w:tblCellMar>
        </w:tblPrEx>
        <w:trPr>
          <w:jc w:val="center"/>
        </w:trPr>
        <w:tc>
          <w:tcPr>
            <w:tcW w:w="644"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textAlignment w:val="center"/>
              <w:rPr>
                <w:color w:val="000000"/>
                <w:kern w:val="0"/>
                <w:sz w:val="22"/>
                <w:szCs w:val="22"/>
                <w:lang w:bidi="ar"/>
              </w:rPr>
            </w:pPr>
            <w:r>
              <w:rPr>
                <w:color w:val="000000"/>
                <w:kern w:val="0"/>
                <w:sz w:val="22"/>
                <w:szCs w:val="22"/>
                <w:lang w:bidi="ar"/>
              </w:rPr>
              <w:t>36</w:t>
            </w:r>
          </w:p>
        </w:tc>
        <w:tc>
          <w:tcPr>
            <w:tcW w:w="189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spacing w:val="0"/>
                <w:kern w:val="0"/>
                <w:sz w:val="24"/>
                <w:szCs w:val="24"/>
                <w:lang w:bidi="ar"/>
              </w:rPr>
            </w:pPr>
            <w:r>
              <w:rPr>
                <w:spacing w:val="0"/>
                <w:kern w:val="0"/>
                <w:sz w:val="24"/>
                <w:szCs w:val="24"/>
                <w:lang w:bidi="ar"/>
              </w:rPr>
              <w:t>舟山国家远洋渔业基地小微企</w:t>
            </w:r>
            <w:r>
              <w:rPr>
                <w:kern w:val="0"/>
                <w:sz w:val="24"/>
                <w:szCs w:val="24"/>
                <w:lang w:bidi="ar"/>
              </w:rPr>
              <w:t>业</w:t>
            </w:r>
            <w:r>
              <w:rPr>
                <w:spacing w:val="0"/>
                <w:kern w:val="0"/>
                <w:sz w:val="24"/>
                <w:szCs w:val="24"/>
                <w:lang w:bidi="ar"/>
              </w:rPr>
              <w:t>园项目</w:t>
            </w:r>
          </w:p>
        </w:tc>
        <w:tc>
          <w:tcPr>
            <w:tcW w:w="6738"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left"/>
              <w:textAlignment w:val="center"/>
              <w:rPr>
                <w:spacing w:val="0"/>
                <w:kern w:val="0"/>
                <w:sz w:val="24"/>
                <w:szCs w:val="24"/>
                <w:lang w:bidi="ar"/>
              </w:rPr>
            </w:pPr>
            <w:r>
              <w:rPr>
                <w:kern w:val="0"/>
                <w:sz w:val="24"/>
                <w:szCs w:val="24"/>
                <w:lang w:bidi="ar"/>
              </w:rPr>
              <w:t xml:space="preserve">本项目主要建设集远洋渔业精深加工、冷链仓储综合信息服务等为一体的示范园，计划入驻小微企业 20 家，项目总投资约 39500 万元。项目总用地面积 39838.47 平方米 </w:t>
            </w:r>
            <w:r>
              <w:rPr>
                <w:rFonts w:hint="eastAsia"/>
                <w:kern w:val="0"/>
                <w:sz w:val="24"/>
                <w:szCs w:val="24"/>
                <w:lang w:bidi="ar"/>
              </w:rPr>
              <w:t>（</w:t>
            </w:r>
            <w:r>
              <w:rPr>
                <w:kern w:val="0"/>
                <w:sz w:val="24"/>
                <w:szCs w:val="24"/>
                <w:lang w:bidi="ar"/>
              </w:rPr>
              <w:t>约 59.8 亩</w:t>
            </w:r>
            <w:r>
              <w:rPr>
                <w:rFonts w:hint="eastAsia"/>
                <w:kern w:val="0"/>
                <w:sz w:val="24"/>
                <w:szCs w:val="24"/>
                <w:lang w:bidi="ar"/>
              </w:rPr>
              <w:t>）</w:t>
            </w:r>
            <w:r>
              <w:rPr>
                <w:kern w:val="0"/>
                <w:sz w:val="24"/>
                <w:szCs w:val="24"/>
                <w:lang w:bidi="ar"/>
              </w:rPr>
              <w:t>，总建筑面积 70287.41 平方米，包括加工车间45423 平方米，公共冷库库容 87881 立方米</w:t>
            </w:r>
            <w:r>
              <w:rPr>
                <w:rFonts w:hint="eastAsia"/>
                <w:kern w:val="0"/>
                <w:sz w:val="24"/>
                <w:szCs w:val="24"/>
                <w:lang w:bidi="ar"/>
              </w:rPr>
              <w:t>（</w:t>
            </w:r>
            <w:r>
              <w:rPr>
                <w:kern w:val="0"/>
                <w:sz w:val="24"/>
                <w:szCs w:val="24"/>
                <w:lang w:bidi="ar"/>
              </w:rPr>
              <w:t>15978.4 平方米</w:t>
            </w:r>
            <w:r>
              <w:rPr>
                <w:rFonts w:hint="eastAsia"/>
                <w:kern w:val="0"/>
                <w:sz w:val="24"/>
                <w:szCs w:val="24"/>
                <w:lang w:bidi="ar"/>
              </w:rPr>
              <w:t>）</w:t>
            </w:r>
            <w:r>
              <w:rPr>
                <w:kern w:val="0"/>
                <w:sz w:val="24"/>
                <w:szCs w:val="24"/>
                <w:lang w:bidi="ar"/>
              </w:rPr>
              <w:t>，配套用房 4280 平方米等。</w:t>
            </w:r>
          </w:p>
        </w:tc>
        <w:tc>
          <w:tcPr>
            <w:tcW w:w="1104"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spacing w:val="0"/>
                <w:kern w:val="0"/>
                <w:sz w:val="24"/>
                <w:szCs w:val="24"/>
                <w:lang w:bidi="ar"/>
              </w:rPr>
            </w:pPr>
            <w:r>
              <w:rPr>
                <w:spacing w:val="0"/>
                <w:kern w:val="0"/>
                <w:sz w:val="24"/>
                <w:szCs w:val="24"/>
                <w:lang w:bidi="ar"/>
              </w:rPr>
              <w:t>舟山市定海</w:t>
            </w:r>
            <w:r>
              <w:rPr>
                <w:kern w:val="0"/>
                <w:sz w:val="24"/>
                <w:szCs w:val="24"/>
                <w:lang w:bidi="ar"/>
              </w:rPr>
              <w:t>区</w:t>
            </w:r>
          </w:p>
        </w:tc>
        <w:tc>
          <w:tcPr>
            <w:tcW w:w="1622"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spacing w:val="0"/>
                <w:kern w:val="0"/>
                <w:sz w:val="24"/>
                <w:szCs w:val="24"/>
                <w:lang w:bidi="ar"/>
              </w:rPr>
            </w:pPr>
            <w:r>
              <w:rPr>
                <w:spacing w:val="0"/>
                <w:kern w:val="0"/>
                <w:sz w:val="24"/>
                <w:szCs w:val="24"/>
                <w:lang w:bidi="ar"/>
              </w:rPr>
              <w:t>2022-2024</w:t>
            </w:r>
          </w:p>
        </w:tc>
        <w:tc>
          <w:tcPr>
            <w:tcW w:w="1660"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kern w:val="0"/>
                <w:sz w:val="24"/>
                <w:szCs w:val="24"/>
                <w:lang w:bidi="ar"/>
              </w:rPr>
            </w:pPr>
            <w:r>
              <w:rPr>
                <w:spacing w:val="0"/>
                <w:kern w:val="0"/>
                <w:sz w:val="24"/>
                <w:szCs w:val="24"/>
                <w:lang w:bidi="ar"/>
              </w:rPr>
              <w:t>舟山国家远洋渔业基地基础设施建设开发有限</w:t>
            </w:r>
          </w:p>
          <w:p>
            <w:pPr>
              <w:widowControl/>
              <w:spacing w:line="300" w:lineRule="exact"/>
              <w:jc w:val="center"/>
              <w:textAlignment w:val="center"/>
              <w:rPr>
                <w:spacing w:val="0"/>
                <w:kern w:val="0"/>
                <w:sz w:val="24"/>
                <w:szCs w:val="24"/>
                <w:lang w:bidi="ar"/>
              </w:rPr>
            </w:pPr>
            <w:r>
              <w:rPr>
                <w:spacing w:val="0"/>
                <w:kern w:val="0"/>
                <w:sz w:val="24"/>
                <w:szCs w:val="24"/>
                <w:lang w:bidi="ar"/>
              </w:rPr>
              <w:t>公司</w:t>
            </w:r>
          </w:p>
        </w:tc>
        <w:tc>
          <w:tcPr>
            <w:tcW w:w="1076" w:type="dxa"/>
            <w:tcBorders>
              <w:top w:val="single" w:color="000000" w:sz="4" w:space="0"/>
              <w:left w:val="single" w:color="000000" w:sz="4" w:space="0"/>
              <w:bottom w:val="single" w:color="000000" w:sz="4" w:space="0"/>
              <w:right w:val="single" w:color="000000" w:sz="4" w:space="0"/>
            </w:tcBorders>
            <w:noWrap/>
            <w:vAlign w:val="center"/>
          </w:tcPr>
          <w:p>
            <w:pPr>
              <w:widowControl/>
              <w:spacing w:line="300" w:lineRule="exact"/>
              <w:jc w:val="center"/>
              <w:textAlignment w:val="center"/>
              <w:rPr>
                <w:spacing w:val="0"/>
                <w:kern w:val="0"/>
                <w:sz w:val="24"/>
                <w:szCs w:val="24"/>
                <w:lang w:bidi="ar"/>
              </w:rPr>
            </w:pPr>
            <w:r>
              <w:rPr>
                <w:spacing w:val="0"/>
                <w:kern w:val="0"/>
                <w:sz w:val="24"/>
                <w:szCs w:val="24"/>
                <w:lang w:bidi="ar"/>
              </w:rPr>
              <w:t>39500</w:t>
            </w:r>
          </w:p>
        </w:tc>
      </w:tr>
    </w:tbl>
    <w:p>
      <w:pPr>
        <w:pStyle w:val="2"/>
        <w:ind w:firstLine="632"/>
        <w:jc w:val="left"/>
        <w:rPr>
          <w:rFonts w:eastAsia="黑体"/>
          <w:bCs/>
          <w:color w:val="000000"/>
        </w:rPr>
        <w:sectPr>
          <w:footerReference r:id="rId6" w:type="default"/>
          <w:pgSz w:w="16838" w:h="11906" w:orient="landscape"/>
          <w:pgMar w:top="1134" w:right="1134" w:bottom="1134" w:left="1134" w:header="851" w:footer="1020" w:gutter="0"/>
          <w:cols w:space="720" w:num="1"/>
          <w:docGrid w:type="linesAndChars" w:linePitch="602" w:charSpace="-842"/>
        </w:sectPr>
      </w:pPr>
    </w:p>
    <w:p>
      <w:pPr>
        <w:pStyle w:val="2"/>
        <w:ind w:firstLine="0" w:firstLineChars="0"/>
        <w:jc w:val="left"/>
        <w:rPr>
          <w:rFonts w:eastAsia="黑体"/>
          <w:bCs/>
          <w:color w:val="000000"/>
        </w:rPr>
      </w:pPr>
      <w:r>
        <w:rPr>
          <w:rFonts w:eastAsia="黑体"/>
          <w:bCs/>
          <w:color w:val="000000"/>
        </w:rPr>
        <w:t>附表3</w:t>
      </w:r>
    </w:p>
    <w:p>
      <w:pPr>
        <w:pStyle w:val="2"/>
        <w:ind w:firstLine="652"/>
        <w:jc w:val="left"/>
        <w:rPr>
          <w:rFonts w:eastAsia="黑体"/>
          <w:bCs/>
          <w:color w:val="000000"/>
        </w:rPr>
      </w:pPr>
    </w:p>
    <w:p>
      <w:pPr>
        <w:spacing w:line="579" w:lineRule="exact"/>
        <w:jc w:val="center"/>
        <w:rPr>
          <w:rFonts w:eastAsia="方正小标宋简体"/>
          <w:sz w:val="40"/>
          <w:szCs w:val="44"/>
        </w:rPr>
      </w:pPr>
      <w:r>
        <w:rPr>
          <w:rFonts w:eastAsia="方正小标宋简体"/>
          <w:sz w:val="40"/>
          <w:szCs w:val="44"/>
        </w:rPr>
        <w:t>浙江省冷链物流高质量发展行动重点改革清单</w:t>
      </w:r>
    </w:p>
    <w:tbl>
      <w:tblPr>
        <w:tblStyle w:val="4"/>
        <w:tblW w:w="9071" w:type="dxa"/>
        <w:jc w:val="center"/>
        <w:tblLayout w:type="fixed"/>
        <w:tblCellMar>
          <w:top w:w="0" w:type="dxa"/>
          <w:left w:w="108" w:type="dxa"/>
          <w:bottom w:w="0" w:type="dxa"/>
          <w:right w:w="108" w:type="dxa"/>
        </w:tblCellMar>
      </w:tblPr>
      <w:tblGrid>
        <w:gridCol w:w="868"/>
        <w:gridCol w:w="1811"/>
        <w:gridCol w:w="6392"/>
      </w:tblGrid>
      <w:tr>
        <w:tblPrEx>
          <w:tblCellMar>
            <w:top w:w="0" w:type="dxa"/>
            <w:left w:w="108" w:type="dxa"/>
            <w:bottom w:w="0" w:type="dxa"/>
            <w:right w:w="108" w:type="dxa"/>
          </w:tblCellMar>
        </w:tblPrEx>
        <w:trPr>
          <w:tblHeader/>
          <w:jc w:val="center"/>
        </w:trPr>
        <w:tc>
          <w:tcPr>
            <w:tcW w:w="868" w:type="dxa"/>
            <w:tcBorders>
              <w:top w:val="single" w:color="000000" w:sz="4" w:space="0"/>
              <w:left w:val="single" w:color="000000" w:sz="4" w:space="0"/>
              <w:bottom w:val="single" w:color="auto" w:sz="4" w:space="0"/>
              <w:right w:val="single" w:color="000000" w:sz="4" w:space="0"/>
            </w:tcBorders>
            <w:noWrap w:val="0"/>
            <w:vAlign w:val="top"/>
          </w:tcPr>
          <w:p>
            <w:pPr>
              <w:widowControl/>
              <w:spacing w:line="400" w:lineRule="exact"/>
              <w:jc w:val="center"/>
              <w:textAlignment w:val="center"/>
              <w:rPr>
                <w:rFonts w:eastAsia="黑体"/>
                <w:bCs/>
                <w:color w:val="000000"/>
                <w:kern w:val="0"/>
                <w:sz w:val="24"/>
                <w:lang w:bidi="ar"/>
              </w:rPr>
            </w:pPr>
            <w:r>
              <w:rPr>
                <w:rFonts w:eastAsia="黑体"/>
                <w:bCs/>
                <w:color w:val="000000"/>
                <w:kern w:val="0"/>
                <w:sz w:val="24"/>
                <w:lang w:bidi="ar"/>
              </w:rPr>
              <w:t>序号</w:t>
            </w:r>
          </w:p>
        </w:tc>
        <w:tc>
          <w:tcPr>
            <w:tcW w:w="1811" w:type="dxa"/>
            <w:tcBorders>
              <w:top w:val="single" w:color="000000" w:sz="4" w:space="0"/>
              <w:left w:val="single" w:color="000000" w:sz="4" w:space="0"/>
              <w:bottom w:val="single" w:color="auto" w:sz="4" w:space="0"/>
              <w:right w:val="single" w:color="000000" w:sz="4" w:space="0"/>
            </w:tcBorders>
            <w:noWrap/>
            <w:vAlign w:val="center"/>
          </w:tcPr>
          <w:p>
            <w:pPr>
              <w:widowControl/>
              <w:spacing w:line="400" w:lineRule="exact"/>
              <w:jc w:val="center"/>
              <w:textAlignment w:val="center"/>
              <w:rPr>
                <w:rFonts w:eastAsia="黑体"/>
                <w:bCs/>
                <w:color w:val="000000"/>
                <w:sz w:val="24"/>
              </w:rPr>
            </w:pPr>
            <w:r>
              <w:rPr>
                <w:rFonts w:eastAsia="黑体"/>
                <w:bCs/>
                <w:color w:val="000000"/>
                <w:kern w:val="0"/>
                <w:sz w:val="24"/>
                <w:lang w:bidi="ar"/>
              </w:rPr>
              <w:t>类别</w:t>
            </w:r>
          </w:p>
        </w:tc>
        <w:tc>
          <w:tcPr>
            <w:tcW w:w="6392" w:type="dxa"/>
            <w:tcBorders>
              <w:top w:val="single" w:color="000000" w:sz="4" w:space="0"/>
              <w:left w:val="single" w:color="000000" w:sz="4" w:space="0"/>
              <w:bottom w:val="single" w:color="000000" w:sz="4" w:space="0"/>
              <w:right w:val="single" w:color="000000" w:sz="4" w:space="0"/>
            </w:tcBorders>
            <w:noWrap/>
            <w:vAlign w:val="center"/>
          </w:tcPr>
          <w:p>
            <w:pPr>
              <w:widowControl/>
              <w:spacing w:line="400" w:lineRule="exact"/>
              <w:jc w:val="center"/>
              <w:textAlignment w:val="center"/>
              <w:rPr>
                <w:rFonts w:eastAsia="黑体"/>
                <w:bCs/>
                <w:color w:val="000000"/>
                <w:sz w:val="24"/>
              </w:rPr>
            </w:pPr>
            <w:r>
              <w:rPr>
                <w:rFonts w:eastAsia="黑体"/>
                <w:bCs/>
                <w:color w:val="000000"/>
                <w:kern w:val="0"/>
                <w:sz w:val="24"/>
                <w:lang w:bidi="ar"/>
              </w:rPr>
              <w:t>具体事项</w:t>
            </w:r>
          </w:p>
        </w:tc>
      </w:tr>
      <w:tr>
        <w:tblPrEx>
          <w:tblCellMar>
            <w:top w:w="0" w:type="dxa"/>
            <w:left w:w="108" w:type="dxa"/>
            <w:bottom w:w="0" w:type="dxa"/>
            <w:right w:w="108" w:type="dxa"/>
          </w:tblCellMar>
        </w:tblPrEx>
        <w:trPr>
          <w:jc w:val="center"/>
        </w:trPr>
        <w:tc>
          <w:tcPr>
            <w:tcW w:w="868" w:type="dxa"/>
            <w:tcBorders>
              <w:top w:val="single" w:color="auto" w:sz="4" w:space="0"/>
              <w:left w:val="single" w:color="auto" w:sz="4" w:space="0"/>
              <w:bottom w:val="single" w:color="auto" w:sz="4" w:space="0"/>
              <w:right w:val="single" w:color="auto" w:sz="4" w:space="0"/>
            </w:tcBorders>
            <w:noWrap w:val="0"/>
            <w:vAlign w:val="center"/>
          </w:tcPr>
          <w:p>
            <w:pPr>
              <w:widowControl/>
              <w:spacing w:line="400" w:lineRule="exact"/>
              <w:jc w:val="center"/>
              <w:textAlignment w:val="center"/>
              <w:rPr>
                <w:color w:val="000000"/>
                <w:sz w:val="24"/>
              </w:rPr>
            </w:pPr>
            <w:r>
              <w:rPr>
                <w:color w:val="000000"/>
                <w:sz w:val="24"/>
              </w:rPr>
              <w:t>1</w:t>
            </w:r>
          </w:p>
        </w:tc>
        <w:tc>
          <w:tcPr>
            <w:tcW w:w="1811" w:type="dxa"/>
            <w:tcBorders>
              <w:top w:val="single" w:color="auto" w:sz="4" w:space="0"/>
              <w:left w:val="single" w:color="auto" w:sz="4" w:space="0"/>
              <w:bottom w:val="single" w:color="auto" w:sz="4" w:space="0"/>
              <w:right w:val="single" w:color="auto" w:sz="4" w:space="0"/>
            </w:tcBorders>
            <w:noWrap/>
            <w:vAlign w:val="center"/>
          </w:tcPr>
          <w:p>
            <w:pPr>
              <w:widowControl/>
              <w:spacing w:line="400" w:lineRule="exact"/>
              <w:jc w:val="center"/>
              <w:textAlignment w:val="center"/>
              <w:rPr>
                <w:color w:val="000000"/>
                <w:sz w:val="24"/>
              </w:rPr>
            </w:pPr>
            <w:r>
              <w:rPr>
                <w:sz w:val="24"/>
              </w:rPr>
              <w:t>工作协调</w:t>
            </w:r>
          </w:p>
        </w:tc>
        <w:tc>
          <w:tcPr>
            <w:tcW w:w="6392" w:type="dxa"/>
            <w:tcBorders>
              <w:top w:val="single" w:color="000000" w:sz="4" w:space="0"/>
              <w:left w:val="single" w:color="auto" w:sz="4" w:space="0"/>
              <w:bottom w:val="single" w:color="000000" w:sz="4" w:space="0"/>
              <w:right w:val="single" w:color="000000" w:sz="4" w:space="0"/>
            </w:tcBorders>
            <w:noWrap/>
            <w:vAlign w:val="center"/>
          </w:tcPr>
          <w:p>
            <w:pPr>
              <w:widowControl/>
              <w:spacing w:line="400" w:lineRule="exact"/>
              <w:textAlignment w:val="center"/>
              <w:rPr>
                <w:color w:val="000000"/>
                <w:sz w:val="24"/>
              </w:rPr>
            </w:pPr>
            <w:r>
              <w:rPr>
                <w:sz w:val="24"/>
              </w:rPr>
              <w:t>完善省级冷链物流发展工作协调机制，建立定量定性相结合的指标体系、省市县三级联动的工作体系、部门分工明确的政策体系、成效实时量化的评价体系，明确主要目标、重点任务和具体责任单位，推动部门间的多跨协同，确保各项行动任务落细落实。</w:t>
            </w:r>
          </w:p>
        </w:tc>
      </w:tr>
      <w:tr>
        <w:tblPrEx>
          <w:tblCellMar>
            <w:top w:w="0" w:type="dxa"/>
            <w:left w:w="108" w:type="dxa"/>
            <w:bottom w:w="0" w:type="dxa"/>
            <w:right w:w="108" w:type="dxa"/>
          </w:tblCellMar>
        </w:tblPrEx>
        <w:trPr>
          <w:jc w:val="center"/>
        </w:trPr>
        <w:tc>
          <w:tcPr>
            <w:tcW w:w="868" w:type="dxa"/>
            <w:tcBorders>
              <w:top w:val="single" w:color="auto" w:sz="4" w:space="0"/>
              <w:left w:val="single" w:color="auto" w:sz="4" w:space="0"/>
              <w:bottom w:val="single" w:color="auto" w:sz="4" w:space="0"/>
              <w:right w:val="single" w:color="auto" w:sz="4" w:space="0"/>
            </w:tcBorders>
            <w:noWrap w:val="0"/>
            <w:vAlign w:val="center"/>
          </w:tcPr>
          <w:p>
            <w:pPr>
              <w:widowControl/>
              <w:spacing w:line="400" w:lineRule="exact"/>
              <w:jc w:val="center"/>
              <w:textAlignment w:val="center"/>
              <w:rPr>
                <w:color w:val="000000"/>
                <w:sz w:val="24"/>
              </w:rPr>
            </w:pPr>
            <w:r>
              <w:rPr>
                <w:color w:val="000000"/>
                <w:sz w:val="24"/>
              </w:rPr>
              <w:t>2</w:t>
            </w:r>
          </w:p>
        </w:tc>
        <w:tc>
          <w:tcPr>
            <w:tcW w:w="1811" w:type="dxa"/>
            <w:tcBorders>
              <w:top w:val="single" w:color="auto" w:sz="4" w:space="0"/>
              <w:left w:val="single" w:color="auto" w:sz="4" w:space="0"/>
              <w:bottom w:val="single" w:color="auto" w:sz="4" w:space="0"/>
              <w:right w:val="single" w:color="auto" w:sz="4" w:space="0"/>
            </w:tcBorders>
            <w:noWrap/>
            <w:vAlign w:val="center"/>
          </w:tcPr>
          <w:p>
            <w:pPr>
              <w:widowControl/>
              <w:spacing w:line="400" w:lineRule="exact"/>
              <w:jc w:val="center"/>
              <w:textAlignment w:val="center"/>
              <w:rPr>
                <w:color w:val="000000"/>
                <w:sz w:val="24"/>
              </w:rPr>
            </w:pPr>
            <w:r>
              <w:rPr>
                <w:sz w:val="24"/>
              </w:rPr>
              <w:t>土地出让</w:t>
            </w:r>
          </w:p>
        </w:tc>
        <w:tc>
          <w:tcPr>
            <w:tcW w:w="6392" w:type="dxa"/>
            <w:tcBorders>
              <w:top w:val="single" w:color="000000" w:sz="4" w:space="0"/>
              <w:left w:val="single" w:color="auto" w:sz="4" w:space="0"/>
              <w:bottom w:val="single" w:color="000000" w:sz="4" w:space="0"/>
              <w:right w:val="single" w:color="000000" w:sz="4" w:space="0"/>
            </w:tcBorders>
            <w:noWrap/>
            <w:vAlign w:val="center"/>
          </w:tcPr>
          <w:p>
            <w:pPr>
              <w:widowControl/>
              <w:spacing w:line="400" w:lineRule="exact"/>
              <w:textAlignment w:val="center"/>
              <w:rPr>
                <w:color w:val="000000"/>
                <w:sz w:val="24"/>
              </w:rPr>
            </w:pPr>
            <w:r>
              <w:rPr>
                <w:sz w:val="24"/>
              </w:rPr>
              <w:t>合理保障骨干基地、物流园区、</w:t>
            </w:r>
            <w:r>
              <w:rPr>
                <w:rFonts w:hint="eastAsia"/>
                <w:sz w:val="24"/>
                <w:lang w:eastAsia="zh-CN"/>
              </w:rPr>
              <w:t>集配</w:t>
            </w:r>
            <w:r>
              <w:rPr>
                <w:sz w:val="24"/>
              </w:rPr>
              <w:t>中心等重要冷链物流节点和冷链物流重大项目的土地供应，指导各地在每年新增产业用地中</w:t>
            </w:r>
            <w:r>
              <w:rPr>
                <w:rFonts w:hint="eastAsia"/>
                <w:sz w:val="24"/>
              </w:rPr>
              <w:t>建设</w:t>
            </w:r>
            <w:r>
              <w:rPr>
                <w:sz w:val="24"/>
              </w:rPr>
              <w:t>重大冷链物流基础设施，合理确定冷链物流项目土地出让底价、控制指标，探索制定冷链物流用地综合性评价指标体系。</w:t>
            </w:r>
            <w:r>
              <w:rPr>
                <w:sz w:val="24"/>
                <w:szCs w:val="24"/>
              </w:rPr>
              <w:t>支持村集体建设用地用于冷链基础设施节点建设</w:t>
            </w:r>
            <w:r>
              <w:rPr>
                <w:sz w:val="24"/>
              </w:rPr>
              <w:t>。</w:t>
            </w:r>
          </w:p>
        </w:tc>
      </w:tr>
      <w:tr>
        <w:tblPrEx>
          <w:tblCellMar>
            <w:top w:w="0" w:type="dxa"/>
            <w:left w:w="108" w:type="dxa"/>
            <w:bottom w:w="0" w:type="dxa"/>
            <w:right w:w="108" w:type="dxa"/>
          </w:tblCellMar>
        </w:tblPrEx>
        <w:trPr>
          <w:jc w:val="center"/>
        </w:trPr>
        <w:tc>
          <w:tcPr>
            <w:tcW w:w="868" w:type="dxa"/>
            <w:tcBorders>
              <w:top w:val="single" w:color="auto" w:sz="4" w:space="0"/>
              <w:left w:val="single" w:color="auto" w:sz="4" w:space="0"/>
              <w:bottom w:val="single" w:color="auto" w:sz="4" w:space="0"/>
              <w:right w:val="single" w:color="auto" w:sz="4" w:space="0"/>
            </w:tcBorders>
            <w:noWrap w:val="0"/>
            <w:vAlign w:val="center"/>
          </w:tcPr>
          <w:p>
            <w:pPr>
              <w:widowControl/>
              <w:spacing w:line="400" w:lineRule="exact"/>
              <w:jc w:val="center"/>
              <w:textAlignment w:val="center"/>
              <w:rPr>
                <w:color w:val="000000"/>
                <w:sz w:val="24"/>
              </w:rPr>
            </w:pPr>
            <w:r>
              <w:rPr>
                <w:color w:val="000000"/>
                <w:sz w:val="24"/>
              </w:rPr>
              <w:t>3</w:t>
            </w:r>
          </w:p>
        </w:tc>
        <w:tc>
          <w:tcPr>
            <w:tcW w:w="1811" w:type="dxa"/>
            <w:tcBorders>
              <w:top w:val="single" w:color="auto" w:sz="4" w:space="0"/>
              <w:left w:val="single" w:color="auto" w:sz="4" w:space="0"/>
              <w:bottom w:val="single" w:color="auto" w:sz="4" w:space="0"/>
              <w:right w:val="single" w:color="auto" w:sz="4" w:space="0"/>
            </w:tcBorders>
            <w:noWrap/>
            <w:vAlign w:val="center"/>
          </w:tcPr>
          <w:p>
            <w:pPr>
              <w:widowControl/>
              <w:spacing w:line="400" w:lineRule="exact"/>
              <w:jc w:val="center"/>
              <w:textAlignment w:val="center"/>
              <w:rPr>
                <w:color w:val="000000"/>
                <w:sz w:val="24"/>
              </w:rPr>
            </w:pPr>
            <w:r>
              <w:rPr>
                <w:color w:val="000000"/>
                <w:sz w:val="24"/>
              </w:rPr>
              <w:t>企业融资</w:t>
            </w:r>
          </w:p>
        </w:tc>
        <w:tc>
          <w:tcPr>
            <w:tcW w:w="6392" w:type="dxa"/>
            <w:tcBorders>
              <w:top w:val="single" w:color="000000" w:sz="4" w:space="0"/>
              <w:left w:val="single" w:color="auto" w:sz="4" w:space="0"/>
              <w:bottom w:val="single" w:color="000000" w:sz="4" w:space="0"/>
              <w:right w:val="single" w:color="000000" w:sz="4" w:space="0"/>
            </w:tcBorders>
            <w:noWrap/>
            <w:vAlign w:val="center"/>
          </w:tcPr>
          <w:p>
            <w:pPr>
              <w:widowControl/>
              <w:spacing w:line="400" w:lineRule="exact"/>
              <w:textAlignment w:val="center"/>
              <w:rPr>
                <w:color w:val="000000"/>
                <w:sz w:val="24"/>
              </w:rPr>
            </w:pPr>
            <w:r>
              <w:rPr>
                <w:color w:val="000000"/>
                <w:sz w:val="24"/>
              </w:rPr>
              <w:t>深入实施融资畅通工程，推动冷链物流运行数据与融资信用信息融合，持续完善银政企合作平台和对接机制，引导金融机构在风险可控、商业可持续的前提下创新融资机制、开发金融产品、拓宽融资渠道，为冷链物流企业提供融资保障，重点为冷链物流基础设施建设、设备更新改造提供中长期融资和直接融资。</w:t>
            </w:r>
          </w:p>
        </w:tc>
      </w:tr>
      <w:tr>
        <w:tblPrEx>
          <w:tblCellMar>
            <w:top w:w="0" w:type="dxa"/>
            <w:left w:w="108" w:type="dxa"/>
            <w:bottom w:w="0" w:type="dxa"/>
            <w:right w:w="108" w:type="dxa"/>
          </w:tblCellMar>
        </w:tblPrEx>
        <w:trPr>
          <w:jc w:val="center"/>
        </w:trPr>
        <w:tc>
          <w:tcPr>
            <w:tcW w:w="868" w:type="dxa"/>
            <w:tcBorders>
              <w:top w:val="single" w:color="auto" w:sz="4" w:space="0"/>
              <w:left w:val="single" w:color="auto" w:sz="4" w:space="0"/>
              <w:bottom w:val="single" w:color="auto" w:sz="4" w:space="0"/>
              <w:right w:val="single" w:color="auto" w:sz="4" w:space="0"/>
            </w:tcBorders>
            <w:noWrap w:val="0"/>
            <w:vAlign w:val="center"/>
          </w:tcPr>
          <w:p>
            <w:pPr>
              <w:widowControl/>
              <w:spacing w:line="400" w:lineRule="exact"/>
              <w:jc w:val="center"/>
              <w:textAlignment w:val="center"/>
              <w:rPr>
                <w:color w:val="000000"/>
                <w:sz w:val="24"/>
              </w:rPr>
            </w:pPr>
            <w:r>
              <w:rPr>
                <w:color w:val="000000"/>
                <w:sz w:val="24"/>
              </w:rPr>
              <w:t>4</w:t>
            </w:r>
          </w:p>
        </w:tc>
        <w:tc>
          <w:tcPr>
            <w:tcW w:w="1811" w:type="dxa"/>
            <w:tcBorders>
              <w:top w:val="single" w:color="auto" w:sz="4" w:space="0"/>
              <w:left w:val="single" w:color="auto" w:sz="4" w:space="0"/>
              <w:bottom w:val="single" w:color="auto" w:sz="4" w:space="0"/>
              <w:right w:val="single" w:color="auto" w:sz="4" w:space="0"/>
            </w:tcBorders>
            <w:noWrap/>
            <w:vAlign w:val="center"/>
          </w:tcPr>
          <w:p>
            <w:pPr>
              <w:widowControl/>
              <w:spacing w:line="400" w:lineRule="exact"/>
              <w:jc w:val="center"/>
              <w:textAlignment w:val="center"/>
              <w:rPr>
                <w:color w:val="000000"/>
                <w:sz w:val="24"/>
              </w:rPr>
            </w:pPr>
            <w:r>
              <w:rPr>
                <w:color w:val="000000"/>
                <w:sz w:val="24"/>
              </w:rPr>
              <w:t>人才培养</w:t>
            </w:r>
          </w:p>
        </w:tc>
        <w:tc>
          <w:tcPr>
            <w:tcW w:w="6392" w:type="dxa"/>
            <w:tcBorders>
              <w:top w:val="single" w:color="000000" w:sz="4" w:space="0"/>
              <w:left w:val="single" w:color="auto" w:sz="4" w:space="0"/>
              <w:bottom w:val="single" w:color="000000" w:sz="4" w:space="0"/>
              <w:right w:val="single" w:color="000000" w:sz="4" w:space="0"/>
            </w:tcBorders>
            <w:noWrap/>
            <w:vAlign w:val="center"/>
          </w:tcPr>
          <w:p>
            <w:pPr>
              <w:widowControl/>
              <w:spacing w:line="400" w:lineRule="exact"/>
              <w:textAlignment w:val="center"/>
              <w:rPr>
                <w:color w:val="000000"/>
                <w:sz w:val="24"/>
              </w:rPr>
            </w:pPr>
            <w:r>
              <w:rPr>
                <w:color w:val="000000"/>
                <w:sz w:val="24"/>
              </w:rPr>
              <w:t>推动高校、科研院所研究设立冷链物流相关专业，依托培训机构、行业协会开展冷库运营、冷库安全、产品运营等方面的培训和考试，推动建立“企企联合、企校联合、企研联合、校协联合”等多</w:t>
            </w:r>
            <w:r>
              <w:rPr>
                <w:rFonts w:hint="eastAsia"/>
                <w:color w:val="000000"/>
                <w:sz w:val="24"/>
              </w:rPr>
              <w:t>模式</w:t>
            </w:r>
            <w:r>
              <w:rPr>
                <w:color w:val="000000"/>
                <w:sz w:val="24"/>
              </w:rPr>
              <w:t>、多层次的职业技术培训网络，探索建立冷链物流产教联盟。</w:t>
            </w:r>
            <w:r>
              <w:rPr>
                <w:rFonts w:hint="eastAsia"/>
                <w:color w:val="000000"/>
                <w:sz w:val="24"/>
              </w:rPr>
              <w:t>完善冷链物流相关人才认定和补贴制度。</w:t>
            </w:r>
          </w:p>
        </w:tc>
      </w:tr>
      <w:tr>
        <w:tblPrEx>
          <w:tblCellMar>
            <w:top w:w="0" w:type="dxa"/>
            <w:left w:w="108" w:type="dxa"/>
            <w:bottom w:w="0" w:type="dxa"/>
            <w:right w:w="108" w:type="dxa"/>
          </w:tblCellMar>
        </w:tblPrEx>
        <w:trPr>
          <w:jc w:val="center"/>
        </w:trPr>
        <w:tc>
          <w:tcPr>
            <w:tcW w:w="868" w:type="dxa"/>
            <w:tcBorders>
              <w:top w:val="single" w:color="auto" w:sz="4" w:space="0"/>
              <w:left w:val="single" w:color="auto" w:sz="4" w:space="0"/>
              <w:bottom w:val="single" w:color="auto" w:sz="4" w:space="0"/>
              <w:right w:val="single" w:color="auto" w:sz="4" w:space="0"/>
            </w:tcBorders>
            <w:noWrap w:val="0"/>
            <w:vAlign w:val="center"/>
          </w:tcPr>
          <w:p>
            <w:pPr>
              <w:widowControl/>
              <w:spacing w:line="400" w:lineRule="exact"/>
              <w:jc w:val="center"/>
              <w:textAlignment w:val="center"/>
              <w:rPr>
                <w:color w:val="000000"/>
                <w:sz w:val="24"/>
              </w:rPr>
            </w:pPr>
            <w:r>
              <w:rPr>
                <w:color w:val="000000"/>
                <w:sz w:val="24"/>
              </w:rPr>
              <w:t>5</w:t>
            </w:r>
          </w:p>
        </w:tc>
        <w:tc>
          <w:tcPr>
            <w:tcW w:w="1811" w:type="dxa"/>
            <w:tcBorders>
              <w:top w:val="single" w:color="auto" w:sz="4" w:space="0"/>
              <w:left w:val="single" w:color="auto" w:sz="4" w:space="0"/>
              <w:bottom w:val="single" w:color="auto" w:sz="4" w:space="0"/>
              <w:right w:val="single" w:color="auto" w:sz="4" w:space="0"/>
            </w:tcBorders>
            <w:noWrap/>
            <w:vAlign w:val="center"/>
          </w:tcPr>
          <w:p>
            <w:pPr>
              <w:widowControl/>
              <w:spacing w:line="400" w:lineRule="exact"/>
              <w:jc w:val="center"/>
              <w:textAlignment w:val="center"/>
              <w:rPr>
                <w:color w:val="000000"/>
                <w:sz w:val="24"/>
              </w:rPr>
            </w:pPr>
            <w:r>
              <w:rPr>
                <w:color w:val="000000"/>
                <w:sz w:val="24"/>
              </w:rPr>
              <w:t>通行停靠</w:t>
            </w:r>
          </w:p>
        </w:tc>
        <w:tc>
          <w:tcPr>
            <w:tcW w:w="6392" w:type="dxa"/>
            <w:tcBorders>
              <w:top w:val="single" w:color="000000" w:sz="4" w:space="0"/>
              <w:left w:val="single" w:color="auto" w:sz="4" w:space="0"/>
              <w:bottom w:val="single" w:color="000000" w:sz="4" w:space="0"/>
              <w:right w:val="single" w:color="000000" w:sz="4" w:space="0"/>
            </w:tcBorders>
            <w:noWrap/>
            <w:vAlign w:val="center"/>
          </w:tcPr>
          <w:p>
            <w:pPr>
              <w:widowControl/>
              <w:spacing w:line="400" w:lineRule="exact"/>
              <w:textAlignment w:val="center"/>
              <w:rPr>
                <w:color w:val="000000"/>
                <w:sz w:val="24"/>
              </w:rPr>
            </w:pPr>
            <w:r>
              <w:rPr>
                <w:color w:val="000000"/>
                <w:sz w:val="24"/>
              </w:rPr>
              <w:t>建立全省城市配送冷藏车统一标识制度，进一步优化冷藏车城市通行便利政策，有序放开轻型以下厢式、封闭式新能源冷藏货车通行限制。优化冷藏车临时停靠政策，允许冷藏车在不影响正常交通的前提下进行不超过半小时的停靠装卸作业。</w:t>
            </w:r>
          </w:p>
        </w:tc>
      </w:tr>
      <w:tr>
        <w:tblPrEx>
          <w:tblCellMar>
            <w:top w:w="0" w:type="dxa"/>
            <w:left w:w="108" w:type="dxa"/>
            <w:bottom w:w="0" w:type="dxa"/>
            <w:right w:w="108" w:type="dxa"/>
          </w:tblCellMar>
        </w:tblPrEx>
        <w:trPr>
          <w:jc w:val="center"/>
        </w:trPr>
        <w:tc>
          <w:tcPr>
            <w:tcW w:w="868" w:type="dxa"/>
            <w:tcBorders>
              <w:top w:val="single" w:color="auto" w:sz="4" w:space="0"/>
              <w:left w:val="single" w:color="000000" w:sz="4" w:space="0"/>
              <w:bottom w:val="single" w:color="000000" w:sz="4" w:space="0"/>
              <w:right w:val="single" w:color="000000" w:sz="4" w:space="0"/>
            </w:tcBorders>
            <w:noWrap w:val="0"/>
            <w:vAlign w:val="center"/>
          </w:tcPr>
          <w:p>
            <w:pPr>
              <w:widowControl/>
              <w:spacing w:line="400" w:lineRule="exact"/>
              <w:jc w:val="center"/>
              <w:textAlignment w:val="center"/>
              <w:rPr>
                <w:color w:val="000000"/>
                <w:sz w:val="24"/>
              </w:rPr>
            </w:pPr>
            <w:r>
              <w:rPr>
                <w:color w:val="000000"/>
                <w:sz w:val="24"/>
              </w:rPr>
              <w:t>6</w:t>
            </w:r>
          </w:p>
        </w:tc>
        <w:tc>
          <w:tcPr>
            <w:tcW w:w="1811" w:type="dxa"/>
            <w:tcBorders>
              <w:top w:val="single" w:color="auto" w:sz="4" w:space="0"/>
              <w:left w:val="single" w:color="000000" w:sz="4" w:space="0"/>
              <w:bottom w:val="single" w:color="000000" w:sz="4" w:space="0"/>
              <w:right w:val="single" w:color="000000" w:sz="4" w:space="0"/>
            </w:tcBorders>
            <w:noWrap/>
            <w:vAlign w:val="center"/>
          </w:tcPr>
          <w:p>
            <w:pPr>
              <w:widowControl/>
              <w:spacing w:line="400" w:lineRule="exact"/>
              <w:jc w:val="center"/>
              <w:textAlignment w:val="center"/>
              <w:rPr>
                <w:color w:val="000000"/>
                <w:sz w:val="24"/>
              </w:rPr>
            </w:pPr>
            <w:r>
              <w:rPr>
                <w:color w:val="000000"/>
                <w:sz w:val="24"/>
              </w:rPr>
              <w:t>行业发展</w:t>
            </w:r>
          </w:p>
        </w:tc>
        <w:tc>
          <w:tcPr>
            <w:tcW w:w="6392" w:type="dxa"/>
            <w:tcBorders>
              <w:top w:val="single" w:color="000000" w:sz="4" w:space="0"/>
              <w:left w:val="single" w:color="000000" w:sz="4" w:space="0"/>
              <w:bottom w:val="single" w:color="000000" w:sz="4" w:space="0"/>
              <w:right w:val="single" w:color="000000" w:sz="4" w:space="0"/>
            </w:tcBorders>
            <w:noWrap/>
            <w:vAlign w:val="center"/>
          </w:tcPr>
          <w:p>
            <w:pPr>
              <w:widowControl/>
              <w:spacing w:line="400" w:lineRule="exact"/>
              <w:textAlignment w:val="center"/>
              <w:rPr>
                <w:color w:val="000000"/>
                <w:sz w:val="24"/>
              </w:rPr>
            </w:pPr>
            <w:r>
              <w:rPr>
                <w:color w:val="000000"/>
                <w:sz w:val="24"/>
              </w:rPr>
              <w:t>依托现有物流领域社会团体或由冷链物流大型国企、行业龙头企业等链主型企业牵头成立省级冷链行业协会，发挥冷链企业和政府部门间桥梁纽带作用。</w:t>
            </w:r>
          </w:p>
        </w:tc>
      </w:tr>
      <w:tr>
        <w:tblPrEx>
          <w:tblCellMar>
            <w:top w:w="0" w:type="dxa"/>
            <w:left w:w="108" w:type="dxa"/>
            <w:bottom w:w="0" w:type="dxa"/>
            <w:right w:w="108" w:type="dxa"/>
          </w:tblCellMar>
        </w:tblPrEx>
        <w:trPr>
          <w:jc w:val="center"/>
        </w:trPr>
        <w:tc>
          <w:tcPr>
            <w:tcW w:w="868"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400" w:lineRule="exact"/>
              <w:jc w:val="center"/>
              <w:textAlignment w:val="center"/>
              <w:rPr>
                <w:color w:val="000000"/>
                <w:sz w:val="24"/>
              </w:rPr>
            </w:pPr>
            <w:r>
              <w:rPr>
                <w:color w:val="000000"/>
                <w:sz w:val="24"/>
              </w:rPr>
              <w:t>7</w:t>
            </w:r>
          </w:p>
        </w:tc>
        <w:tc>
          <w:tcPr>
            <w:tcW w:w="1811" w:type="dxa"/>
            <w:tcBorders>
              <w:top w:val="single" w:color="000000" w:sz="4" w:space="0"/>
              <w:left w:val="single" w:color="000000" w:sz="4" w:space="0"/>
              <w:bottom w:val="single" w:color="000000" w:sz="4" w:space="0"/>
              <w:right w:val="single" w:color="000000" w:sz="4" w:space="0"/>
            </w:tcBorders>
            <w:noWrap/>
            <w:vAlign w:val="center"/>
          </w:tcPr>
          <w:p>
            <w:pPr>
              <w:widowControl/>
              <w:spacing w:line="400" w:lineRule="exact"/>
              <w:jc w:val="center"/>
              <w:textAlignment w:val="center"/>
              <w:rPr>
                <w:color w:val="000000"/>
                <w:sz w:val="24"/>
              </w:rPr>
            </w:pPr>
            <w:r>
              <w:rPr>
                <w:color w:val="000000"/>
                <w:sz w:val="24"/>
              </w:rPr>
              <w:t>监管评价</w:t>
            </w:r>
          </w:p>
        </w:tc>
        <w:tc>
          <w:tcPr>
            <w:tcW w:w="6392" w:type="dxa"/>
            <w:tcBorders>
              <w:top w:val="single" w:color="000000" w:sz="4" w:space="0"/>
              <w:left w:val="single" w:color="000000" w:sz="4" w:space="0"/>
              <w:bottom w:val="single" w:color="000000" w:sz="4" w:space="0"/>
              <w:right w:val="single" w:color="000000" w:sz="4" w:space="0"/>
            </w:tcBorders>
            <w:noWrap/>
            <w:vAlign w:val="center"/>
          </w:tcPr>
          <w:p>
            <w:pPr>
              <w:widowControl/>
              <w:spacing w:line="400" w:lineRule="exact"/>
              <w:textAlignment w:val="center"/>
              <w:rPr>
                <w:color w:val="000000"/>
                <w:sz w:val="24"/>
              </w:rPr>
            </w:pPr>
            <w:r>
              <w:rPr>
                <w:color w:val="000000"/>
                <w:sz w:val="24"/>
              </w:rPr>
              <w:t>建立冷链物流行业统计调查制度，科学设置定量统计指标和定性综合性指数，建立统计核算模型，明确统计监测样本企业库，探索开展线上冷链物流统计调查，摸清冷链物流基础要素底数。</w:t>
            </w:r>
          </w:p>
        </w:tc>
      </w:tr>
      <w:tr>
        <w:tblPrEx>
          <w:tblCellMar>
            <w:top w:w="0" w:type="dxa"/>
            <w:left w:w="108" w:type="dxa"/>
            <w:bottom w:w="0" w:type="dxa"/>
            <w:right w:w="108" w:type="dxa"/>
          </w:tblCellMar>
        </w:tblPrEx>
        <w:trPr>
          <w:jc w:val="center"/>
        </w:trPr>
        <w:tc>
          <w:tcPr>
            <w:tcW w:w="868"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400" w:lineRule="exact"/>
              <w:jc w:val="center"/>
              <w:textAlignment w:val="center"/>
              <w:rPr>
                <w:color w:val="000000"/>
                <w:sz w:val="24"/>
              </w:rPr>
            </w:pPr>
            <w:r>
              <w:rPr>
                <w:color w:val="000000"/>
                <w:sz w:val="24"/>
              </w:rPr>
              <w:t>8</w:t>
            </w:r>
          </w:p>
        </w:tc>
        <w:tc>
          <w:tcPr>
            <w:tcW w:w="1811" w:type="dxa"/>
            <w:tcBorders>
              <w:top w:val="single" w:color="000000" w:sz="4" w:space="0"/>
              <w:left w:val="single" w:color="000000" w:sz="4" w:space="0"/>
              <w:bottom w:val="single" w:color="000000" w:sz="4" w:space="0"/>
              <w:right w:val="single" w:color="000000" w:sz="4" w:space="0"/>
            </w:tcBorders>
            <w:noWrap/>
            <w:vAlign w:val="center"/>
          </w:tcPr>
          <w:p>
            <w:pPr>
              <w:widowControl/>
              <w:spacing w:line="400" w:lineRule="exact"/>
              <w:jc w:val="center"/>
              <w:textAlignment w:val="center"/>
              <w:rPr>
                <w:color w:val="000000"/>
                <w:sz w:val="24"/>
              </w:rPr>
            </w:pPr>
            <w:r>
              <w:rPr>
                <w:color w:val="000000"/>
                <w:sz w:val="24"/>
              </w:rPr>
              <w:t>营商环境</w:t>
            </w:r>
          </w:p>
        </w:tc>
        <w:tc>
          <w:tcPr>
            <w:tcW w:w="6392" w:type="dxa"/>
            <w:tcBorders>
              <w:top w:val="single" w:color="000000" w:sz="4" w:space="0"/>
              <w:left w:val="single" w:color="000000" w:sz="4" w:space="0"/>
              <w:bottom w:val="single" w:color="000000" w:sz="4" w:space="0"/>
              <w:right w:val="single" w:color="000000" w:sz="4" w:space="0"/>
            </w:tcBorders>
            <w:noWrap/>
            <w:vAlign w:val="center"/>
          </w:tcPr>
          <w:p>
            <w:pPr>
              <w:widowControl/>
              <w:spacing w:line="400" w:lineRule="exact"/>
              <w:textAlignment w:val="center"/>
              <w:rPr>
                <w:color w:val="000000"/>
                <w:sz w:val="24"/>
              </w:rPr>
            </w:pPr>
            <w:r>
              <w:rPr>
                <w:color w:val="000000"/>
                <w:sz w:val="24"/>
              </w:rPr>
              <w:t>深化物流领域体制机制改革，简化各类涉企事项审批审查办理流程，变“人工跑”为“数据跑”，提高办事效率，提升口岸通关便利化水平。</w:t>
            </w:r>
          </w:p>
        </w:tc>
      </w:tr>
      <w:tr>
        <w:tblPrEx>
          <w:tblCellMar>
            <w:top w:w="0" w:type="dxa"/>
            <w:left w:w="108" w:type="dxa"/>
            <w:bottom w:w="0" w:type="dxa"/>
            <w:right w:w="108" w:type="dxa"/>
          </w:tblCellMar>
        </w:tblPrEx>
        <w:trPr>
          <w:jc w:val="center"/>
        </w:trPr>
        <w:tc>
          <w:tcPr>
            <w:tcW w:w="868"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400" w:lineRule="exact"/>
              <w:jc w:val="center"/>
              <w:textAlignment w:val="center"/>
              <w:rPr>
                <w:color w:val="000000"/>
                <w:sz w:val="24"/>
              </w:rPr>
            </w:pPr>
            <w:r>
              <w:rPr>
                <w:color w:val="000000"/>
                <w:sz w:val="24"/>
              </w:rPr>
              <w:t>9</w:t>
            </w:r>
          </w:p>
        </w:tc>
        <w:tc>
          <w:tcPr>
            <w:tcW w:w="1811" w:type="dxa"/>
            <w:tcBorders>
              <w:top w:val="single" w:color="000000" w:sz="4" w:space="0"/>
              <w:left w:val="single" w:color="000000" w:sz="4" w:space="0"/>
              <w:bottom w:val="single" w:color="000000" w:sz="4" w:space="0"/>
              <w:right w:val="single" w:color="000000" w:sz="4" w:space="0"/>
            </w:tcBorders>
            <w:noWrap/>
            <w:vAlign w:val="center"/>
          </w:tcPr>
          <w:p>
            <w:pPr>
              <w:widowControl/>
              <w:spacing w:line="400" w:lineRule="exact"/>
              <w:jc w:val="center"/>
              <w:textAlignment w:val="center"/>
              <w:rPr>
                <w:color w:val="000000"/>
                <w:sz w:val="24"/>
              </w:rPr>
            </w:pPr>
            <w:r>
              <w:rPr>
                <w:color w:val="000000"/>
                <w:sz w:val="24"/>
              </w:rPr>
              <w:t>标准创新</w:t>
            </w:r>
          </w:p>
        </w:tc>
        <w:tc>
          <w:tcPr>
            <w:tcW w:w="6392" w:type="dxa"/>
            <w:tcBorders>
              <w:top w:val="single" w:color="000000" w:sz="4" w:space="0"/>
              <w:left w:val="single" w:color="000000" w:sz="4" w:space="0"/>
              <w:bottom w:val="single" w:color="000000" w:sz="4" w:space="0"/>
              <w:right w:val="single" w:color="000000" w:sz="4" w:space="0"/>
            </w:tcBorders>
            <w:noWrap/>
            <w:vAlign w:val="center"/>
          </w:tcPr>
          <w:p>
            <w:pPr>
              <w:widowControl/>
              <w:spacing w:line="400" w:lineRule="exact"/>
              <w:textAlignment w:val="center"/>
              <w:rPr>
                <w:color w:val="000000"/>
                <w:sz w:val="24"/>
              </w:rPr>
            </w:pPr>
            <w:r>
              <w:rPr>
                <w:rFonts w:hint="eastAsia"/>
                <w:color w:val="000000"/>
                <w:sz w:val="24"/>
              </w:rPr>
              <w:t>创新完善</w:t>
            </w:r>
            <w:r>
              <w:rPr>
                <w:color w:val="000000"/>
                <w:sz w:val="24"/>
              </w:rPr>
              <w:t>冷链物流相关领域标准，形成全流程电商服务标准、冷藏车标准配置方案等冷链物流的标准规范。</w:t>
            </w:r>
          </w:p>
        </w:tc>
      </w:tr>
    </w:tbl>
    <w:p>
      <w:pPr>
        <w:pStyle w:val="2"/>
        <w:spacing w:after="0"/>
        <w:ind w:firstLine="652"/>
      </w:pPr>
    </w:p>
    <w:p>
      <w:pPr>
        <w:spacing w:line="360" w:lineRule="auto"/>
        <w:outlineLvl w:val="0"/>
        <w:rPr>
          <w:rFonts w:eastAsia="黑体"/>
          <w:color w:val="000000"/>
          <w:szCs w:val="32"/>
        </w:rPr>
      </w:pPr>
    </w:p>
    <w:p>
      <w:pPr>
        <w:spacing w:line="360" w:lineRule="auto"/>
        <w:outlineLvl w:val="0"/>
        <w:rPr>
          <w:rFonts w:eastAsia="黑体"/>
          <w:color w:val="000000"/>
          <w:szCs w:val="32"/>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3"/>
                            <w:jc w:val="center"/>
                            <w:rPr>
                              <w:sz w:val="28"/>
                              <w:szCs w:val="28"/>
                            </w:rPr>
                          </w:pPr>
                          <w:r>
                            <w:rPr>
                              <w:sz w:val="28"/>
                              <w:szCs w:val="28"/>
                            </w:rPr>
                            <w:t xml:space="preserve">—  </w:t>
                          </w:r>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6</w:t>
                          </w:r>
                          <w:r>
                            <w:rPr>
                              <w:sz w:val="28"/>
                              <w:szCs w:val="28"/>
                            </w:rPr>
                            <w:fldChar w:fldCharType="end"/>
                          </w:r>
                          <w:r>
                            <w:rPr>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Dviuy/SAQAApQMAAA4AAABkcnMvZTJvRG9jLnhtbK1TS27bMBDd&#10;F8gdCO5ryQbSCoLloIWRoEDRFkhzAJoiLQL8gUNb8gXaG3TVTfc9l8/RISU5QbLJohtqODN8M+/N&#10;aH0zGE2OIoBytqHLRUmJsNy1yu4b+vD99m1FCURmW6adFQ09CaA3m6s3697XYuU6p1sRCIJYqHvf&#10;0C5GXxcF8E4YBgvnhcWgdMGwiNewL9rAekQ3uliV5buid6H1wXEBgN7tGKQTYngNoJNScbF1/GCE&#10;jSNqEJpFpASd8kA3uVspBY9fpQQRiW4oMo35xCJo79JZbNas3gfmO8WnFthrWnjGyTBlsegFassi&#10;I4egXkAZxYMDJ+OCO1OMRLIiyGJZPtPmvmNeZC4oNfiL6PD/YPmX47dAVIubsKTEMoMTP//6ef79&#10;9/znB0EfCtR7qDHv3mNmHD66AZNnP6Az8R5kMOmLjAjGUd7TRV4xRMLTo2pVVSWGOMbmC+IXj899&#10;gHgnnCHJaGjA+WVZ2fEzxDF1TknVrLtVWucZakt6RL2u3l/nF5cQomuLRRKLsdtkxWE3TNR2rj0h&#10;sx6XoKEWd54S/cmixmlfZiPMxm42Dj6ofZcXKrUC/sMhYju5y1RhhJ0K4/Qyz2nT0no8veesx79r&#10;8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oaYJL0wAAAAUBAAAPAAAAAAAAAAEAIAAAACIAAABk&#10;cnMvZG93bnJldi54bWxQSwECFAAUAAAACACHTuJAO+K7L9IBAAClAwAADgAAAAAAAAABACAAAAAi&#10;AQAAZHJzL2Uyb0RvYy54bWxQSwUGAAAAAAYABgBZAQAAZgUAAAAA&#10;">
              <v:path/>
              <v:fill on="f" focussize="0,0"/>
              <v:stroke on="f" weight="1.25pt"/>
              <v:imagedata o:title=""/>
              <o:lock v:ext="edit" aspectratio="f"/>
              <v:textbox inset="0mm,0mm,0mm,0mm" style="mso-fit-shape-to-text:t;">
                <w:txbxContent>
                  <w:p>
                    <w:pPr>
                      <w:pStyle w:val="3"/>
                      <w:jc w:val="center"/>
                      <w:rPr>
                        <w:sz w:val="28"/>
                        <w:szCs w:val="28"/>
                      </w:rPr>
                    </w:pPr>
                    <w:r>
                      <w:rPr>
                        <w:sz w:val="28"/>
                        <w:szCs w:val="28"/>
                      </w:rPr>
                      <w:t xml:space="preserve">—  </w:t>
                    </w:r>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6</w:t>
                    </w:r>
                    <w:r>
                      <w:rPr>
                        <w:sz w:val="28"/>
                        <w:szCs w:val="28"/>
                      </w:rPr>
                      <w:fldChar w:fldCharType="end"/>
                    </w:r>
                    <w:r>
                      <w:rPr>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37" name="文本框 17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3"/>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lang w:val="zh-CN"/>
                            </w:rPr>
                            <w:t>6</w:t>
                          </w:r>
                          <w:r>
                            <w:rPr>
                              <w:sz w:val="18"/>
                              <w:szCs w:val="1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FK+LhDUAQAAqQMAAA4AAABkcnMvZTJvRG9jLnhtbK1TzY7TMBC+&#10;I/EOlu802aKlUdR0BaoWISFA2uUBXMduLPlPHrdJXwDegBMX7jxXn4Oxk7RoueyBizOen2/m+zxZ&#10;3w1Gk6MIoJxt6M2ipERY7lpl9w39+nj/qqIEIrMt086Khp4E0LvNyxfr3tdi6TqnWxEIglioe9/Q&#10;LkZfFwXwThgGC+eFxaB0wbCI17Av2sB6RDe6WJblm6J3ofXBcQGA3u0YpBNieA6gk1JxsXX8YISN&#10;I2oQmkWkBJ3yQDd5WikFj5+lBBGJbigyjfnEJmjv0lls1qzeB+Y7xacR2HNGeMLJMGWx6QVqyyIj&#10;h6D+gTKKBwdOxgV3phiJZEWQxU35RJuHjnmRuaDU4C+iw/+D5Z+OXwJRLW7C6vWKEssMvvn5x/fz&#10;z9/nX99I9qJIvYcacx88ZsfhnRuwIImX/IDOxH2QwaQvsiIYR4lPF4nFEAlPRdWyqkoMcYzNF8Qp&#10;ruU+QHwvnCHJaGjAN8zSsuNHiGPqnJK6WXevtEY/q7UlPaLeVqvbXHEJIbq22OQ6bbLisBsmCjvX&#10;npBZj4vQUIt7T4n+YFHntDOzEWZjNxsHH9S+y0uV+oN/e4g4Tp4ydRhhp8b4gpnntG1pRf6+56zr&#10;H7b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hpgkvTAAAABQEAAA8AAAAAAAAAAQAgAAAAIgAA&#10;AGRycy9kb3ducmV2LnhtbFBLAQIUABQAAAAIAIdO4kBSvi4Q1AEAAKkDAAAOAAAAAAAAAAEAIAAA&#10;ACIBAABkcnMvZTJvRG9jLnhtbFBLBQYAAAAABgAGAFkBAABoBQAAAAA=&#10;">
              <v:path/>
              <v:fill on="f" focussize="0,0"/>
              <v:stroke on="f" weight="1.25pt"/>
              <v:imagedata o:title=""/>
              <o:lock v:ext="edit" aspectratio="f"/>
              <v:textbox inset="0mm,0mm,0mm,0mm" style="mso-fit-shape-to-text:t;">
                <w:txbxContent>
                  <w:p>
                    <w:pPr>
                      <w:pStyle w:val="3"/>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lang w:val="zh-CN"/>
                      </w:rPr>
                      <w:t>6</w:t>
                    </w:r>
                    <w:r>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JhMDk1ODExMDBiOGYwNTkzM2IwODE0NTRhNzhjMjcifQ=="/>
  </w:docVars>
  <w:rsids>
    <w:rsidRoot w:val="3AE0683E"/>
    <w:rsid w:val="3AE06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3,4"/>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jc w:val="both"/>
    </w:pPr>
    <w:rPr>
      <w:rFonts w:ascii="Times New Roman" w:hAnsi="Times New Roman" w:eastAsia="仿宋_GB2312" w:cs="Times New Roman"/>
      <w:spacing w:val="-6"/>
      <w:kern w:val="2"/>
      <w:sz w:val="32"/>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uiPriority w:val="0"/>
    <w:pPr>
      <w:keepNext w:val="0"/>
      <w:keepLines w:val="0"/>
      <w:widowControl w:val="0"/>
      <w:suppressLineNumbers w:val="0"/>
      <w:spacing w:after="120" w:afterLines="0" w:afterAutospacing="0" w:line="579" w:lineRule="exact"/>
      <w:ind w:firstLine="872" w:firstLineChars="200"/>
      <w:jc w:val="both"/>
    </w:pPr>
    <w:rPr>
      <w:rFonts w:hint="default" w:ascii="Times New Roman" w:hAnsi="Times New Roman" w:eastAsia="仿宋_GB2312" w:cs="Calibri"/>
      <w:spacing w:val="0"/>
      <w:kern w:val="2"/>
      <w:sz w:val="32"/>
      <w:szCs w:val="32"/>
      <w:lang w:val="en-US" w:eastAsia="zh-CN" w:bidi="ar"/>
    </w:rPr>
  </w:style>
  <w:style w:type="paragraph" w:styleId="3">
    <w:name w:val="footer"/>
    <w:basedOn w:val="1"/>
    <w:uiPriority w:val="0"/>
    <w:pPr>
      <w:tabs>
        <w:tab w:val="center" w:pos="4153"/>
        <w:tab w:val="right" w:pos="8306"/>
      </w:tabs>
      <w:overflowPunct w:val="0"/>
      <w:autoSpaceDE w:val="0"/>
      <w:autoSpaceDN w:val="0"/>
      <w:adjustRightInd w:val="0"/>
      <w:spacing w:line="240" w:lineRule="atLeast"/>
      <w:jc w:val="both"/>
      <w:textAlignment w:val="baseline"/>
    </w:pPr>
    <w:rPr>
      <w:sz w:val="20"/>
    </w:rPr>
  </w:style>
  <w:style w:type="paragraph" w:styleId="6">
    <w:name w:val="List Paragraph"/>
    <w:basedOn w:val="1"/>
    <w:qFormat/>
    <w:uiPriority w:val="34"/>
    <w:pPr>
      <w:ind w:firstLine="420" w:firstLineChars="200"/>
    </w:pPr>
  </w:style>
  <w:style w:type="character" w:customStyle="1" w:styleId="7">
    <w:name w:val="font21"/>
    <w:qFormat/>
    <w:uiPriority w:val="0"/>
    <w:rPr>
      <w:rFonts w:ascii="仿宋_GB2312" w:eastAsia="仿宋_GB2312" w:cs="仿宋_GB2312"/>
      <w:color w:val="000000"/>
      <w:sz w:val="21"/>
      <w:szCs w:val="21"/>
      <w:u w:val="none"/>
    </w:rPr>
  </w:style>
  <w:style w:type="character" w:customStyle="1" w:styleId="8">
    <w:name w:val="font11"/>
    <w:qFormat/>
    <w:uiPriority w:val="0"/>
    <w:rPr>
      <w:rFonts w:hint="default" w:ascii="Times New Roman" w:hAnsi="Times New Roman" w:cs="Times New Roman"/>
      <w:color w:val="000000"/>
      <w:sz w:val="21"/>
      <w:szCs w:val="21"/>
      <w:u w:val="none"/>
    </w:rPr>
  </w:style>
  <w:style w:type="character" w:customStyle="1" w:styleId="9">
    <w:name w:val="font31"/>
    <w:qFormat/>
    <w:uiPriority w:val="0"/>
    <w:rPr>
      <w:rFonts w:ascii="仿宋_GB2312" w:eastAsia="仿宋_GB2312" w:cs="仿宋_GB2312"/>
      <w:color w:val="000000"/>
      <w:sz w:val="22"/>
      <w:szCs w:val="22"/>
      <w:u w:val="none"/>
    </w:rPr>
  </w:style>
  <w:style w:type="character" w:customStyle="1" w:styleId="10">
    <w:name w:val="font01"/>
    <w:qFormat/>
    <w:uiPriority w:val="0"/>
    <w:rPr>
      <w:rFonts w:hint="default" w:ascii="Times New Roman" w:hAnsi="Times New Roman" w:cs="Times New Roman"/>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2023-06-13T10:15:00Z</dcterms:created>
  <dc:creator>*</dc:creator>
  <cp:lastModifiedBy>*</cp:lastModifiedBy>
  <dcterms:modified xsi:type="dcterms:W3CDTF">2023-06-13T10:15:58Z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AAEC31E2319344639D412383DC70FCA4_11</vt:lpwstr>
  </property>
</Properties>
</file>