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附件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：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方正小标宋简体" w:hAnsi="方正小标宋简体" w:eastAsia="方正小标宋简体" w:cs="方正小标宋简体"/>
          <w:color w:val="auto"/>
          <w:sz w:val="44"/>
          <w:szCs w:val="44"/>
        </w:rPr>
        <w:t>首南街道物业管理考核细则</w:t>
      </w:r>
    </w:p>
    <w:tbl>
      <w:tblPr>
        <w:tblStyle w:val="7"/>
        <w:tblpPr w:leftFromText="180" w:rightFromText="180" w:vertAnchor="text" w:horzAnchor="page" w:tblpXSpec="center" w:tblpY="348"/>
        <w:tblOverlap w:val="never"/>
        <w:tblW w:w="14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5"/>
        <w:gridCol w:w="2350"/>
        <w:gridCol w:w="4677"/>
        <w:gridCol w:w="1515"/>
        <w:gridCol w:w="29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  <w:jc w:val="center"/>
        </w:trPr>
        <w:tc>
          <w:tcPr>
            <w:tcW w:w="2955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类  别</w:t>
            </w:r>
          </w:p>
        </w:tc>
        <w:tc>
          <w:tcPr>
            <w:tcW w:w="7027" w:type="dxa"/>
            <w:gridSpan w:val="2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考核内容</w:t>
            </w:r>
          </w:p>
        </w:tc>
        <w:tc>
          <w:tcPr>
            <w:tcW w:w="1515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分  值</w:t>
            </w:r>
          </w:p>
        </w:tc>
        <w:tc>
          <w:tcPr>
            <w:tcW w:w="2993" w:type="dxa"/>
            <w:vMerge w:val="restart"/>
            <w:vAlign w:val="center"/>
          </w:tcPr>
          <w:p>
            <w:pPr>
              <w:spacing w:line="400" w:lineRule="exact"/>
              <w:jc w:val="center"/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sz w:val="28"/>
                <w:szCs w:val="28"/>
              </w:rPr>
              <w:t>评分标准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7027" w:type="dxa"/>
            <w:gridSpan w:val="2"/>
            <w:vMerge w:val="continue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1515" w:type="dxa"/>
            <w:vMerge w:val="continue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993" w:type="dxa"/>
            <w:vMerge w:val="continue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  <w:jc w:val="center"/>
        </w:trPr>
        <w:tc>
          <w:tcPr>
            <w:tcW w:w="2955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基础管理(20分)</w:t>
            </w:r>
          </w:p>
        </w:tc>
        <w:tc>
          <w:tcPr>
            <w:tcW w:w="7027" w:type="dxa"/>
            <w:gridSpan w:val="2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1、管理处设置规范，配备足够的人员、设备和物资；</w:t>
            </w:r>
          </w:p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2、岗位职责及员工照片上墙，并公示物业服务内容、收费标准及物业管理服务电话；做好物业服务合同、项目经理备案工作；按政策规定收费，无乱收费现象，开具正规收据或发票；</w:t>
            </w:r>
          </w:p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3、按照要求统一建立各类收费台账（包括物业综合服务费、车位管理费、停车费、广告收益、经营用房收入等）；</w:t>
            </w:r>
          </w:p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4、物业公司每年对小区检查不少于4次，并有检查记录；</w:t>
            </w:r>
          </w:p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5、建立三联单制度台帐。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每发现一处不符合酌情扣分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7027" w:type="dxa"/>
            <w:gridSpan w:val="2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1、每年三月底做好物业阳光财务公示并报街道备案,并做好审计工作。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不符合酌情扣分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7027" w:type="dxa"/>
            <w:gridSpan w:val="2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1、建立中修以下资金专户，其管理、使用符合有关规定；建立共有收益台账；</w:t>
            </w:r>
          </w:p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2、建立健全各项管理制度及防台抗洪、火灾等应急预案。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7027" w:type="dxa"/>
            <w:gridSpan w:val="2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1、每年定期向住用户发放物业管理服务工作征求意见单（覆盖面在10%以上，不得少于100户；实际入住300户以下的，不得低于20%），对合理的建议及时整改，满意率达90%以上。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90%得2分，每下降10%扣1分，扣完为止。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7027" w:type="dxa"/>
            <w:gridSpan w:val="2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1、物业综合服务费收费率（按户计算）达到90%以上。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收费率90%以上得2分，每降低5%扣1分，扣完为止。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2" w:hRule="atLeast"/>
          <w:jc w:val="center"/>
        </w:trPr>
        <w:tc>
          <w:tcPr>
            <w:tcW w:w="2955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物业管理服务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（55分）</w:t>
            </w:r>
          </w:p>
        </w:tc>
        <w:tc>
          <w:tcPr>
            <w:tcW w:w="235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安全管理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（20分）</w:t>
            </w: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1、小区主出入口24小时值班，次出入口定时开放并值班，无保安脱岗、睡觉等现象，有详细的交接班记录；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2、对进出小区的外来人员、车辆、大宗物品进行登记管理，严格落实疫情防控“守小门”等措施，维护小区公共秩序；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3、实行24小时巡逻制度，并进行巡逻登记。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3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1、机动车、非机动车管理制度完善，管理责任明确，按规定停放有序；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2、小区内车行道路、停车场等地设立指示牌及安全标识，消防通道禁止停车；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3、地下车库（棚）内配置的道闸、录像监控、消防器材、照明等设施完好，不得将地下车库（棚）擅作他用；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4、车库（棚）地面保持整洁，无明显积水、杂物堆放，无易燃、易爆及危险物品存放；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5、地下停车场地面整洁，有照明，无明显积水，无易燃、易爆及危险物品存放；危及人身安全处有明显标识和具体的防范措施。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5分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3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1、消防设施设备完好无损，可随时启用；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2、安全防范设施运行正常，监控室、消控室24小时值班；消防通道畅通；制定消防应急方案并进行演练；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3、电梯按规定运行，配备电梯管理员并持证上岗，安全设施齐全，无安全事故；轿厢、井道保持清洁；电梯机房通风、照明良好；制定电梯故障应急预案并进行演练。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9" w:hRule="atLeast"/>
          <w:jc w:val="center"/>
        </w:trPr>
        <w:tc>
          <w:tcPr>
            <w:tcW w:w="2955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物业管理服务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（55分）</w:t>
            </w:r>
          </w:p>
        </w:tc>
        <w:tc>
          <w:tcPr>
            <w:tcW w:w="235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安全管理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（20分）</w:t>
            </w: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1、乱张贴管理：无乱悬挂、乱贴乱画现象；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2、乱拉线管理：无乱拉、私拉电线等现象；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3、乱充电管理：设置统一充电位置，无乱充电等现象。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4分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1、协助公安机关做好安全防范，降低侵财类案件发案率。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5分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零发案得5分，每发生一起扣1分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9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环境卫生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（20分）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1、垃圾日产日清，垃圾桶（房）无异味，周边环境整洁；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2、小区内道路、公共楼梯、扶栏、公共玻璃窗等保持洁净，无异味。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1、垃圾分类户外桶摆放到位，收运作业规范，无混装、混收、混运现象。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1、楼道无乱堆放现象。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numPr>
                <w:ilvl w:val="0"/>
                <w:numId w:val="1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楼道、宣传窗等公共部位无牛皮癣、乱涂乱画现象；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2、健身器材设施完好。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小区显著位置设立公示牌，公示垃圾房、垃圾收集点布局、投放点分布图，在垃圾房、垃圾收集点设置收集容器，并规范管理保持正常使用及清洁卫生；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2、设置大件垃圾、建筑垃圾投放点，有提醒标识并及时清理。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每发现一处不符合扣0.5分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1、无违反规定饲养宠物、家禽、家畜。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每发现一处不符合扣0.5分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1、排放油烟、噪音等符合国家环保标准，外墙无污染。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每发现一处不符合扣0.5分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6" w:hRule="atLeast"/>
          <w:jc w:val="center"/>
        </w:trPr>
        <w:tc>
          <w:tcPr>
            <w:tcW w:w="2955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物业管理服务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（55分）</w:t>
            </w:r>
          </w:p>
        </w:tc>
        <w:tc>
          <w:tcPr>
            <w:tcW w:w="2350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环境卫生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（20分）</w:t>
            </w: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1、绿化带无垃圾烟头等杂物；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2、绿地无改变使用用途和破坏、践踏、占用等现象；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3、花草树木长势良好，修剪整齐美观，无折损现象，无斑秃，有文明标语。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房屋及设施设备管理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（15分）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1、排水、排污管道通畅，无堵塞外溢现象；道路通畅，路面平整；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2、井盖无缺损、无丢失，路面井盖不影响车辆和行人通行；围栏定期油漆维护。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numPr>
                <w:ilvl w:val="0"/>
                <w:numId w:val="3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供电设备运行正常，配电室管理符合规定，路灯、楼道灯等公共照明设备完好；</w:t>
            </w:r>
          </w:p>
          <w:p>
            <w:pPr>
              <w:numPr>
                <w:ilvl w:val="0"/>
                <w:numId w:val="3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防盗门外观、功能完好。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numPr>
                <w:ilvl w:val="0"/>
                <w:numId w:val="4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供水设备运行正常，设施完好，无渗漏、无污染；</w:t>
            </w:r>
          </w:p>
          <w:p>
            <w:pPr>
              <w:numPr>
                <w:ilvl w:val="0"/>
                <w:numId w:val="4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制定停水及事故处理方案。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1、公共部位、共用设施设备运行良好，符合标准，各类标识清晰，按照合同约定或相关部门要求对屋顶、墙面、道路、管道、化粪池等进行排查，发现损坏及时维修或报业委会、社区，做好台帐记录。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1、住户装修之前书面告知装修管理规定，装修过程中进行日常检查，发现违章督促住户改正，并及时向有关部门反映，有登记记录；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2、无违反规划乱搭乱建、擅自改变房屋用途、侵占公共绿地等现象。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numPr>
                <w:ilvl w:val="0"/>
                <w:numId w:val="5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及时劝阻房屋（包括车棚车库）违规租赁住人、破门开店及流动摊贩等；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2、商业网点管理有序，符合卫生标准，无乱设摊点、广告牌和乱贴、乱画现象。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每发现一处不符合扣1分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  <w:jc w:val="center"/>
        </w:trPr>
        <w:tc>
          <w:tcPr>
            <w:tcW w:w="2955" w:type="dxa"/>
            <w:vMerge w:val="restart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工作执行力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（25分）</w:t>
            </w:r>
          </w:p>
        </w:tc>
        <w:tc>
          <w:tcPr>
            <w:tcW w:w="235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投诉处理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（10分）</w:t>
            </w: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1、无街道级及以上投诉。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5分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无投诉得5分，市级投诉一起扣3分，区级投诉一起扣2分，街道投诉一起扣1分。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1、及时处理上级批转或接到的物业管理投诉。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5分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未办结每起扣5分，未及时办结一次扣2分。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整改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（5分）</w:t>
            </w: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1、对街道、社区提出的物业管理整改意见，限期整改到位。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5分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每发现一处未限期整改到位，扣3分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restart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工作配合</w:t>
            </w:r>
          </w:p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（10分）</w:t>
            </w: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1、积极主动配合各级文明创建、房屋（包括车棚车库）违规租赁住人整治、垃圾分类及老旧小区改造等专项活动。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4分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每发现一项不配合扣1分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4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numPr>
                <w:ilvl w:val="0"/>
                <w:numId w:val="6"/>
              </w:num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积极参加物业管理“四位一体”联席会议，及时解决物业管理问题,每月必须参加物居业联席会议；自觉接受社区党组织领导，配合街道和社区积极开展物业党建工作；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2、配合上交各类月报表、三联单报表以及工作总结计划等资料。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每发现一项不配合扣1分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7" w:hRule="atLeast"/>
          <w:jc w:val="center"/>
        </w:trPr>
        <w:tc>
          <w:tcPr>
            <w:tcW w:w="2955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350" w:type="dxa"/>
            <w:vMerge w:val="continue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4677" w:type="dxa"/>
            <w:vAlign w:val="center"/>
          </w:tcPr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1、积极配合街道、社区成立业委会；</w:t>
            </w:r>
          </w:p>
          <w:p>
            <w:pPr>
              <w:adjustRightInd w:val="0"/>
              <w:snapToGrid w:val="0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2、与业委会配合流畅，及时签订物业服务合同，合同明确服务标准和人员配备。</w:t>
            </w:r>
          </w:p>
        </w:tc>
        <w:tc>
          <w:tcPr>
            <w:tcW w:w="1515" w:type="dxa"/>
            <w:vAlign w:val="center"/>
          </w:tcPr>
          <w:p>
            <w:pPr>
              <w:adjustRightInd w:val="0"/>
              <w:snapToGrid w:val="0"/>
              <w:jc w:val="center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3分</w:t>
            </w:r>
          </w:p>
        </w:tc>
        <w:tc>
          <w:tcPr>
            <w:tcW w:w="2993" w:type="dxa"/>
            <w:vAlign w:val="center"/>
          </w:tcPr>
          <w:p>
            <w:pPr>
              <w:adjustRightInd w:val="0"/>
              <w:snapToGrid w:val="0"/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每发现一项不配合扣1分</w:t>
            </w:r>
          </w:p>
        </w:tc>
      </w:tr>
    </w:tbl>
    <w:p>
      <w:pPr>
        <w:jc w:val="left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</w:t>
      </w:r>
    </w:p>
    <w:p>
      <w:pPr>
        <w:rPr>
          <w:rFonts w:hint="eastAsia" w:ascii="仿宋_GB2312" w:hAnsi="仿宋_GB2312" w:eastAsia="仿宋_GB2312" w:cs="仿宋_GB2312"/>
          <w:sz w:val="28"/>
          <w:szCs w:val="28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docGrid w:type="linesAndChars" w:linePitch="319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附件2：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首南街道物业管理考核得分表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（社区日常考核）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default"/>
          <w:b/>
          <w:bCs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textAlignment w:val="auto"/>
        <w:rPr>
          <w:rFonts w:hint="eastAsia" w:ascii="仿宋_GB2312" w:hAnsi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社区</w:t>
      </w: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：                          考核时间：</w:t>
      </w:r>
    </w:p>
    <w:tbl>
      <w:tblPr>
        <w:tblStyle w:val="8"/>
        <w:tblW w:w="0" w:type="auto"/>
        <w:tblInd w:w="-4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35"/>
        <w:gridCol w:w="2238"/>
        <w:gridCol w:w="1703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编号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小区名称</w:t>
            </w: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物业服务企业</w:t>
            </w: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项目经理</w:t>
            </w: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...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经办人：         社区主任：         联社领导：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eastAsia="仿宋_GB2312" w:cs="仿宋_GB2312"/>
          <w:b/>
          <w:bCs/>
          <w:sz w:val="44"/>
          <w:szCs w:val="44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b w:val="0"/>
          <w:bCs w:val="0"/>
          <w:sz w:val="32"/>
          <w:szCs w:val="32"/>
          <w:lang w:val="en-US" w:eastAsia="zh-CN"/>
        </w:rPr>
        <w:t>附件3：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首南街道物业管理考核得分表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 w:ascii="方正小标宋_GBK" w:hAnsi="方正小标宋_GBK" w:eastAsia="方正小标宋_GBK" w:cs="方正小标宋_GBK"/>
          <w:b w:val="0"/>
          <w:bCs w:val="0"/>
          <w:sz w:val="44"/>
          <w:szCs w:val="44"/>
          <w:lang w:val="en-US" w:eastAsia="zh-CN"/>
        </w:rPr>
        <w:t>（重点工作考核）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jc w:val="center"/>
        <w:textAlignment w:val="auto"/>
        <w:rPr>
          <w:rFonts w:hint="eastAsia" w:ascii="仿宋_GB2312" w:hAnsi="仿宋_GB2312" w:cs="仿宋_GB2312"/>
          <w:b/>
          <w:bCs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textAlignment w:val="auto"/>
        <w:rPr>
          <w:rFonts w:hint="eastAsia" w:ascii="仿宋_GB2312" w:hAnsi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cs="仿宋_GB2312"/>
          <w:sz w:val="32"/>
          <w:szCs w:val="32"/>
          <w:lang w:val="en-US" w:eastAsia="zh-CN"/>
        </w:rPr>
        <w:t>考核内容：                       考核时间：</w:t>
      </w:r>
    </w:p>
    <w:tbl>
      <w:tblPr>
        <w:tblStyle w:val="8"/>
        <w:tblW w:w="0" w:type="auto"/>
        <w:tblInd w:w="-4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1635"/>
        <w:gridCol w:w="2238"/>
        <w:gridCol w:w="1703"/>
        <w:gridCol w:w="17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编号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小区名称</w:t>
            </w: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物业服务企业</w:t>
            </w: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项目经理</w:t>
            </w: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3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4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0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ind w:left="0" w:leftChars="0" w:firstLine="0" w:firstLineChars="0"/>
              <w:jc w:val="center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  <w:t>...</w:t>
            </w:r>
          </w:p>
        </w:tc>
        <w:tc>
          <w:tcPr>
            <w:tcW w:w="1635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2238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80" w:lineRule="exact"/>
              <w:textAlignment w:val="auto"/>
              <w:rPr>
                <w:rFonts w:hint="default" w:ascii="仿宋_GB2312" w:hAnsi="仿宋_GB2312" w:cs="仿宋_GB2312"/>
                <w:sz w:val="32"/>
                <w:szCs w:val="32"/>
                <w:vertAlign w:val="baseline"/>
                <w:lang w:val="en-US" w:eastAsia="zh-CN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经办人：                       分管领导：</w:t>
      </w:r>
    </w:p>
    <w:sectPr>
      <w:pgSz w:w="11906" w:h="16838"/>
      <w:pgMar w:top="1440" w:right="1803" w:bottom="1440" w:left="1803" w:header="851" w:footer="992" w:gutter="0"/>
      <w:cols w:space="0" w:num="1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000003"/>
    <w:multiLevelType w:val="singleLevel"/>
    <w:tmpl w:val="0000000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00000006"/>
    <w:multiLevelType w:val="singleLevel"/>
    <w:tmpl w:val="0000000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776FF106"/>
    <w:multiLevelType w:val="singleLevel"/>
    <w:tmpl w:val="776FF10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105"/>
  <w:drawingGridVerticalSpacing w:val="31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E56D24"/>
    <w:rsid w:val="00C24B37"/>
    <w:rsid w:val="00CA5ACB"/>
    <w:rsid w:val="00E56D24"/>
    <w:rsid w:val="0B3D3E92"/>
    <w:rsid w:val="12093DA5"/>
    <w:rsid w:val="19164CD0"/>
    <w:rsid w:val="21D70DDA"/>
    <w:rsid w:val="275D3F89"/>
    <w:rsid w:val="2E9C2B99"/>
    <w:rsid w:val="31885209"/>
    <w:rsid w:val="37E52F63"/>
    <w:rsid w:val="3ACE2A27"/>
    <w:rsid w:val="41E65C02"/>
    <w:rsid w:val="491F2E04"/>
    <w:rsid w:val="4D291896"/>
    <w:rsid w:val="52C33AA0"/>
    <w:rsid w:val="59DD6539"/>
    <w:rsid w:val="5E9A68BD"/>
    <w:rsid w:val="67EF7784"/>
    <w:rsid w:val="6A976E7C"/>
    <w:rsid w:val="70451AFA"/>
    <w:rsid w:val="795A07DE"/>
    <w:rsid w:val="7D0E7E16"/>
    <w:rsid w:val="7EB6215C"/>
    <w:rsid w:val="7EB9ABC8"/>
    <w:rsid w:val="7EF56E55"/>
    <w:rsid w:val="7EFC8EE8"/>
    <w:rsid w:val="7EFFD5BD"/>
    <w:rsid w:val="AAD2B327"/>
    <w:rsid w:val="B7F6C4CF"/>
    <w:rsid w:val="D87F80DE"/>
    <w:rsid w:val="F96B6987"/>
    <w:rsid w:val="FBB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正文-公1"/>
    <w:basedOn w:val="1"/>
    <w:qFormat/>
    <w:uiPriority w:val="0"/>
    <w:pPr>
      <w:ind w:firstLine="200" w:firstLineChars="200"/>
    </w:pPr>
    <w:rPr>
      <w:rFonts w:eastAsia="仿宋_GB2312"/>
      <w:sz w:val="32"/>
    </w:r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alloon Text"/>
    <w:basedOn w:val="1"/>
    <w:link w:val="13"/>
    <w:qFormat/>
    <w:uiPriority w:val="0"/>
    <w:rPr>
      <w:sz w:val="18"/>
      <w:szCs w:val="1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9"/>
    <w:qFormat/>
    <w:uiPriority w:val="0"/>
    <w:rPr>
      <w:sz w:val="21"/>
      <w:szCs w:val="21"/>
    </w:rPr>
  </w:style>
  <w:style w:type="character" w:customStyle="1" w:styleId="11">
    <w:name w:val="页眉 Char"/>
    <w:basedOn w:val="9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Char"/>
    <w:basedOn w:val="9"/>
    <w:link w:val="5"/>
    <w:qFormat/>
    <w:uiPriority w:val="0"/>
    <w:rPr>
      <w:kern w:val="2"/>
      <w:sz w:val="18"/>
      <w:szCs w:val="18"/>
    </w:rPr>
  </w:style>
  <w:style w:type="character" w:customStyle="1" w:styleId="13">
    <w:name w:val="批注框文本 Char"/>
    <w:basedOn w:val="9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808</Words>
  <Characters>4612</Characters>
  <Lines>38</Lines>
  <Paragraphs>10</Paragraphs>
  <TotalTime>1303</TotalTime>
  <ScaleCrop>false</ScaleCrop>
  <LinksUpToDate>false</LinksUpToDate>
  <CharactersWithSpaces>5410</CharactersWithSpaces>
  <Application>WPS Office_11.8.2.8950_F1E327BC-269C-435d-A152-05C5408002CA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2022-06-30T08:55:00Z</dcterms:created>
  <dc:creator>社区管理科-徐开君</dc:creator>
  <cp:lastModifiedBy>周萍</cp:lastModifiedBy>
  <cp:lastPrinted>2022-09-07T07:47:00Z</cp:lastPrinted>
  <dcterms:modified xsi:type="dcterms:W3CDTF">2022-09-13T07:37:49Z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2052-11.8.2.8950</vt:lpwstr>
  </property>
  <property fmtid="{D5CDD505-2E9C-101B-9397-08002B2CF9AE}" pid="3" name="ICV">
    <vt:lpwstr>C5F7684AA9134599A81A5430DEA442B8</vt:lpwstr>
  </property>
</Properties>
</file>