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ind w:firstLine="480"/>
        <w:rPr>
          <w:rFonts w:ascii="宋体" w:hAnsi="宋体" w:eastAsia="宋体" w:cs="宋体"/>
          <w:color w:val="333333"/>
          <w:kern w:val="0"/>
          <w:sz w:val="24"/>
          <w:szCs w:val="24"/>
        </w:rPr>
      </w:pPr>
    </w:p>
    <w:p>
      <w:pPr>
        <w:widowControl/>
        <w:shd w:val="clear" w:color="auto" w:fill="FFFFFF"/>
        <w:jc w:val="center"/>
        <w:rPr>
          <w:rFonts w:ascii="宋体" w:hAnsi="宋体" w:eastAsia="宋体" w:cs="宋体"/>
          <w:b/>
          <w:bCs/>
          <w:color w:val="333333"/>
          <w:kern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36"/>
          <w:szCs w:val="36"/>
        </w:rPr>
        <w:t>2019年政府信息公开工作年度报告</w:t>
      </w:r>
    </w:p>
    <w:p>
      <w:pPr>
        <w:widowControl/>
        <w:shd w:val="clear" w:color="auto" w:fill="FFFFFF"/>
        <w:jc w:val="center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</w:rPr>
        <w:t>（杭州市拱墅区）</w:t>
      </w:r>
    </w:p>
    <w:p>
      <w:pPr>
        <w:widowControl/>
        <w:shd w:val="clear" w:color="auto" w:fill="FFFFFF"/>
        <w:ind w:firstLine="480"/>
        <w:rPr>
          <w:rFonts w:ascii="宋体" w:hAnsi="宋体" w:eastAsia="宋体" w:cs="宋体"/>
          <w:color w:val="333333"/>
          <w:kern w:val="0"/>
          <w:sz w:val="24"/>
          <w:szCs w:val="24"/>
        </w:rPr>
      </w:pPr>
    </w:p>
    <w:p>
      <w:pPr>
        <w:widowControl/>
        <w:shd w:val="clear" w:color="auto" w:fill="FFFFFF"/>
        <w:ind w:firstLine="480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</w:rPr>
        <w:t>一、总体情况</w:t>
      </w:r>
    </w:p>
    <w:p>
      <w:pPr>
        <w:widowControl/>
        <w:shd w:val="clear" w:color="auto" w:fill="FFFFFF"/>
        <w:spacing w:after="240"/>
        <w:ind w:firstLine="480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2019年，拱墅区政务公开工作以习近平新时代中国特色社会主义思想为指导，按照《中华人民共和国政府信息公开条例》以及《国务院办公厅关于印发2019年政务公开工作要点的通知》（国办发〔2019〕14号）、《浙江省人民政府办公厅关于印发2019年浙江省政务公开工作要点的通知》（浙政办发〔2019〕37号）、《杭州市人民政府办公厅关于印发2019年杭州市政务公开工作要点的通知》（杭政办函〔2019〕62号）要求，着力提升政务公开质量，深化重点领域信息公开，深入推进决策、执行、管理、服务、结果公开，加强政策解读，扩大公众参与，提升公开实效，充分发挥公开促落实、促规范、促服务的作用，进一步提升政府的执行力和公信力。</w:t>
      </w:r>
    </w:p>
    <w:p>
      <w:pPr>
        <w:widowControl/>
        <w:shd w:val="clear" w:color="auto" w:fill="FFFFFF"/>
        <w:spacing w:after="240"/>
        <w:ind w:firstLine="480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（一）主动公开情况。在公开内容上以公众需求为导向，不断提升公开质量，在公开渠道上继续加强平台建设，进一步发挥政务新媒体的作用，拓展公开渠道、务求公开实效，全区通过不同渠道和方式主动公开各类政府信息14746条，其中，政府网站发布信息10056条，政务微博发布信息1100条，政务微信发布信息3590条。</w:t>
      </w:r>
    </w:p>
    <w:p>
      <w:pPr>
        <w:widowControl/>
        <w:shd w:val="clear" w:color="auto" w:fill="FFFFFF"/>
        <w:spacing w:after="240"/>
        <w:ind w:firstLine="480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（二）依申请公开方面。全区共受理依申请公开228件,其中本年新收223件，上年结转5件，结转至下年办理6件。从办理结果来看，予以公开共74件，部分公开共31件，不予公开23件，无法提供70件，不予处理2件，其他处理22件。从申请人情况来看，自然人申请206件，法人或其他组织申请22件。区政府办理依申请公开71件，市政府转办29件，均在规定期限内答复。</w:t>
      </w:r>
    </w:p>
    <w:p>
      <w:pPr>
        <w:widowControl/>
        <w:shd w:val="clear" w:color="auto" w:fill="FFFFFF"/>
        <w:spacing w:after="240"/>
        <w:ind w:firstLine="480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（三）平台建设方面。线上打造网站、数字电视、微博微信、综合自助机等多种公开渠道，实现政务公开、政务服务、政民互动的有机融合，全区政务公开事项一网集成。开辟政务公开数字电视频道，用户在家打开电视即可查阅政务信息。着力打造融媒体微信、微博平台，将政府重大决策、重要工作部署和进度等信息送到群众手里，受众面近13万人。线下优化政务公开查阅点建设，全区共设立三级查阅点117个，投放12台综合自助机。</w:t>
      </w:r>
    </w:p>
    <w:p>
      <w:pPr>
        <w:widowControl/>
        <w:shd w:val="clear" w:color="auto" w:fill="FFFFFF"/>
        <w:spacing w:after="240"/>
        <w:ind w:firstLine="480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（四）政策解读和回应关切方面。发布政策解读类稿件10篇，其中区主要领导和相关部门主要负责人均参与政策解读。全区共发布回应关切316次，其中新闻发布会10场、意见征求20次、民意反馈68条、人大建议101件、政协提案117件。</w:t>
      </w:r>
    </w:p>
    <w:p>
      <w:pPr>
        <w:widowControl/>
        <w:shd w:val="clear" w:color="auto" w:fill="FFFFFF"/>
        <w:spacing w:after="240"/>
        <w:ind w:firstLine="480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（五）重点领域信息公开方面。继续做好9个重点领域信息公开，包括征地补偿、拆迁安置、保障性住房、救灾、市政服务、公共资源交易、义务教育、重大建设项目批准和实施、公共资源配置，共公开信息4043条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ind w:firstLine="482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（六）监督保障方面。根据机构改革职能调整和新政府信息公开条例，及时修订完善相关配套制度，发布区本级和各区直部门、区直属单位、街道的政府信息公开指南，建立健全政府信息发布机制、政府信息公开审查机制、政府信息公开协调机制和政府信息公开动态调整机制。对外公布政府信息公开投诉举报电话，全年未收到相关投诉举报。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eastAsia="zh-CN"/>
        </w:rPr>
        <w:t>强化政府信息公开工作的监督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考核、社会评议和责任追究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eastAsia="zh-CN"/>
        </w:rPr>
        <w:t>工作。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通过门户网站开展政府信息公开社会评议工作，客观评价各单位政府信息公开工作。2019年，无单位涉及考核扣分，无政府信息责任追究情况。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ind w:firstLine="482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</w:pPr>
    </w:p>
    <w:p>
      <w:pPr>
        <w:widowControl/>
        <w:shd w:val="clear" w:color="auto" w:fill="FFFFFF"/>
        <w:spacing w:after="240"/>
        <w:ind w:firstLine="480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</w:rPr>
        <w:t>二、主动公开政府信息情况</w:t>
      </w:r>
    </w:p>
    <w:tbl>
      <w:tblPr>
        <w:tblStyle w:val="5"/>
        <w:tblW w:w="8140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3"/>
        <w:gridCol w:w="1875"/>
        <w:gridCol w:w="6"/>
        <w:gridCol w:w="1265"/>
        <w:gridCol w:w="1881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  <w:jc w:val="center"/>
        </w:trPr>
        <w:tc>
          <w:tcPr>
            <w:tcW w:w="8140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第二十条第（一）项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2" w:hRule="atLeast"/>
          <w:jc w:val="center"/>
        </w:trPr>
        <w:tc>
          <w:tcPr>
            <w:tcW w:w="31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信息内容</w:t>
            </w:r>
          </w:p>
        </w:tc>
        <w:tc>
          <w:tcPr>
            <w:tcW w:w="187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本年新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制作数量</w:t>
            </w:r>
          </w:p>
        </w:tc>
        <w:tc>
          <w:tcPr>
            <w:tcW w:w="1271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本年新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公开数量</w:t>
            </w:r>
          </w:p>
        </w:tc>
        <w:tc>
          <w:tcPr>
            <w:tcW w:w="18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对外公开总数量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  <w:jc w:val="center"/>
        </w:trPr>
        <w:tc>
          <w:tcPr>
            <w:tcW w:w="31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规章</w:t>
            </w:r>
          </w:p>
        </w:tc>
        <w:tc>
          <w:tcPr>
            <w:tcW w:w="18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271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8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31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规范性文件</w:t>
            </w:r>
          </w:p>
        </w:tc>
        <w:tc>
          <w:tcPr>
            <w:tcW w:w="18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17</w:t>
            </w:r>
          </w:p>
        </w:tc>
        <w:tc>
          <w:tcPr>
            <w:tcW w:w="1271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17</w:t>
            </w:r>
          </w:p>
        </w:tc>
        <w:tc>
          <w:tcPr>
            <w:tcW w:w="18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color w:val="000000"/>
                <w:lang w:val="en-US" w:eastAsia="zh-CN"/>
              </w:rPr>
              <w:t>88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jc w:val="center"/>
        </w:trPr>
        <w:tc>
          <w:tcPr>
            <w:tcW w:w="8140" w:type="dxa"/>
            <w:gridSpan w:val="5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第二十条第（五）项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atLeast"/>
          <w:jc w:val="center"/>
        </w:trPr>
        <w:tc>
          <w:tcPr>
            <w:tcW w:w="31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信息内容</w:t>
            </w:r>
          </w:p>
        </w:tc>
        <w:tc>
          <w:tcPr>
            <w:tcW w:w="187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上一年项目数量</w:t>
            </w:r>
          </w:p>
        </w:tc>
        <w:tc>
          <w:tcPr>
            <w:tcW w:w="1271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本年增/减</w:t>
            </w:r>
          </w:p>
        </w:tc>
        <w:tc>
          <w:tcPr>
            <w:tcW w:w="18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处理决定数量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31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行政许可</w:t>
            </w:r>
          </w:p>
        </w:tc>
        <w:tc>
          <w:tcPr>
            <w:tcW w:w="1881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color w:val="000000"/>
                <w:lang w:val="en-US" w:eastAsia="zh-CN"/>
              </w:rPr>
              <w:t>557</w:t>
            </w:r>
          </w:p>
        </w:tc>
        <w:tc>
          <w:tcPr>
            <w:tcW w:w="12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319</w:t>
            </w:r>
          </w:p>
        </w:tc>
        <w:tc>
          <w:tcPr>
            <w:tcW w:w="18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5635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  <w:jc w:val="center"/>
        </w:trPr>
        <w:tc>
          <w:tcPr>
            <w:tcW w:w="31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其他对外管理服务事项</w:t>
            </w:r>
          </w:p>
        </w:tc>
        <w:tc>
          <w:tcPr>
            <w:tcW w:w="1881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 w:ascii="宋体" w:hAnsi="宋体" w:cs="宋体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</w:rPr>
              <w:t>22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2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/>
              </w:rPr>
              <w:t>40</w:t>
            </w:r>
          </w:p>
        </w:tc>
        <w:tc>
          <w:tcPr>
            <w:tcW w:w="18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/>
              </w:rPr>
              <w:t>369162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  <w:jc w:val="center"/>
        </w:trPr>
        <w:tc>
          <w:tcPr>
            <w:tcW w:w="8140" w:type="dxa"/>
            <w:gridSpan w:val="5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第二十条第（六）项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atLeast"/>
          <w:jc w:val="center"/>
        </w:trPr>
        <w:tc>
          <w:tcPr>
            <w:tcW w:w="31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信息内容</w:t>
            </w:r>
          </w:p>
        </w:tc>
        <w:tc>
          <w:tcPr>
            <w:tcW w:w="187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上一年项目数量</w:t>
            </w:r>
          </w:p>
        </w:tc>
        <w:tc>
          <w:tcPr>
            <w:tcW w:w="1271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本年增/减</w:t>
            </w:r>
          </w:p>
        </w:tc>
        <w:tc>
          <w:tcPr>
            <w:tcW w:w="18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处理决定数量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  <w:jc w:val="center"/>
        </w:trPr>
        <w:tc>
          <w:tcPr>
            <w:tcW w:w="31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行政处罚</w:t>
            </w:r>
          </w:p>
        </w:tc>
        <w:tc>
          <w:tcPr>
            <w:tcW w:w="1881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color w:val="000000"/>
                <w:lang w:val="en-US" w:eastAsia="zh-CN"/>
              </w:rPr>
              <w:t>912</w:t>
            </w:r>
          </w:p>
        </w:tc>
        <w:tc>
          <w:tcPr>
            <w:tcW w:w="12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-4</w:t>
            </w:r>
          </w:p>
        </w:tc>
        <w:tc>
          <w:tcPr>
            <w:tcW w:w="18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2495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31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行政强制</w:t>
            </w:r>
          </w:p>
        </w:tc>
        <w:tc>
          <w:tcPr>
            <w:tcW w:w="1881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color w:val="000000"/>
                <w:lang w:val="en-US" w:eastAsia="zh-CN"/>
              </w:rPr>
              <w:t>23</w:t>
            </w:r>
          </w:p>
        </w:tc>
        <w:tc>
          <w:tcPr>
            <w:tcW w:w="12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18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11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  <w:jc w:val="center"/>
        </w:trPr>
        <w:tc>
          <w:tcPr>
            <w:tcW w:w="8140" w:type="dxa"/>
            <w:gridSpan w:val="5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第二十条第（八）项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31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信息内容</w:t>
            </w:r>
          </w:p>
        </w:tc>
        <w:tc>
          <w:tcPr>
            <w:tcW w:w="1881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上一年项目数量</w:t>
            </w:r>
          </w:p>
        </w:tc>
        <w:tc>
          <w:tcPr>
            <w:tcW w:w="3146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本年增/减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  <w:jc w:val="center"/>
        </w:trPr>
        <w:tc>
          <w:tcPr>
            <w:tcW w:w="31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行政事业性收费</w:t>
            </w:r>
          </w:p>
        </w:tc>
        <w:tc>
          <w:tcPr>
            <w:tcW w:w="1881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color w:val="000000"/>
                <w:lang w:val="en-US" w:eastAsia="zh-CN"/>
              </w:rPr>
              <w:t>17</w:t>
            </w:r>
          </w:p>
        </w:tc>
        <w:tc>
          <w:tcPr>
            <w:tcW w:w="3146" w:type="dxa"/>
            <w:gridSpan w:val="2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-1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jc w:val="center"/>
        </w:trPr>
        <w:tc>
          <w:tcPr>
            <w:tcW w:w="8140" w:type="dxa"/>
            <w:gridSpan w:val="5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第二十条第（九）项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  <w:jc w:val="center"/>
        </w:trPr>
        <w:tc>
          <w:tcPr>
            <w:tcW w:w="31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信息内容</w:t>
            </w:r>
          </w:p>
        </w:tc>
        <w:tc>
          <w:tcPr>
            <w:tcW w:w="1881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采购项目数量</w:t>
            </w:r>
          </w:p>
        </w:tc>
        <w:tc>
          <w:tcPr>
            <w:tcW w:w="3146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采购总金额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  <w:jc w:val="center"/>
        </w:trPr>
        <w:tc>
          <w:tcPr>
            <w:tcW w:w="31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政府集中采购</w:t>
            </w:r>
          </w:p>
        </w:tc>
        <w:tc>
          <w:tcPr>
            <w:tcW w:w="1881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1816</w:t>
            </w:r>
          </w:p>
        </w:tc>
        <w:tc>
          <w:tcPr>
            <w:tcW w:w="3146" w:type="dxa"/>
            <w:gridSpan w:val="2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 xml:space="preserve">452262835.430 </w:t>
            </w:r>
          </w:p>
        </w:tc>
      </w:tr>
    </w:tbl>
    <w:p>
      <w:pPr>
        <w:widowControl/>
        <w:shd w:val="clear" w:color="auto" w:fill="FFFFFF"/>
        <w:ind w:firstLine="480"/>
        <w:rPr>
          <w:rFonts w:ascii="宋体" w:hAnsi="宋体" w:eastAsia="宋体" w:cs="宋体"/>
          <w:color w:val="333333"/>
          <w:kern w:val="0"/>
          <w:sz w:val="24"/>
          <w:szCs w:val="24"/>
        </w:rPr>
      </w:pPr>
    </w:p>
    <w:p>
      <w:pPr>
        <w:widowControl/>
        <w:shd w:val="clear" w:color="auto" w:fill="FFFFFF"/>
        <w:spacing w:after="240"/>
        <w:ind w:firstLine="480"/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</w:rPr>
        <w:t>三、收到和处理政府信息公开申请情况</w:t>
      </w:r>
    </w:p>
    <w:p>
      <w:pPr>
        <w:widowControl/>
        <w:shd w:val="clear" w:color="auto" w:fill="FFFFFF"/>
        <w:spacing w:after="240"/>
        <w:ind w:firstLine="480"/>
        <w:rPr>
          <w:rFonts w:ascii="宋体" w:hAnsi="宋体" w:eastAsia="宋体" w:cs="宋体"/>
          <w:color w:val="333333"/>
          <w:kern w:val="0"/>
          <w:sz w:val="24"/>
          <w:szCs w:val="24"/>
        </w:rPr>
      </w:pPr>
    </w:p>
    <w:tbl>
      <w:tblPr>
        <w:tblStyle w:val="5"/>
        <w:tblW w:w="9071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17"/>
        <w:gridCol w:w="854"/>
        <w:gridCol w:w="2086"/>
        <w:gridCol w:w="813"/>
        <w:gridCol w:w="755"/>
        <w:gridCol w:w="755"/>
        <w:gridCol w:w="813"/>
        <w:gridCol w:w="973"/>
        <w:gridCol w:w="711"/>
        <w:gridCol w:w="694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57" w:type="dxa"/>
            <w:gridSpan w:val="3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（本列数据的勾稽关系为：第一项加第二项之和，等于第三项加第四项之和）</w:t>
            </w:r>
          </w:p>
        </w:tc>
        <w:tc>
          <w:tcPr>
            <w:tcW w:w="5514" w:type="dxa"/>
            <w:gridSpan w:val="7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申请人情况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gridSpan w:val="3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813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自然人</w:t>
            </w:r>
          </w:p>
        </w:tc>
        <w:tc>
          <w:tcPr>
            <w:tcW w:w="4007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法人或其他组织</w:t>
            </w:r>
          </w:p>
        </w:tc>
        <w:tc>
          <w:tcPr>
            <w:tcW w:w="694" w:type="dxa"/>
            <w:vMerge w:val="restart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总计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gridSpan w:val="3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商业企业</w:t>
            </w: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科研机构</w:t>
            </w:r>
          </w:p>
        </w:tc>
        <w:tc>
          <w:tcPr>
            <w:tcW w:w="81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社会公益组织</w:t>
            </w:r>
          </w:p>
        </w:tc>
        <w:tc>
          <w:tcPr>
            <w:tcW w:w="97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法律服务机构</w:t>
            </w:r>
          </w:p>
        </w:tc>
        <w:tc>
          <w:tcPr>
            <w:tcW w:w="71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其他</w:t>
            </w:r>
          </w:p>
        </w:tc>
        <w:tc>
          <w:tcPr>
            <w:tcW w:w="0" w:type="auto"/>
            <w:vMerge w:val="continue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57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一、本年新收政府信息公开申请数量</w:t>
            </w: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201</w:t>
            </w: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15</w:t>
            </w: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9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7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9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223</w:t>
            </w:r>
          </w:p>
        </w:tc>
      </w:tr>
      <w:tr>
        <w:trPr>
          <w:jc w:val="center"/>
        </w:trPr>
        <w:tc>
          <w:tcPr>
            <w:tcW w:w="3557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二、上年结转政府信息公开申请数量</w:t>
            </w: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17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三、本年度办理结果</w:t>
            </w:r>
          </w:p>
        </w:tc>
        <w:tc>
          <w:tcPr>
            <w:tcW w:w="294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（一）予以公开</w:t>
            </w: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72</w:t>
            </w: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74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294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（二）部分公开（区分处理的，只计这一情形，不计其他情形）</w:t>
            </w: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23</w:t>
            </w: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7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31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（三）不予公开</w:t>
            </w:r>
          </w:p>
        </w:tc>
        <w:tc>
          <w:tcPr>
            <w:tcW w:w="20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1.属于国家秘密</w:t>
            </w: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2.其他法律行政法规禁止公开</w:t>
            </w: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3.危及“三安全一稳定”</w:t>
            </w: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4.保护第三方合法权益</w:t>
            </w: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5.属于三类内部事务信息</w:t>
            </w: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6.属于四类过程性信息</w:t>
            </w: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7.属于行政执法案卷</w:t>
            </w: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12</w:t>
            </w: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12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8.属于行政查询事项</w:t>
            </w: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（四）无法提供</w:t>
            </w:r>
          </w:p>
        </w:tc>
        <w:tc>
          <w:tcPr>
            <w:tcW w:w="20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1.本机关不掌握相关政府信息</w:t>
            </w: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52</w:t>
            </w: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9</w:t>
            </w: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9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62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2.没有现成信息需要另行制作</w:t>
            </w: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3.补正后申请内容仍不明确</w:t>
            </w: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（五）不予处理</w:t>
            </w:r>
          </w:p>
        </w:tc>
        <w:tc>
          <w:tcPr>
            <w:tcW w:w="20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1.信访举报投诉类申请</w:t>
            </w: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2.重复申请</w:t>
            </w: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3.要求提供公开出版物</w:t>
            </w: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4.无正当理由大量反复申请</w:t>
            </w: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5.要求行政机关确认或重新出具已获取信息</w:t>
            </w: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rPr>
          <w:jc w:val="center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294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（六）其他处理</w:t>
            </w: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20</w:t>
            </w: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22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294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（七）总计</w:t>
            </w: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200</w:t>
            </w: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15</w:t>
            </w: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7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9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222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57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四、结转下年度继续办理</w:t>
            </w: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</w:tr>
    </w:tbl>
    <w:p>
      <w:pPr>
        <w:widowControl/>
        <w:shd w:val="clear" w:color="auto" w:fill="FFFFFF"/>
        <w:ind w:firstLine="480"/>
        <w:rPr>
          <w:rFonts w:ascii="宋体" w:hAnsi="宋体" w:eastAsia="宋体" w:cs="宋体"/>
          <w:color w:val="333333"/>
          <w:kern w:val="0"/>
          <w:sz w:val="24"/>
          <w:szCs w:val="24"/>
        </w:rPr>
      </w:pPr>
    </w:p>
    <w:p>
      <w:pPr>
        <w:widowControl/>
        <w:shd w:val="clear" w:color="auto" w:fill="FFFFFF"/>
        <w:ind w:firstLine="480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</w:rPr>
        <w:t>四、政府信息公开行政复议、行政诉讼情况</w:t>
      </w:r>
    </w:p>
    <w:p>
      <w:pPr>
        <w:widowControl/>
        <w:shd w:val="clear" w:color="auto" w:fill="FFFFFF"/>
        <w:ind w:firstLine="480"/>
        <w:rPr>
          <w:rFonts w:ascii="宋体" w:hAnsi="宋体" w:eastAsia="宋体" w:cs="宋体"/>
          <w:color w:val="333333"/>
          <w:kern w:val="0"/>
          <w:sz w:val="24"/>
          <w:szCs w:val="24"/>
        </w:rPr>
      </w:pPr>
    </w:p>
    <w:tbl>
      <w:tblPr>
        <w:tblStyle w:val="5"/>
        <w:tblW w:w="9071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4"/>
        <w:gridCol w:w="604"/>
        <w:gridCol w:w="604"/>
        <w:gridCol w:w="604"/>
        <w:gridCol w:w="658"/>
        <w:gridCol w:w="550"/>
        <w:gridCol w:w="605"/>
        <w:gridCol w:w="605"/>
        <w:gridCol w:w="605"/>
        <w:gridCol w:w="605"/>
        <w:gridCol w:w="605"/>
        <w:gridCol w:w="605"/>
        <w:gridCol w:w="605"/>
        <w:gridCol w:w="606"/>
        <w:gridCol w:w="60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74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行政复议</w:t>
            </w:r>
          </w:p>
        </w:tc>
        <w:tc>
          <w:tcPr>
            <w:tcW w:w="5997" w:type="dxa"/>
            <w:gridSpan w:val="10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行政诉讼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04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结果维持</w:t>
            </w:r>
          </w:p>
        </w:tc>
        <w:tc>
          <w:tcPr>
            <w:tcW w:w="604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结果纠正</w:t>
            </w:r>
          </w:p>
        </w:tc>
        <w:tc>
          <w:tcPr>
            <w:tcW w:w="604" w:type="dxa"/>
            <w:vMerge w:val="restart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其他结果</w:t>
            </w:r>
          </w:p>
        </w:tc>
        <w:tc>
          <w:tcPr>
            <w:tcW w:w="604" w:type="dxa"/>
            <w:vMerge w:val="restart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尚未审结</w:t>
            </w:r>
          </w:p>
        </w:tc>
        <w:tc>
          <w:tcPr>
            <w:tcW w:w="658" w:type="dxa"/>
            <w:vMerge w:val="restart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总计</w:t>
            </w:r>
          </w:p>
        </w:tc>
        <w:tc>
          <w:tcPr>
            <w:tcW w:w="2970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未经复议直接起诉</w:t>
            </w:r>
          </w:p>
        </w:tc>
        <w:tc>
          <w:tcPr>
            <w:tcW w:w="3027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复议后起诉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结果维持</w:t>
            </w:r>
          </w:p>
        </w:tc>
        <w:tc>
          <w:tcPr>
            <w:tcW w:w="6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结果纠正</w:t>
            </w:r>
          </w:p>
        </w:tc>
        <w:tc>
          <w:tcPr>
            <w:tcW w:w="60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其他结果</w:t>
            </w:r>
          </w:p>
        </w:tc>
        <w:tc>
          <w:tcPr>
            <w:tcW w:w="60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尚未审结</w:t>
            </w:r>
          </w:p>
        </w:tc>
        <w:tc>
          <w:tcPr>
            <w:tcW w:w="60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总计</w:t>
            </w:r>
          </w:p>
        </w:tc>
        <w:tc>
          <w:tcPr>
            <w:tcW w:w="60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结果维持</w:t>
            </w:r>
          </w:p>
        </w:tc>
        <w:tc>
          <w:tcPr>
            <w:tcW w:w="60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结果纠正</w:t>
            </w:r>
          </w:p>
        </w:tc>
        <w:tc>
          <w:tcPr>
            <w:tcW w:w="60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其他结果</w:t>
            </w:r>
          </w:p>
        </w:tc>
        <w:tc>
          <w:tcPr>
            <w:tcW w:w="60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尚未审结</w:t>
            </w:r>
          </w:p>
        </w:tc>
        <w:tc>
          <w:tcPr>
            <w:tcW w:w="60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总计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0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right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</w:t>
            </w:r>
          </w:p>
        </w:tc>
        <w:tc>
          <w:tcPr>
            <w:tcW w:w="60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right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60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right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60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right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65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right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28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right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6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right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</w:t>
            </w:r>
          </w:p>
        </w:tc>
        <w:tc>
          <w:tcPr>
            <w:tcW w:w="6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right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6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right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6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right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6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right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6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right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6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right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6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right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6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right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</w:t>
            </w:r>
          </w:p>
        </w:tc>
      </w:tr>
    </w:tbl>
    <w:p>
      <w:pPr>
        <w:widowControl/>
        <w:shd w:val="clear" w:color="auto" w:fill="FFFFFF"/>
        <w:jc w:val="center"/>
        <w:rPr>
          <w:rFonts w:ascii="宋体" w:hAnsi="宋体" w:eastAsia="宋体" w:cs="宋体"/>
          <w:color w:val="333333"/>
          <w:kern w:val="0"/>
          <w:sz w:val="24"/>
          <w:szCs w:val="24"/>
        </w:rPr>
      </w:pPr>
    </w:p>
    <w:p>
      <w:pPr>
        <w:widowControl/>
        <w:shd w:val="clear" w:color="auto" w:fill="FFFFFF"/>
        <w:ind w:firstLine="480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</w:rPr>
        <w:t>五、存在的主要问题及改进情况</w:t>
      </w:r>
    </w:p>
    <w:p>
      <w:pPr>
        <w:widowControl/>
        <w:shd w:val="clear" w:color="auto" w:fill="FFFFFF"/>
        <w:ind w:firstLine="480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201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9</w:t>
      </w:r>
      <w:r>
        <w:rPr>
          <w:rFonts w:ascii="宋体" w:hAnsi="宋体" w:eastAsia="宋体" w:cs="宋体"/>
          <w:color w:val="333333"/>
          <w:kern w:val="0"/>
          <w:sz w:val="24"/>
          <w:szCs w:val="24"/>
        </w:rPr>
        <w:t>年，全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区</w:t>
      </w:r>
      <w:r>
        <w:rPr>
          <w:rFonts w:ascii="宋体" w:hAnsi="宋体" w:eastAsia="宋体" w:cs="宋体"/>
          <w:color w:val="333333"/>
          <w:kern w:val="0"/>
          <w:sz w:val="24"/>
          <w:szCs w:val="24"/>
        </w:rPr>
        <w:t>政府信息公开工作取得一定的成效，但也存在一些不足，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如，机构改革后部分信息公开职责有待明确；依申请公开滥用申请权问题较难界定；存在为谋取个人私利的反复申请、与个人利益无关的恶意申请、以诉讼为最终目的的申请等问题。</w:t>
      </w:r>
    </w:p>
    <w:p>
      <w:pPr>
        <w:widowControl/>
        <w:shd w:val="clear" w:color="auto" w:fill="FFFFFF"/>
        <w:ind w:firstLine="480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</w:rPr>
        <w:t>20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20</w:t>
      </w:r>
      <w:r>
        <w:rPr>
          <w:rFonts w:ascii="宋体" w:hAnsi="宋体" w:eastAsia="宋体" w:cs="宋体"/>
          <w:color w:val="333333"/>
          <w:kern w:val="0"/>
          <w:sz w:val="24"/>
          <w:szCs w:val="24"/>
        </w:rPr>
        <w:t>年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，拱墅</w:t>
      </w:r>
      <w:r>
        <w:rPr>
          <w:rFonts w:ascii="宋体" w:hAnsi="宋体" w:eastAsia="宋体" w:cs="宋体"/>
          <w:color w:val="333333"/>
          <w:kern w:val="0"/>
          <w:sz w:val="24"/>
          <w:szCs w:val="24"/>
        </w:rPr>
        <w:t>市将切实落实国务院、省政府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、市政府</w:t>
      </w:r>
      <w:r>
        <w:rPr>
          <w:rFonts w:ascii="宋体" w:hAnsi="宋体" w:eastAsia="宋体" w:cs="宋体"/>
          <w:color w:val="333333"/>
          <w:kern w:val="0"/>
          <w:sz w:val="24"/>
          <w:szCs w:val="24"/>
        </w:rPr>
        <w:t>对政务公开工作的要求，继续坚持以公开为常态、不公开为例外，深入推进政务公开工作。</w:t>
      </w:r>
    </w:p>
    <w:p>
      <w:pPr>
        <w:widowControl/>
        <w:shd w:val="clear" w:color="auto" w:fill="FFFFFF"/>
        <w:ind w:firstLine="480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color w:val="333333"/>
          <w:kern w:val="0"/>
          <w:sz w:val="24"/>
          <w:szCs w:val="24"/>
        </w:rPr>
        <w:t>一是深化重点领域信息公开。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认真落实国务院、省政府、市政府关于推进重点领域政府信息公开的系列决策部署，结合政务公开改革试点成果、持续深化试点领域、重大建设项目批准和实施、公共资源配置、社会公益事业建设、财政预决算、公共企事业等方面的信息公开工作。</w:t>
      </w:r>
    </w:p>
    <w:p>
      <w:pPr>
        <w:widowControl/>
        <w:shd w:val="clear" w:color="auto" w:fill="FFFFFF"/>
        <w:ind w:firstLine="480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color w:val="333333"/>
          <w:kern w:val="0"/>
          <w:sz w:val="24"/>
          <w:szCs w:val="24"/>
        </w:rPr>
        <w:t>二是继续完善政府信息公开制度。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结合新的国家政府信息公开条例，主动查找和解决条例修改后产生的新问题，进一步加强主动公开，继续完善各项政务公开工作制度；规范依申请公开工作，建立健全沟通协调机制，完善接收、登记、办理、答复的操作规程和处理流程。</w:t>
      </w:r>
    </w:p>
    <w:p>
      <w:pPr>
        <w:widowControl/>
        <w:shd w:val="clear" w:color="auto" w:fill="FFFFFF"/>
        <w:ind w:firstLine="480"/>
        <w:rPr>
          <w:rFonts w:ascii="宋体" w:hAnsi="宋体" w:eastAsia="宋体" w:cs="宋体"/>
          <w:b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color w:val="333333"/>
          <w:kern w:val="0"/>
          <w:sz w:val="24"/>
          <w:szCs w:val="24"/>
        </w:rPr>
        <w:t>三是探索多种形式政策解读。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严格执行政策解读工作规范和工作机制，落实好“第一解读人”职责，从解读质量、解读实效、解读形式和发布渠道等多个角度全面提高政策解读工作。进一步扩大政策解读范围，创新解读传播形式，规范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/>
        </w:rPr>
        <w:t>性</w:t>
      </w:r>
      <w:bookmarkStart w:id="0" w:name="_GoBack"/>
      <w:bookmarkEnd w:id="0"/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文件全部采用图表图解等形式进行解读，并探索增加音频视频方式进行解读，增加政策的亲和力、引导力、传播力和影响力。</w:t>
      </w:r>
    </w:p>
    <w:p>
      <w:pPr>
        <w:widowControl/>
        <w:shd w:val="clear" w:color="auto" w:fill="FFFFFF"/>
        <w:ind w:firstLine="480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color w:val="333333"/>
          <w:kern w:val="0"/>
          <w:sz w:val="24"/>
          <w:szCs w:val="24"/>
        </w:rPr>
        <w:t>四是持续扩大公众参与渠道。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全面审查试点领域“应公开尽公开”落实情况；做好试点领域逐步向其他领域拓展延伸，选取社会关注度较高的其他领域，依据其权责清单、公共服务事项，梳理明确各领域的公开职责、公开事项和内容，制定标准规范，并全面落实“五公开”举措；完善政民互动、意见征集栏目，推进政府开放日，完善重大行政决策预公开意见征求反馈机制，扩大公众参与。</w:t>
      </w:r>
    </w:p>
    <w:p>
      <w:pPr>
        <w:widowControl/>
        <w:shd w:val="clear" w:color="auto" w:fill="FFFFFF"/>
        <w:ind w:firstLine="480"/>
        <w:rPr>
          <w:rFonts w:ascii="宋体" w:hAnsi="宋体" w:eastAsia="宋体" w:cs="宋体"/>
          <w:b/>
          <w:bCs/>
          <w:color w:val="333333"/>
          <w:kern w:val="0"/>
          <w:sz w:val="24"/>
          <w:szCs w:val="24"/>
        </w:rPr>
      </w:pPr>
    </w:p>
    <w:p>
      <w:pPr>
        <w:widowControl/>
        <w:shd w:val="clear" w:color="auto" w:fill="FFFFFF"/>
        <w:ind w:firstLine="480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</w:rPr>
        <w:t>六、其他需要报告的事项</w:t>
      </w:r>
    </w:p>
    <w:p>
      <w:pPr>
        <w:widowControl/>
        <w:shd w:val="clear" w:color="auto" w:fill="FFFFFF"/>
        <w:ind w:firstLine="480"/>
        <w:rPr>
          <w:rFonts w:ascii="宋体" w:hAnsi="宋体" w:eastAsia="宋体" w:cs="宋体"/>
          <w:color w:val="333333"/>
          <w:kern w:val="0"/>
          <w:sz w:val="24"/>
          <w:szCs w:val="24"/>
        </w:rPr>
      </w:pPr>
    </w:p>
    <w:p>
      <w:pPr>
        <w:widowControl/>
        <w:shd w:val="clear" w:color="auto" w:fill="FFFFFF"/>
        <w:ind w:firstLine="480"/>
        <w:rPr>
          <w:rFonts w:ascii="宋体" w:hAnsi="宋体" w:eastAsia="宋体" w:cs="宋体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</w:rPr>
        <w:t>无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GQ2MDAyNGE2Mzg1M2EzODVkYzhkMzdkNDY2MWM5ZTYifQ=="/>
  </w:docVars>
  <w:rsids>
    <w:rsidRoot w:val="00073F14"/>
    <w:rsid w:val="000022F8"/>
    <w:rsid w:val="00073F14"/>
    <w:rsid w:val="0007658C"/>
    <w:rsid w:val="000D1B27"/>
    <w:rsid w:val="00160771"/>
    <w:rsid w:val="002707DF"/>
    <w:rsid w:val="00300CC8"/>
    <w:rsid w:val="003F25AA"/>
    <w:rsid w:val="00457C42"/>
    <w:rsid w:val="00472D41"/>
    <w:rsid w:val="0049178A"/>
    <w:rsid w:val="004F4CB9"/>
    <w:rsid w:val="00523691"/>
    <w:rsid w:val="00632381"/>
    <w:rsid w:val="007C31E4"/>
    <w:rsid w:val="007D348A"/>
    <w:rsid w:val="008E66E6"/>
    <w:rsid w:val="00975AF4"/>
    <w:rsid w:val="009D4668"/>
    <w:rsid w:val="00A441DB"/>
    <w:rsid w:val="00A449D2"/>
    <w:rsid w:val="00AB1BAA"/>
    <w:rsid w:val="00AC1994"/>
    <w:rsid w:val="00B03652"/>
    <w:rsid w:val="00B543CE"/>
    <w:rsid w:val="00B72585"/>
    <w:rsid w:val="00B935AC"/>
    <w:rsid w:val="00B97BA9"/>
    <w:rsid w:val="00BD39DB"/>
    <w:rsid w:val="00C609BD"/>
    <w:rsid w:val="00C9767E"/>
    <w:rsid w:val="00CA66B6"/>
    <w:rsid w:val="00D86E6A"/>
    <w:rsid w:val="00D86F0D"/>
    <w:rsid w:val="00D9786C"/>
    <w:rsid w:val="00E7673A"/>
    <w:rsid w:val="00EC7060"/>
    <w:rsid w:val="00EF0BF6"/>
    <w:rsid w:val="00F95356"/>
    <w:rsid w:val="00F9553C"/>
    <w:rsid w:val="09503BDF"/>
    <w:rsid w:val="098D20CF"/>
    <w:rsid w:val="0B337B2D"/>
    <w:rsid w:val="115B495C"/>
    <w:rsid w:val="11D66C61"/>
    <w:rsid w:val="1316714A"/>
    <w:rsid w:val="15607A58"/>
    <w:rsid w:val="1C6B25D5"/>
    <w:rsid w:val="2AB660E7"/>
    <w:rsid w:val="3642204B"/>
    <w:rsid w:val="397800BB"/>
    <w:rsid w:val="3D566ECD"/>
    <w:rsid w:val="5738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2770</Words>
  <Characters>2933</Characters>
  <Lines>23</Lines>
  <Paragraphs>6</Paragraphs>
  <TotalTime>2</TotalTime>
  <ScaleCrop>false</ScaleCrop>
  <LinksUpToDate>false</LinksUpToDate>
  <CharactersWithSpaces>2934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2020-01-13T01:58:00Z</dcterms:created>
  <dc:creator>顾煜俊</dc:creator>
  <cp:lastModifiedBy>小胡来</cp:lastModifiedBy>
  <dcterms:modified xsi:type="dcterms:W3CDTF">2023-04-14T08:47:01Z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2C43BF917EBE4A25B4DA849CF9F5C9AD_12</vt:lpwstr>
  </property>
</Properties>
</file>