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572" w:lineRule="exact"/>
        <w:jc w:val="center"/>
        <w:rPr>
          <w:rFonts w:ascii="Times New Roman" w:hAnsi="Times New Roman" w:eastAsia="方正小标宋简体"/>
          <w:sz w:val="44"/>
          <w:szCs w:val="44"/>
        </w:rPr>
      </w:pPr>
      <w:bookmarkStart w:id="0" w:name="_GoBack"/>
      <w:bookmarkEnd w:id="0"/>
      <w:r>
        <w:rPr>
          <w:rFonts w:ascii="Times New Roman" w:hAnsi="Times New Roman" w:eastAsia="方正小标宋简体"/>
          <w:sz w:val="44"/>
          <w:szCs w:val="44"/>
          <w:lang w:val="en-US" w:eastAsia="zh-CN"/>
        </w:rPr>
        <w:t>改革区属国有企业工资决定机制</w:t>
      </w:r>
    </w:p>
    <w:p>
      <w:pPr>
        <w:pStyle w:val="3"/>
        <w:spacing w:line="572" w:lineRule="exact"/>
        <w:jc w:val="center"/>
        <w:rPr>
          <w:rFonts w:ascii="Times New Roman" w:hAnsi="Times New Roman" w:eastAsia="方正小标宋简体"/>
          <w:sz w:val="44"/>
          <w:szCs w:val="44"/>
        </w:rPr>
      </w:pPr>
      <w:r>
        <w:rPr>
          <w:rFonts w:ascii="Times New Roman" w:hAnsi="Times New Roman" w:eastAsia="方正小标宋简体"/>
          <w:sz w:val="44"/>
          <w:szCs w:val="44"/>
          <w:lang w:val="en-US" w:eastAsia="zh-CN"/>
        </w:rPr>
        <w:t>实施办法配套细则</w:t>
      </w:r>
    </w:p>
    <w:p>
      <w:pPr>
        <w:spacing w:line="572" w:lineRule="exact"/>
        <w:jc w:val="center"/>
        <w:rPr>
          <w:rFonts w:eastAsia="方正小标宋简体"/>
          <w:kern w:val="0"/>
          <w:sz w:val="44"/>
          <w:szCs w:val="21"/>
        </w:rPr>
      </w:pPr>
      <w:r>
        <w:rPr>
          <w:rFonts w:hint="eastAsia" w:eastAsia="方正小标宋简体"/>
          <w:kern w:val="0"/>
          <w:sz w:val="32"/>
          <w:szCs w:val="32"/>
        </w:rPr>
        <w:t>（征求意见稿）</w:t>
      </w:r>
    </w:p>
    <w:p>
      <w:pPr>
        <w:pStyle w:val="3"/>
        <w:spacing w:line="572" w:lineRule="exact"/>
        <w:rPr>
          <w:rFonts w:ascii="Times New Roman" w:hAnsi="Times New Roman" w:eastAsia="仿宋_GB2312"/>
          <w:sz w:val="32"/>
        </w:rPr>
      </w:pPr>
    </w:p>
    <w:p>
      <w:pPr>
        <w:pStyle w:val="3"/>
        <w:spacing w:line="572" w:lineRule="exact"/>
        <w:ind w:firstLine="640" w:firstLineChars="200"/>
        <w:rPr>
          <w:rFonts w:ascii="Times New Roman" w:hAnsi="Times New Roman" w:eastAsia="仿宋_GB2312"/>
          <w:sz w:val="32"/>
        </w:rPr>
      </w:pPr>
      <w:r>
        <w:rPr>
          <w:rFonts w:ascii="Times New Roman" w:hAnsi="Times New Roman" w:eastAsia="仿宋_GB2312"/>
          <w:sz w:val="32"/>
        </w:rPr>
        <w:t>根据《改革区属国有企业工资决定机制实施办法》（以下简称“《</w:t>
      </w:r>
      <w:r>
        <w:rPr>
          <w:rFonts w:hint="eastAsia" w:ascii="Times New Roman" w:hAnsi="Times New Roman" w:eastAsia="仿宋_GB2312"/>
          <w:sz w:val="32"/>
          <w:lang w:eastAsia="zh-CN"/>
        </w:rPr>
        <w:t>实施</w:t>
      </w:r>
      <w:r>
        <w:rPr>
          <w:rFonts w:ascii="Times New Roman" w:hAnsi="Times New Roman" w:eastAsia="仿宋_GB2312"/>
          <w:sz w:val="32"/>
        </w:rPr>
        <w:t>办法》”）（洞国资办〔2020〕15号），</w:t>
      </w:r>
      <w:r>
        <w:rPr>
          <w:rFonts w:hint="eastAsia" w:ascii="Times New Roman" w:hAnsi="Times New Roman" w:eastAsia="仿宋_GB2312"/>
          <w:sz w:val="32"/>
          <w:lang w:eastAsia="zh-CN"/>
        </w:rPr>
        <w:t>制定</w:t>
      </w:r>
      <w:r>
        <w:rPr>
          <w:rFonts w:ascii="Times New Roman" w:hAnsi="Times New Roman" w:eastAsia="仿宋_GB2312"/>
          <w:sz w:val="32"/>
        </w:rPr>
        <w:t>本细则，对《</w:t>
      </w:r>
      <w:r>
        <w:rPr>
          <w:rFonts w:hint="eastAsia" w:ascii="Times New Roman" w:hAnsi="Times New Roman" w:eastAsia="仿宋_GB2312"/>
          <w:sz w:val="32"/>
          <w:lang w:eastAsia="zh-CN"/>
        </w:rPr>
        <w:t>实施</w:t>
      </w:r>
      <w:r>
        <w:rPr>
          <w:rFonts w:ascii="Times New Roman" w:hAnsi="Times New Roman" w:eastAsia="仿宋_GB2312"/>
          <w:sz w:val="32"/>
        </w:rPr>
        <w:t>办法》进行补充和</w:t>
      </w:r>
      <w:r>
        <w:rPr>
          <w:rFonts w:hint="eastAsia" w:ascii="Times New Roman" w:hAnsi="Times New Roman" w:eastAsia="仿宋_GB2312"/>
          <w:bCs/>
          <w:sz w:val="32"/>
          <w:lang w:eastAsia="zh-CN"/>
        </w:rPr>
        <w:t>说明</w:t>
      </w:r>
      <w:r>
        <w:rPr>
          <w:rFonts w:ascii="Times New Roman" w:hAnsi="Times New Roman" w:eastAsia="仿宋_GB2312"/>
          <w:bCs/>
          <w:sz w:val="32"/>
        </w:rPr>
        <w:t>。</w:t>
      </w:r>
    </w:p>
    <w:p>
      <w:pPr>
        <w:pStyle w:val="3"/>
        <w:spacing w:line="572" w:lineRule="exact"/>
        <w:ind w:firstLine="640" w:firstLineChars="200"/>
        <w:rPr>
          <w:rFonts w:ascii="Times New Roman" w:hAnsi="Times New Roman" w:eastAsia="黑体"/>
          <w:sz w:val="32"/>
        </w:rPr>
      </w:pPr>
      <w:r>
        <w:rPr>
          <w:rFonts w:hint="eastAsia" w:ascii="Times New Roman" w:hAnsi="Times New Roman" w:eastAsia="黑体"/>
          <w:sz w:val="32"/>
          <w:lang w:val="en-US" w:eastAsia="zh-CN"/>
        </w:rPr>
        <w:t>一、调控范围内人员工资总额预算管理</w:t>
      </w:r>
    </w:p>
    <w:p>
      <w:pPr>
        <w:pStyle w:val="3"/>
        <w:spacing w:line="572" w:lineRule="exact"/>
        <w:ind w:firstLine="640" w:firstLineChars="200"/>
        <w:rPr>
          <w:rFonts w:ascii="楷体_GB2312" w:hAnsi="楷体_GB2312" w:eastAsia="楷体_GB2312" w:cs="楷体_GB2312"/>
          <w:sz w:val="32"/>
        </w:rPr>
      </w:pPr>
      <w:r>
        <w:rPr>
          <w:rFonts w:hint="eastAsia" w:ascii="楷体_GB2312" w:hAnsi="楷体_GB2312" w:eastAsia="楷体_GB2312" w:cs="楷体_GB2312"/>
          <w:sz w:val="32"/>
          <w:lang w:val="en-US" w:eastAsia="zh-CN"/>
        </w:rPr>
        <w:t>（一）工资总额预算管理范围和编制口径</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年度工资总额预算编制范围为各区属国有企业及所出资控股或管理的各级子企业，原则上与年度财务决算合并报表范围相一致，具体按区国资办通知执行。</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年度工资总额预算编制口径为：</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（1）以区属国有企业上年度合并工资总额（清算数）和合并联动指标为预算基数，按照工效联动机制，通过预测联动指标本年度增长率或完成率，核定区属国有企业本年度合并工资总额预算数。</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2）在区属国有企业本年度合并工资总额预算数额度内，根据工资管理关系自下而上编制各独立核算企业或分支机构的工资总额预算，各独立核算企业或分支机构（含区属国有企业本部，统称所属企业，以下同）的工资总额预算汇总数不得超过合并工资总额预算数。</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 xml:space="preserve">（3）各区属国有企业需结合《实施办法》的相关规定，制定出本区属企业的核增、核减规则，以达到总体平衡。其中对企业核增工资总额的，一般按以下顺序：弥补企业因新增人员的工资额度份额，奖励上年度表现优秀的企业、平均工资降幅率较高的企业、低于本区属企业平均工资的企业。 </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4）编制过程中，所属企业工资总额年度预算方案（草案）上报后，当区属国有企业合并工资总额预算数高于所属企业工资总额预算汇总数的，暂不分摊，待年终清算后，由区属企业按规则下达给所属企业核增指标数，列为周期内工资总额结余。如低于所属企业工资总额预算汇总数的，由区属国有企业适当核减所属企业工资总额增长幅度。区所属企业根据本区属企业下达的核减指标数，修订年度工资总额预算方案（草案）后行文上报。</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（5）所属企业核增或核减后的工资总额增幅、平均工资增幅需满足调节及调控规定。（如果动用后，会出现无法满足）</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因行业特性，执行特殊工资管理制度的子企业或部门，在有利于企业发展的前提下，可向区国资办申请作为特别预算单位继续完善执行特殊工资管理制度，按规定编制工资预算并纳入工资总额预算合并口径。</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（二）工资总额联动指标及权重</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竞争类企业职工工资总额挂钩联动指标为：归属于母公司所有者的净利润（以下简称归母净利润）、净资产收益率（不含少数股东损益和少数股东权益，下同）、营业收入等经济效益指标，其中归母净利润和净资产收益率两个指标选择其中1个；根据企业承担区委区政府战略性任务、重点工程项目、重大专项任务的情况，可申请增加任务完成率指标；为体现和鼓励企业转型和创新工作，企业可根据自身发展阶段和行业特点申请在去杠杆成本、主业转型升级、发展新产业新业态、科技创新等方面的行业个性指标，具体指标应当尽量选用研发投入、新产品销售率、资产负债率下降率、新产业新业态板块营业收入等可量化评估的指标，指标数量原则上在1个以内。各指标权重见附件1。</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功能类企业职工工资总额挂钩联动指标为：体现所承担的区委区政府战略性任务、重点工程项目、重大专项任务完成情况的任务完成率指标；归母净利润（或净资产收益率）、营业收入等经济效益指标；行业个性指标，要求同竞争类企业。（见附件1）。</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公共服务类企业职工工资总额挂钩联动指标为：体现保障民生、服务社会方面公众满意度情况的服务质量满意度指标；营业收入、归母净利润（或净资产收益率）等经济效益指标，体现所承担的区委区政府战略性任务、重点工程项目、重大专项任务完成情况的任务完成率指标。（见附件1）</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4.</w:t>
      </w:r>
      <w:r>
        <w:rPr>
          <w:rFonts w:hint="eastAsia" w:ascii="仿宋_GB2312" w:hAnsi="仿宋_GB2312" w:eastAsia="仿宋_GB2312" w:cs="仿宋_GB2312"/>
          <w:sz w:val="32"/>
          <w:lang w:val="en-US" w:eastAsia="zh-CN"/>
        </w:rPr>
        <w:t>任务完成率和服务质量满意度指标内容、计分方法原则上与企业负责人经营业绩考核相关内容相一致，指标完成率=折算成百分制的指标得分/90。行业个性指标及权重由企业选择确定并报区国资办核准，原则上保持三年不变，指标完成率计算方式根据具体指标另行规定。</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5.</w:t>
      </w:r>
      <w:r>
        <w:rPr>
          <w:rFonts w:hint="eastAsia" w:ascii="仿宋_GB2312" w:hAnsi="仿宋_GB2312" w:eastAsia="仿宋_GB2312" w:cs="仿宋_GB2312"/>
          <w:sz w:val="32"/>
          <w:lang w:val="en-US" w:eastAsia="zh-CN"/>
        </w:rPr>
        <w:t>企业所选择的经济效益联动指标合计权重必须等于100%。权重没有设下限的指标，企业可根据实际情况不选择，其权重分配到其他可选指标。</w:t>
      </w:r>
    </w:p>
    <w:p>
      <w:pPr>
        <w:pStyle w:val="3"/>
        <w:spacing w:line="572" w:lineRule="exact"/>
        <w:ind w:firstLine="640" w:firstLineChars="200"/>
        <w:rPr>
          <w:rFonts w:ascii="楷体_GB2312" w:hAnsi="楷体_GB2312" w:eastAsia="楷体_GB2312" w:cs="楷体_GB2312"/>
          <w:sz w:val="32"/>
        </w:rPr>
      </w:pPr>
      <w:r>
        <w:rPr>
          <w:rFonts w:hint="eastAsia" w:ascii="楷体_GB2312" w:hAnsi="楷体_GB2312" w:eastAsia="楷体_GB2312" w:cs="楷体_GB2312"/>
          <w:sz w:val="32"/>
          <w:lang w:val="en-US" w:eastAsia="zh-CN"/>
        </w:rPr>
        <w:t>（三）工资总额联动系数</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归母净利润（或净资产收益率）、营业收入等联动指标根据“工资总额联动系数A表”（见附件2）分档计算确定挂钩工资增幅。根据与效益挂钩紧密程度不同，设置A1、A2两套联动系数表，由企业根据实际情况选择实施。</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任务完成率、服务质量满意度、行业个性指标等联动指标所挂钩的工资增幅，根据企业上年职工平均工资、省城镇非私营单位就业人员平均工资（以下简称全省社平工资）及上年度全市居民消费价格指数（以下简称全市CPI）等因素合理确定，计算方法见“工资总额联动系数B表”（见附件3）。</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对联动指标因比较基数为负数或绝对额很小导致增长率异常的，区国资办可根据实际情况进行修正。</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4.</w:t>
      </w:r>
      <w:r>
        <w:rPr>
          <w:rFonts w:hint="eastAsia" w:ascii="仿宋_GB2312" w:hAnsi="仿宋_GB2312" w:eastAsia="仿宋_GB2312" w:cs="仿宋_GB2312"/>
          <w:sz w:val="32"/>
          <w:lang w:val="en-US" w:eastAsia="zh-CN"/>
        </w:rPr>
        <w:t>选择资产负债率联动指标的，以资产负债率变动率确认联动指标所挂钩的工资增幅，其中基数以国资办核定的资产负债率警戒线为准，计算结果如为正数表示经济效益上升，反之则为下降。计算方法见“工资总额联动系数A表”（见附件2）、主要经济效益指标计算公式（见附件4）。</w:t>
      </w:r>
    </w:p>
    <w:p>
      <w:pPr>
        <w:pStyle w:val="3"/>
        <w:spacing w:line="572" w:lineRule="exact"/>
        <w:ind w:firstLine="640" w:firstLineChars="200"/>
        <w:rPr>
          <w:rFonts w:ascii="楷体_GB2312" w:hAnsi="楷体_GB2312" w:eastAsia="楷体_GB2312" w:cs="楷体_GB2312"/>
          <w:sz w:val="32"/>
        </w:rPr>
      </w:pPr>
      <w:r>
        <w:rPr>
          <w:rFonts w:hint="eastAsia" w:ascii="楷体_GB2312" w:hAnsi="楷体_GB2312" w:eastAsia="楷体_GB2312" w:cs="楷体_GB2312"/>
          <w:sz w:val="32"/>
          <w:lang w:val="en-US" w:eastAsia="zh-CN"/>
        </w:rPr>
        <w:t>（四）效率对标和工资水平调节机制</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劳动生产率指标一般以人均劳动生产总值、人均利润为主，企业所处行业特殊或处于特殊发展阶段的，可选取人均营业收入、人均工作量等指标。人工成本投入产出率指标根据企业功能定位和经营实际等情况合理确定，其中，竞争类企业一般选取人工成本利润率等指标，非竞争类企业可选取人事费用率等指标。</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在计算劳动生产率、人工成本投入产出率指标时，涉及全员从业人员采集数一般按区统计部门口径为准，平均人数（实际在岗人员）按12个月算术平均计算，具体见主要经济效益指标计算公式（见附件4）。从事人力资源服务业企业（人才公司、保安公司等）以本部人员为计算口径（以区编办实名制为准），非本部的业务类非正式员工予以剔除。</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劳动生产率、人工成本投入产出率指标的本企业对标信息，原则上以本企业经审计后财务数据为准。企业根据对标情况，在区国资办规定的调节范围内设置对标调节系数，建立人工成本效率调节机制，合理调整年度工资总额预算水平。</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4.</w:t>
      </w:r>
      <w:r>
        <w:rPr>
          <w:rFonts w:hint="eastAsia" w:ascii="仿宋_GB2312" w:hAnsi="仿宋_GB2312" w:eastAsia="仿宋_GB2312" w:cs="仿宋_GB2312"/>
          <w:sz w:val="32"/>
          <w:lang w:val="en-US" w:eastAsia="zh-CN"/>
        </w:rPr>
        <w:t>执行《决定》第十二条时，如选择任务完成率、服务质量满意度、行业个性指标等联动指标（套用B表）的，完成率超过额定基数的，按100%计；判断其经济效益增长程度，需对每一指标计算结果减去100%。</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5.</w:t>
      </w:r>
      <w:r>
        <w:rPr>
          <w:rFonts w:hint="eastAsia" w:ascii="仿宋_GB2312" w:hAnsi="仿宋_GB2312" w:eastAsia="仿宋_GB2312" w:cs="仿宋_GB2312"/>
          <w:sz w:val="32"/>
          <w:lang w:val="en-US" w:eastAsia="zh-CN"/>
        </w:rPr>
        <w:t>劳动生产率、人工成本投入产出率指标对标后，与工资总额增长幅度三者中取较低值。</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实施《办法》第十二条时，按以下口径执行：</w:t>
      </w:r>
    </w:p>
    <w:p>
      <w:pPr>
        <w:pStyle w:val="3"/>
        <w:spacing w:line="572" w:lineRule="exact"/>
        <w:ind w:firstLine="640" w:firstLineChars="200"/>
        <w:rPr>
          <w:rFonts w:ascii="仿宋_GB2312" w:hAnsi="仿宋_GB2312" w:eastAsia="仿宋_GB2312" w:cs="仿宋_GB2312"/>
          <w:sz w:val="32"/>
        </w:rPr>
      </w:pPr>
      <w:r>
        <w:rPr>
          <w:rFonts w:ascii="仿宋_GB2312" w:hAnsi="仿宋_GB2312" w:eastAsia="仿宋_GB2312" w:cs="仿宋_GB2312"/>
          <w:sz w:val="32"/>
          <w:lang w:val="en-US" w:eastAsia="zh-CN"/>
        </w:rPr>
        <w:t>（</w:t>
      </w:r>
      <w:r>
        <w:rPr>
          <w:rFonts w:hint="eastAsia" w:ascii="仿宋_GB2312" w:hAnsi="仿宋_GB2312" w:eastAsia="仿宋_GB2312" w:cs="仿宋_GB2312"/>
          <w:sz w:val="32"/>
          <w:lang w:val="en-US" w:eastAsia="zh-CN"/>
        </w:rPr>
        <w:t>1）</w:t>
      </w:r>
      <w:r>
        <w:rPr>
          <w:rFonts w:ascii="仿宋_GB2312" w:hAnsi="仿宋_GB2312" w:eastAsia="仿宋_GB2312" w:cs="仿宋_GB2312"/>
          <w:sz w:val="32"/>
          <w:lang w:val="en-US" w:eastAsia="zh-CN"/>
        </w:rPr>
        <w:t>企业当年经济效益增长的，当年工资总额增长幅度可在不超过经济效益增长幅度范围内确定。</w:t>
      </w:r>
      <w:r>
        <w:rPr>
          <w:rFonts w:hint="eastAsia" w:ascii="仿宋_GB2312" w:hAnsi="仿宋_GB2312" w:eastAsia="仿宋_GB2312" w:cs="仿宋_GB2312"/>
          <w:sz w:val="32"/>
          <w:lang w:val="en-US" w:eastAsia="zh-CN"/>
        </w:rPr>
        <w:t>当企业符合以下三个条件之一的，当年工资总额增幅须不超过效益联动增幅的90%，且职工平均工资增幅不得超过省人力资源社会保障部门发布的工资指导线上限：①</w:t>
      </w:r>
      <w:r>
        <w:rPr>
          <w:rFonts w:ascii="仿宋_GB2312" w:hAnsi="仿宋_GB2312" w:eastAsia="仿宋_GB2312" w:cs="仿宋_GB2312"/>
          <w:sz w:val="32"/>
          <w:lang w:val="en-US" w:eastAsia="zh-CN"/>
        </w:rPr>
        <w:t>劳动生产率未提高</w:t>
      </w:r>
      <w:r>
        <w:rPr>
          <w:rFonts w:hint="eastAsia" w:ascii="仿宋_GB2312" w:hAnsi="仿宋_GB2312" w:eastAsia="仿宋_GB2312" w:cs="仿宋_GB2312"/>
          <w:sz w:val="32"/>
          <w:lang w:val="en-US" w:eastAsia="zh-CN"/>
        </w:rPr>
        <w:t>；②</w:t>
      </w:r>
      <w:r>
        <w:rPr>
          <w:rFonts w:ascii="仿宋_GB2312" w:hAnsi="仿宋_GB2312" w:eastAsia="仿宋_GB2312" w:cs="仿宋_GB2312"/>
          <w:sz w:val="32"/>
          <w:lang w:val="en-US" w:eastAsia="zh-CN"/>
        </w:rPr>
        <w:t>人工成本投入产出率低于本企业前三年平均水平</w:t>
      </w:r>
      <w:r>
        <w:rPr>
          <w:rFonts w:hint="eastAsia" w:ascii="仿宋_GB2312" w:hAnsi="仿宋_GB2312" w:eastAsia="仿宋_GB2312" w:cs="仿宋_GB2312"/>
          <w:sz w:val="32"/>
          <w:lang w:val="en-US" w:eastAsia="zh-CN"/>
        </w:rPr>
        <w:t>；③</w:t>
      </w:r>
      <w:r>
        <w:rPr>
          <w:rFonts w:ascii="仿宋_GB2312" w:hAnsi="仿宋_GB2312" w:eastAsia="仿宋_GB2312" w:cs="仿宋_GB2312"/>
          <w:sz w:val="32"/>
          <w:lang w:val="en-US" w:eastAsia="zh-CN"/>
        </w:rPr>
        <w:t>上年职工平均工资水平达到全省城镇单位就业人员平均工资（以下简称“全省社平工资</w:t>
      </w:r>
      <w:r>
        <w:rPr>
          <w:rFonts w:hint="eastAsia" w:ascii="仿宋_GB2312" w:hAnsi="仿宋_GB2312" w:eastAsia="仿宋_GB2312" w:cs="仿宋_GB2312"/>
          <w:sz w:val="32"/>
          <w:lang w:val="en-US" w:eastAsia="zh-CN"/>
        </w:rPr>
        <w:t>”</w:t>
      </w:r>
      <w:r>
        <w:rPr>
          <w:rFonts w:ascii="仿宋_GB2312" w:hAnsi="仿宋_GB2312" w:eastAsia="仿宋_GB2312" w:cs="仿宋_GB2312"/>
          <w:sz w:val="32"/>
          <w:lang w:val="en-US" w:eastAsia="zh-CN"/>
        </w:rPr>
        <w:t>）3倍以上的</w:t>
      </w:r>
      <w:r>
        <w:rPr>
          <w:rFonts w:hint="eastAsia" w:ascii="仿宋_GB2312" w:hAnsi="仿宋_GB2312" w:eastAsia="仿宋_GB2312" w:cs="仿宋_GB2312"/>
          <w:sz w:val="32"/>
          <w:lang w:val="en-US" w:eastAsia="zh-CN"/>
        </w:rPr>
        <w:t>。</w:t>
      </w:r>
    </w:p>
    <w:p>
      <w:pPr>
        <w:pStyle w:val="3"/>
        <w:spacing w:line="572" w:lineRule="exact"/>
        <w:ind w:firstLine="640" w:firstLineChars="200"/>
        <w:rPr>
          <w:rFonts w:ascii="仿宋_GB2312" w:hAnsi="仿宋_GB2312" w:eastAsia="仿宋_GB2312" w:cs="仿宋_GB2312"/>
          <w:sz w:val="32"/>
        </w:rPr>
      </w:pPr>
      <w:r>
        <w:rPr>
          <w:rFonts w:ascii="仿宋_GB2312" w:hAnsi="仿宋_GB2312" w:eastAsia="仿宋_GB2312" w:cs="仿宋_GB2312"/>
          <w:sz w:val="32"/>
          <w:lang w:val="en-US" w:eastAsia="zh-CN"/>
        </w:rPr>
        <w:t>（</w:t>
      </w:r>
      <w:r>
        <w:rPr>
          <w:rFonts w:hint="eastAsia" w:ascii="仿宋_GB2312" w:hAnsi="仿宋_GB2312" w:eastAsia="仿宋_GB2312" w:cs="仿宋_GB2312"/>
          <w:sz w:val="32"/>
          <w:lang w:val="en-US" w:eastAsia="zh-CN"/>
        </w:rPr>
        <w:t>2</w:t>
      </w:r>
      <w:r>
        <w:rPr>
          <w:rFonts w:ascii="仿宋_GB2312" w:hAnsi="仿宋_GB2312" w:eastAsia="仿宋_GB2312" w:cs="仿宋_GB2312"/>
          <w:sz w:val="32"/>
          <w:lang w:val="en-US" w:eastAsia="zh-CN"/>
        </w:rPr>
        <w:t>）企业当年度经济效益下降的，除受政策调整等非经营性因素影响外，当年工资总额原则上相应下降。下降幅度一般应与经济效益增长时工资总额增长幅度相当，一次性下降幅度一般不超过20%，并同时保证当年职工平均工资不低于当地最低工资标准。</w:t>
      </w:r>
      <w:r>
        <w:rPr>
          <w:rFonts w:hint="eastAsia" w:ascii="仿宋_GB2312" w:hAnsi="仿宋_GB2312" w:eastAsia="仿宋_GB2312" w:cs="仿宋_GB2312"/>
          <w:sz w:val="32"/>
          <w:lang w:val="en-US" w:eastAsia="zh-CN"/>
        </w:rPr>
        <w:t>当同时满足以下三个条件时，当年工资总额降幅可在同期经济效益降幅的50%内确定：①</w:t>
      </w:r>
      <w:r>
        <w:rPr>
          <w:rFonts w:ascii="仿宋_GB2312" w:hAnsi="仿宋_GB2312" w:eastAsia="仿宋_GB2312" w:cs="仿宋_GB2312"/>
          <w:sz w:val="32"/>
          <w:lang w:val="en-US" w:eastAsia="zh-CN"/>
        </w:rPr>
        <w:t>当年劳动生产率未下降</w:t>
      </w:r>
      <w:r>
        <w:rPr>
          <w:rFonts w:hint="eastAsia" w:ascii="仿宋_GB2312" w:hAnsi="仿宋_GB2312" w:eastAsia="仿宋_GB2312" w:cs="仿宋_GB2312"/>
          <w:sz w:val="32"/>
          <w:lang w:val="en-US" w:eastAsia="zh-CN"/>
        </w:rPr>
        <w:t>；②</w:t>
      </w:r>
      <w:r>
        <w:rPr>
          <w:rFonts w:ascii="仿宋_GB2312" w:hAnsi="仿宋_GB2312" w:eastAsia="仿宋_GB2312" w:cs="仿宋_GB2312"/>
          <w:sz w:val="32"/>
          <w:lang w:val="en-US" w:eastAsia="zh-CN"/>
        </w:rPr>
        <w:t>上年人工成本投入产出率优于本企业前三年人工成本投入产出率30%以上（含）</w:t>
      </w:r>
      <w:r>
        <w:rPr>
          <w:rFonts w:hint="eastAsia" w:ascii="仿宋_GB2312" w:hAnsi="仿宋_GB2312" w:eastAsia="仿宋_GB2312" w:cs="仿宋_GB2312"/>
          <w:sz w:val="32"/>
          <w:lang w:val="en-US" w:eastAsia="zh-CN"/>
        </w:rPr>
        <w:t>；③</w:t>
      </w:r>
      <w:r>
        <w:rPr>
          <w:rFonts w:ascii="仿宋_GB2312" w:hAnsi="仿宋_GB2312" w:eastAsia="仿宋_GB2312" w:cs="仿宋_GB2312"/>
          <w:sz w:val="32"/>
          <w:lang w:val="en-US" w:eastAsia="zh-CN"/>
        </w:rPr>
        <w:t>上年职工平均工资低于全省城镇单位就业人员平均工资70%的</w:t>
      </w:r>
      <w:r>
        <w:rPr>
          <w:rFonts w:hint="eastAsia" w:ascii="仿宋_GB2312" w:hAnsi="仿宋_GB2312" w:eastAsia="仿宋_GB2312" w:cs="仿宋_GB2312"/>
          <w:sz w:val="32"/>
          <w:lang w:val="en-US" w:eastAsia="zh-CN"/>
        </w:rPr>
        <w:t>。</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6.</w:t>
      </w:r>
      <w:r>
        <w:rPr>
          <w:rFonts w:hint="eastAsia" w:ascii="仿宋_GB2312" w:hAnsi="仿宋_GB2312" w:eastAsia="仿宋_GB2312" w:cs="仿宋_GB2312"/>
          <w:sz w:val="32"/>
          <w:lang w:val="en-US" w:eastAsia="zh-CN"/>
        </w:rPr>
        <w:t>执行《办法》第二十六条时，如区属国有企业本部人员结构发生重大变化（变动率一般为20%）造成职工平均工资增幅在年度间不可比的，可在同层级职工平均工资增幅未超过本企业全部职工平均工资增幅的范围内确定工资增幅，并在年度预算方案和清算评价报告中列示。</w:t>
      </w:r>
    </w:p>
    <w:p>
      <w:pPr>
        <w:pStyle w:val="3"/>
        <w:spacing w:line="572" w:lineRule="exact"/>
        <w:ind w:firstLine="640" w:firstLineChars="200"/>
        <w:rPr>
          <w:rFonts w:ascii="楷体_GB2312" w:hAnsi="楷体_GB2312" w:eastAsia="楷体_GB2312" w:cs="楷体_GB2312"/>
          <w:sz w:val="32"/>
        </w:rPr>
      </w:pPr>
      <w:r>
        <w:rPr>
          <w:rFonts w:hint="eastAsia" w:ascii="楷体_GB2312" w:hAnsi="楷体_GB2312" w:eastAsia="楷体_GB2312" w:cs="楷体_GB2312"/>
          <w:sz w:val="32"/>
          <w:lang w:val="en-US" w:eastAsia="zh-CN"/>
        </w:rPr>
        <w:t>（五）工资总额增幅的核定方法</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根据《工资总额联动系数A表》计算归母净利润（或净资产收益率）、营业收入联动指标所挂钩的工资增幅；按对应权重计算相应的工资增幅。联动指标的工资增长幅度=（对应联动指标的本年度增长率×对应联动系数+速算修正数）×对应联动指标的权重。</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根据《工资总额联动系数B表》计算任务完成率、服务质量满意度、行业个性指标等联动指标所挂钩的工资增幅；按对应权重计算相应的工资增幅。联动指标的工资增长幅度=（对应指标的完成率×倍数×CPI）×对应联动指标的权重，且“对应指标的完成率”最高不得超过100%。</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根据上述指标对应的工资增幅，计算工资总额合计增幅，即“工资总额合计增幅=归母净利润或净资产收益率挂钩增幅+营业收入挂钩增幅（如有）+任务完成率挂钩增幅（如有）+服务质量满意度挂钩增幅（如有）+其他经济效益（或行业个性）指标挂钩增幅（如有）”。其中经计算的工资总额降幅与平均工资降幅两者之一超过20%的，以20%为限。</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4.</w:t>
      </w:r>
      <w:r>
        <w:rPr>
          <w:rFonts w:hint="eastAsia" w:ascii="仿宋_GB2312" w:hAnsi="仿宋_GB2312" w:eastAsia="仿宋_GB2312" w:cs="仿宋_GB2312"/>
          <w:sz w:val="32"/>
          <w:lang w:val="en-US" w:eastAsia="zh-CN"/>
        </w:rPr>
        <w:t>根据当年度人力社保部门对国企工资分配的宏观指导和调控要求，依据企业工资水平和劳动效率水平等进行合理调整，确定工资增幅。一般规则为：功能类企业、公共服务类企业调整后平均工资增幅不得突破省人力社保部门工资指导线上限，具体由区国资办核定；竞争类企业按劳动生产率增幅后的计算结果，与调整前平均工资增幅比较取低值。</w:t>
      </w:r>
    </w:p>
    <w:p>
      <w:pPr>
        <w:pStyle w:val="3"/>
        <w:spacing w:line="572" w:lineRule="exact"/>
        <w:ind w:firstLine="640" w:firstLineChars="200"/>
        <w:rPr>
          <w:rFonts w:ascii="Times New Roman" w:hAnsi="Times New Roman" w:eastAsia="黑体"/>
          <w:sz w:val="32"/>
        </w:rPr>
      </w:pPr>
      <w:r>
        <w:rPr>
          <w:rFonts w:hint="eastAsia" w:ascii="Times New Roman" w:hAnsi="Times New Roman" w:eastAsia="黑体"/>
          <w:sz w:val="32"/>
          <w:lang w:val="en-US" w:eastAsia="zh-CN"/>
        </w:rPr>
        <w:t>二、调控范围外人员工资总额预算管理</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企业调控范围外人员（以下简称“编外用工”）严格控制用工总量及工资总额，编外用工人员的工资总额单列预算、清算及内部分配（区属国有企业按所属企业汇总），按规定程序申报备案或核准，具体按以下原则把握：</w:t>
      </w:r>
    </w:p>
    <w:p>
      <w:pPr>
        <w:pStyle w:val="3"/>
        <w:spacing w:line="572" w:lineRule="exact"/>
        <w:ind w:firstLine="640" w:firstLineChars="200"/>
        <w:rPr>
          <w:rFonts w:ascii="楷体_GB2312" w:hAnsi="楷体_GB2312" w:eastAsia="楷体_GB2312" w:cs="楷体_GB2312"/>
          <w:sz w:val="32"/>
        </w:rPr>
      </w:pPr>
      <w:r>
        <w:rPr>
          <w:rFonts w:hint="eastAsia" w:ascii="楷体_GB2312" w:hAnsi="楷体_GB2312" w:eastAsia="楷体_GB2312" w:cs="楷体_GB2312"/>
          <w:sz w:val="32"/>
          <w:lang w:val="en-US" w:eastAsia="zh-CN"/>
        </w:rPr>
        <w:t>（一）派遣制编外用工工资总额预算管理</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派遣制编外用工即企业劳务派遣编外用工人员，其可使用指标数控制在全体员工平均人数的10%，本企业派遣制编外用工超过全体员工平均人数10%的，需在规定时间内化解完毕。</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劳务派遣人员的工资总额原则上不得超过劳务派遣人员控制数工资总额（全体员工平均人数10%或劳务派遣人员实际用工数*本企业当年度调控范围内人员平均工资的70%），其中全体员工平均人数10%与劳务派遣人员实际用工数按孰低原则向上取整（取整数，逢大于零进“1”）。</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内部分配时，功能类企业、公共服务类企业个体最高分配不超过本企业调控范围人员平均工资的75%，企业如有实行与年目标计划业绩考核挂钩的，可增加5个百分点；竞争类企业个体最高分配不超过本企业调控范围人员平均工资的85%，实行与年目标考核挂钩的，增加5个百分点。对经批准，由机关事业单位编外用工流入国有企业的人员，最高按本企业上年度劳务派遣人员平均工资作为分配标准。</w:t>
      </w:r>
    </w:p>
    <w:p>
      <w:pPr>
        <w:pStyle w:val="3"/>
        <w:spacing w:line="572" w:lineRule="exact"/>
        <w:ind w:firstLine="640" w:firstLineChars="200"/>
        <w:rPr>
          <w:rFonts w:ascii="楷体_GB2312" w:hAnsi="楷体_GB2312" w:eastAsia="楷体_GB2312" w:cs="楷体_GB2312"/>
          <w:sz w:val="32"/>
        </w:rPr>
      </w:pPr>
      <w:r>
        <w:rPr>
          <w:rFonts w:hint="eastAsia" w:ascii="楷体_GB2312" w:hAnsi="楷体_GB2312" w:eastAsia="楷体_GB2312" w:cs="楷体_GB2312"/>
          <w:sz w:val="32"/>
          <w:lang w:val="en-US" w:eastAsia="zh-CN"/>
        </w:rPr>
        <w:t>（二）合同制编外用工工资总额预算管理</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合同制编外用工即与单位签订劳动合同的编外用工，其工资总额应结合调控范围人员平均工资、劳动生产率、用工总量等核定最高限额。</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企业连续两年经济效益增长且连续两年劳动生产率提高的，合同制编外用工工资总额予以适当核增。如连续两年经济效益下降或连续两年劳动生产率未提高的，需适当核减合同制编外用工工资总额。因派遣人员转为合同制编外用工，转制后纳入合同制编外用工工资总额管理。</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平均工资增幅不得超过省人力社保部门规定的限制条件。清算及动用后处理方式与劳务派遣人员计算一致。</w:t>
      </w:r>
    </w:p>
    <w:p>
      <w:pPr>
        <w:pStyle w:val="3"/>
        <w:spacing w:line="572" w:lineRule="exact"/>
        <w:ind w:firstLine="640" w:firstLineChars="200"/>
        <w:rPr>
          <w:rFonts w:ascii="楷体_GB2312" w:hAnsi="楷体_GB2312" w:eastAsia="楷体_GB2312" w:cs="楷体_GB2312"/>
          <w:sz w:val="32"/>
        </w:rPr>
      </w:pPr>
      <w:r>
        <w:rPr>
          <w:rFonts w:hint="eastAsia" w:ascii="楷体_GB2312" w:hAnsi="楷体_GB2312" w:eastAsia="楷体_GB2312" w:cs="楷体_GB2312"/>
          <w:sz w:val="32"/>
          <w:lang w:val="en-US" w:eastAsia="zh-CN"/>
        </w:rPr>
        <w:t>（三）单列人员工资总额预算管理</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单列人员即区属国有企业负责人、参照事业单位人员、职业经理人、紧缺人才及其他经区政府或区国资办批复实行单列人员，其工资总额实行调控范围外人员工资总额预算单列管理。</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区属国有企业负责人薪酬按照《区属国有企业负责人业绩考核试行办法》或上级有关规定管理，并按规定编制工资预算同步纳入工资总额预算管理。</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参照事业单位人员按事业单位人员工资标准计算工资总额，其绩效工资实行与年度目标计划业绩考核挂钩的，参照本企业调控范围内人员内部分配执行。</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职业经理人、紧缺人才（岗位）及其他经区政府或区国资办批复实行单列人员，任何用工性质（国企员工编制、编外用工）均应严格按批复或协议规定预算管理。因上年度岗位年薪与市场薪酬偏差较大（20%及以上），且企业认为必要的，由企业提出调整计划（核增或核减），并按管理权限上报区政府或国资办审批。</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（四）劳务外包工资总额预算管理</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企业劳务外包人员的劳务成本费用应纳入调控范围外人员工资总额预算管理。</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1.</w:t>
      </w:r>
      <w:r>
        <w:rPr>
          <w:rFonts w:hint="eastAsia" w:ascii="仿宋_GB2312" w:hAnsi="仿宋_GB2312" w:eastAsia="仿宋_GB2312" w:cs="仿宋_GB2312"/>
          <w:sz w:val="32"/>
          <w:lang w:val="en-US" w:eastAsia="zh-CN"/>
        </w:rPr>
        <w:t>企业应严格控制劳务外包人员成本费用总额预算管理，原则上劳务成本费用清算数不得突破预算批复数。</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2.</w:t>
      </w:r>
      <w:r>
        <w:rPr>
          <w:rFonts w:hint="eastAsia" w:ascii="仿宋_GB2312" w:hAnsi="仿宋_GB2312" w:eastAsia="仿宋_GB2312" w:cs="仿宋_GB2312"/>
          <w:sz w:val="32"/>
          <w:lang w:val="en-US" w:eastAsia="zh-CN"/>
        </w:rPr>
        <w:t>原则上劳务外包人员平均工资增幅应当低于省人力资源和社会保障部门工资宏观调控和指导相关要求。</w:t>
      </w:r>
    </w:p>
    <w:p>
      <w:pPr>
        <w:pStyle w:val="3"/>
        <w:spacing w:line="572" w:lineRule="exact"/>
        <w:ind w:firstLine="643" w:firstLineChars="200"/>
        <w:rPr>
          <w:rFonts w:ascii="仿宋_GB2312" w:hAnsi="仿宋_GB2312" w:eastAsia="仿宋_GB2312" w:cs="仿宋_GB2312"/>
          <w:sz w:val="32"/>
        </w:rPr>
      </w:pPr>
      <w:r>
        <w:rPr>
          <w:rFonts w:hint="eastAsia" w:ascii="仿宋_GB2312" w:hAnsi="仿宋_GB2312" w:eastAsia="仿宋_GB2312" w:cs="仿宋_GB2312"/>
          <w:b/>
          <w:bCs/>
          <w:sz w:val="32"/>
          <w:lang w:val="en-US" w:eastAsia="zh-CN"/>
        </w:rPr>
        <w:t>3.</w:t>
      </w:r>
      <w:r>
        <w:rPr>
          <w:rFonts w:hint="eastAsia" w:ascii="仿宋_GB2312" w:hAnsi="仿宋_GB2312" w:eastAsia="仿宋_GB2312" w:cs="仿宋_GB2312"/>
          <w:sz w:val="32"/>
          <w:lang w:val="en-US" w:eastAsia="zh-CN"/>
        </w:rPr>
        <w:t>对预算额度有结余的，区国资办在年终清算时予以核销。</w:t>
      </w:r>
    </w:p>
    <w:p>
      <w:pPr>
        <w:pStyle w:val="3"/>
        <w:spacing w:line="572" w:lineRule="exact"/>
        <w:ind w:firstLine="640" w:firstLineChars="200"/>
        <w:rPr>
          <w:rFonts w:ascii="Times New Roman" w:hAnsi="Times New Roman" w:eastAsia="黑体"/>
          <w:sz w:val="32"/>
        </w:rPr>
      </w:pPr>
      <w:r>
        <w:rPr>
          <w:rFonts w:hint="eastAsia" w:ascii="Times New Roman" w:hAnsi="Times New Roman" w:eastAsia="黑体"/>
          <w:sz w:val="32"/>
          <w:lang w:val="en-US" w:eastAsia="zh-CN"/>
        </w:rPr>
        <w:t>三、特殊企业工资总额预算管理</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（一）新组建的企业首年“上年度工资总额基数”由企业按管理权限上报区国资办审批。如人员变动的，在首年年度清算时，同时调整“上年度工资总额基数”。</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二）实行周期经营的企业，由企业提交经营方案及薪酬方案，经区政府或区国资办批复后，按批复方案实施，并纳入工资总额预算合并口径。本周期首年工资总额预算核定后，应建立工资总额分配制度，并按管理权限上报备案，具体见内部薪酬分配指导意见。</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三）鼓励竞争类企业创新用工管理试点工作，逐步消化国企员工编制（现有员工编制人员按老人老办法管理），实行全员以岗定薪，将原员工编制、编外用工等统一纳入员工调控范围核定工资总额。意向企业须按有关规定上报区国资办审批后，纳入试点企业管理。试点企业在核定工资总额时，如人均劳动生产率为增长的，平均工资增长幅度当低于省人力资源和社会保障部门工资宏观调控和指导时，可在不超过宏观调控和指导规定内予以增幅（低于基准线的可按基准线增幅）。</w:t>
      </w:r>
    </w:p>
    <w:p>
      <w:pPr>
        <w:pStyle w:val="3"/>
        <w:spacing w:line="572" w:lineRule="exact"/>
        <w:ind w:firstLine="643" w:firstLineChars="200"/>
        <w:rPr>
          <w:rFonts w:ascii="Times New Roman" w:hAnsi="Times New Roman" w:eastAsia="仿宋_GB2312"/>
          <w:b/>
          <w:bCs/>
          <w:sz w:val="32"/>
        </w:rPr>
      </w:pPr>
      <w:r>
        <w:rPr>
          <w:rFonts w:hint="eastAsia" w:ascii="Times New Roman" w:hAnsi="Times New Roman" w:eastAsia="仿宋_GB2312"/>
          <w:b/>
          <w:bCs/>
          <w:sz w:val="32"/>
          <w:lang w:val="en-US" w:eastAsia="zh-CN"/>
        </w:rPr>
        <w:t>四、其他</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经济效益联动指标及权重、效率对标指标由企业选择后报区国资办核准，原则上保持3年不变。</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其中，子公司按管理权限报送区属国有企业备案或核准，并由区属国有企业统一向区国资办提出申请，区属国有企业申请行文中需列明区属国有企业以及所属企业选择的指标和权重，以及所属企业的核减和奖励情况，并附区属国有企业及所属企业年度预算方案，经区国资办备案或核准后实施。</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符合《办法》规定条件的企业可申请工资总额预算备案制管理。实行备案制的企业在履行内部决策程序后，每年按国资办规定的时限前将工资总额预算方案报区国资办备案，并对其年度工资总额预算执行情况自行开展清算评价并于次年经履行内部决策程序后在上级规定时限内报送区国资办备案。</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企业发生符合《办法》第十八条的特殊事项时，应提供相关证明材料和量化测算依据，在报送年度工资总额预算方案时同步申报，经区国资办认定后，可在年度工资总额预算内实行专项核算、单列管理，在年度工资总额预算执行情况清算进行审核确定。</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对《办法》第十八条所述特殊事项，区国资办将根据国资国企改革和企业实际，适时发布工资总额特殊事项清单，并根据形势变化进行动态调整。</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对因执行“退出领导岗位”制度导致的工资总额增长，可在联动指标增幅之外按实予以列支。</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承接工程建设等任务的，企业原则上员工人工成本不得按资本化财务处理（不计入当期损益）的。已经资本化的，须及时整改，且不得增加人数，同时应在年度预算方案和清算评价报告中列示，包括人员名单、人工成本费用等。</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企业工资总额上年基数以区国资办批复清算数为准。区属国有企业工资总额合并清算批复数高于本级及所属企业工资总额清算汇总数的，高于的部分，区属国有企业可在三年内一次性或分三年按规则下达奖励指标，并报区国资办备案，奖励指标纳入上年度工资总额基数。其中所获取属奖励给优秀企业及优秀员工的指标，在计算各层次平均工资增幅比较时，可予以剔除。</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企业根据区国资办批复清算文件要求，如清算年度计提数大于清算数的，差额部分应予以扣回，并及时调整当期财务计提数及发放数，原则上不采用以前年度损益调整进行更正；如计提数小于清算数的，差额部分可予以计提，结转为周期内工资总额结余指标，可在3年内滚动使用。企业的工资增量尽可能向企业核心科技人才、优秀高技能人才、关键岗位人员、生产一线职工倾斜。</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区国资办不定期开展专项检查，一经发现，以前或今后如有超过管控规定的，实施追索退回机制。已计发超过的额度，员工编制调控人员结转周期工资总额指标结余，其上年度工资总额基数保持不变；其他性质人员于次年度予以扣回。并追究企业负责人责任。</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企业因承接区政府交办的特殊事项，影响工资总额预算或费用预算的，凭区政府抄告单或会议纪要，由区国资办“一事一议”。</w:t>
      </w:r>
    </w:p>
    <w:p>
      <w:pPr>
        <w:pStyle w:val="3"/>
        <w:numPr>
          <w:ilvl w:val="0"/>
          <w:numId w:val="1"/>
        </w:numPr>
        <w:spacing w:line="572" w:lineRule="exact"/>
        <w:rPr>
          <w:rFonts w:ascii="仿宋_GB2312" w:hAnsi="仿宋_GB2312" w:eastAsia="仿宋_GB2312" w:cs="仿宋_GB2312"/>
          <w:sz w:val="32"/>
        </w:rPr>
      </w:pPr>
      <w:r>
        <w:rPr>
          <w:rFonts w:hint="eastAsia" w:ascii="仿宋_GB2312" w:hAnsi="仿宋_GB2312" w:eastAsia="仿宋_GB2312" w:cs="仿宋_GB2312"/>
          <w:sz w:val="32"/>
          <w:lang w:val="en-US" w:eastAsia="zh-CN"/>
        </w:rPr>
        <w:t>本细则实施期限为2024年1月1日实施。《关于印发〈改革区属国有企业工资决定机制实施办法配套细则〉的通知》（洞国资办〔2020〕19号）停止执行。</w:t>
      </w:r>
    </w:p>
    <w:p>
      <w:pPr>
        <w:pStyle w:val="3"/>
        <w:spacing w:line="572" w:lineRule="exact"/>
        <w:ind w:firstLine="640" w:firstLineChars="200"/>
        <w:rPr>
          <w:rFonts w:ascii="仿宋_GB2312" w:hAnsi="仿宋_GB2312" w:eastAsia="仿宋_GB2312" w:cs="仿宋_GB2312"/>
          <w:sz w:val="32"/>
        </w:rPr>
      </w:pPr>
      <w:r>
        <w:rPr>
          <w:rFonts w:hint="eastAsia" w:ascii="仿宋_GB2312" w:hAnsi="仿宋_GB2312" w:eastAsia="仿宋_GB2312" w:cs="仿宋_GB2312"/>
          <w:sz w:val="32"/>
          <w:lang w:val="en-US" w:eastAsia="zh-CN"/>
        </w:rPr>
        <w:t>附件：1.工资总额联动指标及权重表</w:t>
      </w:r>
    </w:p>
    <w:p>
      <w:pPr>
        <w:pStyle w:val="3"/>
        <w:spacing w:line="572" w:lineRule="exact"/>
        <w:ind w:firstLine="1600" w:firstLineChars="500"/>
        <w:rPr>
          <w:rFonts w:ascii="仿宋_GB2312" w:hAnsi="仿宋_GB2312" w:eastAsia="仿宋_GB2312" w:cs="仿宋_GB2312"/>
          <w:sz w:val="32"/>
        </w:rPr>
      </w:pPr>
      <w:r>
        <w:rPr>
          <w:rFonts w:hint="eastAsia" w:ascii="仿宋_GB2312" w:hAnsi="仿宋_GB2312" w:eastAsia="仿宋_GB2312" w:cs="仿宋_GB2312"/>
          <w:sz w:val="32"/>
          <w:lang w:val="en-US" w:eastAsia="zh-CN"/>
        </w:rPr>
        <w:t>2.工资总额联动系数表A</w:t>
      </w:r>
    </w:p>
    <w:p>
      <w:pPr>
        <w:pStyle w:val="3"/>
        <w:spacing w:line="572" w:lineRule="exact"/>
        <w:ind w:firstLine="1600" w:firstLineChars="500"/>
        <w:rPr>
          <w:rFonts w:ascii="仿宋_GB2312" w:hAnsi="仿宋_GB2312" w:eastAsia="仿宋_GB2312" w:cs="仿宋_GB2312"/>
          <w:sz w:val="32"/>
        </w:rPr>
      </w:pPr>
      <w:r>
        <w:rPr>
          <w:rFonts w:hint="eastAsia" w:ascii="仿宋_GB2312" w:hAnsi="仿宋_GB2312" w:eastAsia="仿宋_GB2312" w:cs="仿宋_GB2312"/>
          <w:sz w:val="32"/>
          <w:lang w:val="en-US" w:eastAsia="zh-CN"/>
        </w:rPr>
        <w:t>3.工资总额联动系数表B</w:t>
      </w:r>
    </w:p>
    <w:p>
      <w:pPr>
        <w:pStyle w:val="3"/>
        <w:spacing w:line="572" w:lineRule="exact"/>
        <w:ind w:firstLine="1600" w:firstLineChars="500"/>
        <w:rPr>
          <w:rFonts w:ascii="仿宋_GB2312" w:hAnsi="仿宋_GB2312" w:eastAsia="仿宋_GB2312" w:cs="仿宋_GB2312"/>
          <w:sz w:val="32"/>
        </w:rPr>
      </w:pPr>
      <w:r>
        <w:rPr>
          <w:rFonts w:hint="eastAsia" w:ascii="仿宋_GB2312" w:hAnsi="仿宋_GB2312" w:eastAsia="仿宋_GB2312" w:cs="仿宋_GB2312"/>
          <w:sz w:val="32"/>
          <w:lang w:val="en-US" w:eastAsia="zh-CN"/>
        </w:rPr>
        <w:t>4.主要经济效益指标计算公式</w:t>
      </w:r>
    </w:p>
    <w:p>
      <w:pPr>
        <w:spacing w:line="572" w:lineRule="exact"/>
        <w:rPr>
          <w:rFonts w:eastAsia="黑体"/>
          <w:sz w:val="32"/>
        </w:rPr>
      </w:pPr>
    </w:p>
    <w:p>
      <w:pPr>
        <w:spacing w:line="572" w:lineRule="exact"/>
        <w:rPr>
          <w:rFonts w:eastAsia="黑体"/>
          <w:sz w:val="32"/>
        </w:rPr>
      </w:pPr>
      <w:r>
        <w:rPr>
          <w:rFonts w:eastAsia="黑体"/>
          <w:sz w:val="32"/>
        </w:rPr>
        <w:br w:type="page"/>
      </w:r>
      <w:r>
        <w:rPr>
          <w:rFonts w:eastAsia="黑体"/>
          <w:sz w:val="32"/>
        </w:rPr>
        <w:t>附件1</w:t>
      </w:r>
    </w:p>
    <w:p>
      <w:pPr>
        <w:spacing w:line="572" w:lineRule="exact"/>
      </w:pPr>
    </w:p>
    <w:p>
      <w:pPr>
        <w:spacing w:line="572" w:lineRule="exact"/>
        <w:jc w:val="center"/>
        <w:rPr>
          <w:rFonts w:eastAsia="方正小标宋简体"/>
          <w:sz w:val="44"/>
          <w:szCs w:val="44"/>
        </w:rPr>
      </w:pPr>
      <w:r>
        <w:rPr>
          <w:rFonts w:eastAsia="方正小标宋简体"/>
          <w:sz w:val="44"/>
          <w:szCs w:val="44"/>
        </w:rPr>
        <w:t>工资总额联动指标及权重表</w:t>
      </w:r>
    </w:p>
    <w:p>
      <w:pPr>
        <w:spacing w:line="572" w:lineRule="exact"/>
        <w:ind w:firstLine="1440" w:firstLineChars="400"/>
        <w:rPr>
          <w:rFonts w:eastAsia="方正小标宋简体"/>
          <w:sz w:val="36"/>
          <w:szCs w:val="36"/>
        </w:rPr>
      </w:pPr>
    </w:p>
    <w:tbl>
      <w:tblPr>
        <w:tblStyle w:val="7"/>
        <w:tblW w:w="10762" w:type="dxa"/>
        <w:jc w:val="center"/>
        <w:tblLayout w:type="fixed"/>
        <w:tblCellMar>
          <w:top w:w="0" w:type="dxa"/>
          <w:left w:w="0" w:type="dxa"/>
          <w:bottom w:w="0" w:type="dxa"/>
          <w:right w:w="0" w:type="dxa"/>
        </w:tblCellMar>
      </w:tblPr>
      <w:tblGrid>
        <w:gridCol w:w="563"/>
        <w:gridCol w:w="2289"/>
        <w:gridCol w:w="1494"/>
        <w:gridCol w:w="1430"/>
        <w:gridCol w:w="976"/>
        <w:gridCol w:w="1220"/>
        <w:gridCol w:w="1360"/>
        <w:gridCol w:w="1430"/>
      </w:tblGrid>
      <w:tr>
        <w:trPr>
          <w:trHeight w:val="740" w:hRule="atLeast"/>
          <w:jc w:val="center"/>
        </w:trPr>
        <w:tc>
          <w:tcPr>
            <w:tcW w:w="563" w:type="dxa"/>
            <w:vMerge w:val="restart"/>
            <w:tcBorders>
              <w:top w:val="single" w:color="auto" w:sz="4" w:space="0"/>
              <w:left w:val="single" w:color="000000" w:sz="4" w:space="0"/>
              <w:right w:val="single" w:color="000000" w:sz="4" w:space="0"/>
            </w:tcBorders>
            <w:noWrap/>
          </w:tcPr>
          <w:p>
            <w:pPr>
              <w:widowControl/>
              <w:spacing w:line="572" w:lineRule="exact"/>
              <w:jc w:val="center"/>
              <w:textAlignment w:val="center"/>
              <w:rPr>
                <w:rFonts w:eastAsia="仿宋_GB2312"/>
                <w:kern w:val="0"/>
                <w:sz w:val="24"/>
              </w:rPr>
            </w:pPr>
          </w:p>
        </w:tc>
        <w:tc>
          <w:tcPr>
            <w:tcW w:w="2289" w:type="dxa"/>
            <w:vMerge w:val="restart"/>
            <w:tcBorders>
              <w:top w:val="single" w:color="auto" w:sz="4" w:space="0"/>
              <w:left w:val="nil"/>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效益联动指标名称</w:t>
            </w:r>
          </w:p>
        </w:tc>
        <w:tc>
          <w:tcPr>
            <w:tcW w:w="6480" w:type="dxa"/>
            <w:gridSpan w:val="5"/>
            <w:tcBorders>
              <w:top w:val="single" w:color="auto"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kern w:val="0"/>
                <w:sz w:val="24"/>
              </w:rPr>
              <w:t>权重</w:t>
            </w:r>
          </w:p>
        </w:tc>
        <w:tc>
          <w:tcPr>
            <w:tcW w:w="1430" w:type="dxa"/>
            <w:vMerge w:val="restart"/>
            <w:tcBorders>
              <w:top w:val="single" w:color="auto" w:sz="4" w:space="0"/>
              <w:left w:val="nil"/>
              <w:right w:val="single" w:color="000000" w:sz="4" w:space="0"/>
            </w:tcBorders>
            <w:noWrap/>
            <w:vAlign w:val="center"/>
          </w:tcPr>
          <w:p>
            <w:pPr>
              <w:widowControl/>
              <w:spacing w:line="572" w:lineRule="exact"/>
              <w:jc w:val="center"/>
              <w:textAlignment w:val="center"/>
              <w:rPr>
                <w:rFonts w:eastAsia="仿宋_GB2312"/>
                <w:sz w:val="24"/>
              </w:rPr>
            </w:pPr>
            <w:r>
              <w:rPr>
                <w:kern w:val="0"/>
                <w:sz w:val="24"/>
              </w:rPr>
              <w:t>对应联动系数表</w:t>
            </w:r>
          </w:p>
        </w:tc>
      </w:tr>
      <w:tr>
        <w:tblPrEx>
          <w:tblCellMar>
            <w:top w:w="0" w:type="dxa"/>
            <w:left w:w="0" w:type="dxa"/>
            <w:bottom w:w="0" w:type="dxa"/>
            <w:right w:w="0" w:type="dxa"/>
          </w:tblCellMar>
        </w:tblPrEx>
        <w:trPr>
          <w:trHeight w:val="640" w:hRule="atLeast"/>
          <w:jc w:val="center"/>
        </w:trPr>
        <w:tc>
          <w:tcPr>
            <w:tcW w:w="563" w:type="dxa"/>
            <w:vMerge w:val="continue"/>
            <w:tcBorders>
              <w:left w:val="single" w:color="000000" w:sz="4" w:space="0"/>
              <w:right w:val="single" w:color="000000" w:sz="4" w:space="0"/>
            </w:tcBorders>
            <w:noWrap/>
            <w:vAlign w:val="center"/>
          </w:tcPr>
          <w:p>
            <w:pPr>
              <w:widowControl/>
              <w:spacing w:line="572" w:lineRule="exact"/>
              <w:jc w:val="left"/>
              <w:rPr>
                <w:rFonts w:eastAsia="仿宋_GB2312"/>
                <w:kern w:val="0"/>
                <w:sz w:val="24"/>
              </w:rPr>
            </w:pPr>
          </w:p>
        </w:tc>
        <w:tc>
          <w:tcPr>
            <w:tcW w:w="2289" w:type="dxa"/>
            <w:vMerge w:val="continue"/>
            <w:tcBorders>
              <w:left w:val="nil"/>
              <w:right w:val="single" w:color="000000" w:sz="4" w:space="0"/>
            </w:tcBorders>
            <w:noWrap/>
            <w:vAlign w:val="center"/>
          </w:tcPr>
          <w:p>
            <w:pPr>
              <w:widowControl/>
              <w:spacing w:line="572" w:lineRule="exact"/>
              <w:jc w:val="left"/>
              <w:rPr>
                <w:rFonts w:eastAsia="仿宋_GB2312"/>
                <w:sz w:val="24"/>
              </w:rPr>
            </w:pPr>
          </w:p>
        </w:tc>
        <w:tc>
          <w:tcPr>
            <w:tcW w:w="3900" w:type="dxa"/>
            <w:gridSpan w:val="3"/>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sz w:val="24"/>
              </w:rPr>
            </w:pPr>
            <w:r>
              <w:rPr>
                <w:sz w:val="24"/>
              </w:rPr>
              <w:t>功能类</w:t>
            </w:r>
          </w:p>
        </w:tc>
        <w:tc>
          <w:tcPr>
            <w:tcW w:w="1220" w:type="dxa"/>
            <w:vMerge w:val="restart"/>
            <w:tcBorders>
              <w:top w:val="single" w:color="000000" w:sz="4" w:space="0"/>
              <w:left w:val="nil"/>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公共服务类</w:t>
            </w:r>
          </w:p>
        </w:tc>
        <w:tc>
          <w:tcPr>
            <w:tcW w:w="1360" w:type="dxa"/>
            <w:vMerge w:val="restart"/>
            <w:tcBorders>
              <w:top w:val="single" w:color="auto" w:sz="4" w:space="0"/>
              <w:left w:val="nil"/>
              <w:right w:val="single" w:color="auto" w:sz="4" w:space="0"/>
            </w:tcBorders>
            <w:noWrap/>
            <w:vAlign w:val="center"/>
          </w:tcPr>
          <w:p>
            <w:pPr>
              <w:widowControl/>
              <w:spacing w:line="572" w:lineRule="exact"/>
              <w:jc w:val="center"/>
              <w:textAlignment w:val="center"/>
              <w:rPr>
                <w:rFonts w:eastAsia="仿宋_GB2312"/>
                <w:kern w:val="0"/>
                <w:sz w:val="24"/>
              </w:rPr>
            </w:pPr>
            <w:r>
              <w:rPr>
                <w:kern w:val="0"/>
                <w:sz w:val="24"/>
              </w:rPr>
              <w:t>竞争类</w:t>
            </w:r>
          </w:p>
        </w:tc>
        <w:tc>
          <w:tcPr>
            <w:tcW w:w="1430" w:type="dxa"/>
            <w:vMerge w:val="continue"/>
            <w:tcBorders>
              <w:left w:val="nil"/>
              <w:right w:val="single" w:color="000000" w:sz="4" w:space="0"/>
            </w:tcBorders>
            <w:noWrap/>
            <w:vAlign w:val="center"/>
          </w:tcPr>
          <w:p>
            <w:pPr>
              <w:widowControl/>
              <w:spacing w:line="572" w:lineRule="exact"/>
              <w:jc w:val="left"/>
              <w:rPr>
                <w:rFonts w:eastAsia="仿宋_GB2312"/>
                <w:sz w:val="24"/>
              </w:rPr>
            </w:pPr>
          </w:p>
        </w:tc>
      </w:tr>
      <w:tr>
        <w:tblPrEx>
          <w:tblCellMar>
            <w:top w:w="0" w:type="dxa"/>
            <w:left w:w="0" w:type="dxa"/>
            <w:bottom w:w="0" w:type="dxa"/>
            <w:right w:w="0" w:type="dxa"/>
          </w:tblCellMar>
        </w:tblPrEx>
        <w:trPr>
          <w:trHeight w:val="760" w:hRule="atLeast"/>
          <w:jc w:val="center"/>
        </w:trPr>
        <w:tc>
          <w:tcPr>
            <w:tcW w:w="563" w:type="dxa"/>
            <w:vMerge w:val="continue"/>
            <w:tcBorders>
              <w:left w:val="single" w:color="000000" w:sz="4" w:space="0"/>
              <w:bottom w:val="single" w:color="000000" w:sz="4" w:space="0"/>
              <w:right w:val="single" w:color="000000" w:sz="4" w:space="0"/>
            </w:tcBorders>
            <w:noWrap/>
            <w:vAlign w:val="center"/>
          </w:tcPr>
          <w:p>
            <w:pPr>
              <w:widowControl/>
              <w:spacing w:line="572" w:lineRule="exact"/>
              <w:jc w:val="center"/>
              <w:textAlignment w:val="center"/>
              <w:rPr>
                <w:kern w:val="0"/>
                <w:sz w:val="24"/>
              </w:rPr>
            </w:pPr>
          </w:p>
        </w:tc>
        <w:tc>
          <w:tcPr>
            <w:tcW w:w="2289" w:type="dxa"/>
            <w:vMerge w:val="continue"/>
            <w:tcBorders>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rFonts w:hint="eastAsia"/>
                <w:kern w:val="0"/>
                <w:sz w:val="24"/>
              </w:rPr>
              <w:t>A1</w:t>
            </w:r>
          </w:p>
        </w:tc>
        <w:tc>
          <w:tcPr>
            <w:tcW w:w="143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rFonts w:hint="eastAsia"/>
                <w:kern w:val="0"/>
                <w:sz w:val="24"/>
              </w:rPr>
              <w:t>A2</w:t>
            </w:r>
          </w:p>
        </w:tc>
        <w:tc>
          <w:tcPr>
            <w:tcW w:w="976"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rFonts w:hint="eastAsia"/>
                <w:kern w:val="0"/>
                <w:sz w:val="24"/>
              </w:rPr>
              <w:t>A3</w:t>
            </w:r>
          </w:p>
        </w:tc>
        <w:tc>
          <w:tcPr>
            <w:tcW w:w="1220" w:type="dxa"/>
            <w:vMerge w:val="continue"/>
            <w:tcBorders>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p>
        </w:tc>
        <w:tc>
          <w:tcPr>
            <w:tcW w:w="1360" w:type="dxa"/>
            <w:vMerge w:val="continue"/>
            <w:tcBorders>
              <w:left w:val="nil"/>
              <w:bottom w:val="single" w:color="000000" w:sz="4" w:space="0"/>
              <w:right w:val="single" w:color="auto" w:sz="4" w:space="0"/>
            </w:tcBorders>
            <w:noWrap/>
            <w:vAlign w:val="center"/>
          </w:tcPr>
          <w:p>
            <w:pPr>
              <w:widowControl/>
              <w:spacing w:line="572" w:lineRule="exact"/>
              <w:jc w:val="center"/>
              <w:textAlignment w:val="center"/>
              <w:rPr>
                <w:kern w:val="0"/>
                <w:sz w:val="24"/>
              </w:rPr>
            </w:pPr>
          </w:p>
        </w:tc>
        <w:tc>
          <w:tcPr>
            <w:tcW w:w="1430" w:type="dxa"/>
            <w:vMerge w:val="continue"/>
            <w:tcBorders>
              <w:left w:val="nil"/>
              <w:bottom w:val="single" w:color="000000" w:sz="4" w:space="0"/>
              <w:right w:val="single" w:color="000000" w:sz="4" w:space="0"/>
            </w:tcBorders>
            <w:noWrap/>
            <w:vAlign w:val="center"/>
          </w:tcPr>
          <w:p>
            <w:pPr>
              <w:spacing w:line="572" w:lineRule="exact"/>
              <w:jc w:val="center"/>
              <w:textAlignment w:val="center"/>
              <w:rPr>
                <w:kern w:val="0"/>
                <w:sz w:val="24"/>
              </w:rPr>
            </w:pPr>
          </w:p>
        </w:tc>
      </w:tr>
      <w:tr>
        <w:tblPrEx>
          <w:tblCellMar>
            <w:top w:w="0" w:type="dxa"/>
            <w:left w:w="0" w:type="dxa"/>
            <w:bottom w:w="0" w:type="dxa"/>
            <w:right w:w="0" w:type="dxa"/>
          </w:tblCellMar>
        </w:tblPrEx>
        <w:trPr>
          <w:trHeight w:val="760" w:hRule="atLeast"/>
          <w:jc w:val="center"/>
        </w:trPr>
        <w:tc>
          <w:tcPr>
            <w:tcW w:w="563" w:type="dxa"/>
            <w:tcBorders>
              <w:top w:val="single" w:color="000000" w:sz="4" w:space="0"/>
              <w:left w:val="single" w:color="000000" w:sz="4" w:space="0"/>
              <w:bottom w:val="single" w:color="000000" w:sz="4" w:space="0"/>
              <w:right w:val="single" w:color="000000" w:sz="4" w:space="0"/>
            </w:tcBorders>
            <w:noWrap/>
            <w:vAlign w:val="center"/>
          </w:tcPr>
          <w:p>
            <w:pPr>
              <w:widowControl/>
              <w:spacing w:line="572" w:lineRule="exact"/>
              <w:jc w:val="center"/>
              <w:textAlignment w:val="center"/>
              <w:rPr>
                <w:rFonts w:eastAsia="仿宋_GB2312"/>
                <w:kern w:val="0"/>
                <w:sz w:val="24"/>
              </w:rPr>
            </w:pPr>
            <w:r>
              <w:rPr>
                <w:kern w:val="0"/>
                <w:sz w:val="24"/>
              </w:rPr>
              <w:t>1</w:t>
            </w:r>
          </w:p>
        </w:tc>
        <w:tc>
          <w:tcPr>
            <w:tcW w:w="2289"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归母净利润或净资产收益率</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ascii="宋体" w:hAnsi="宋体" w:cs="宋体"/>
                <w:kern w:val="0"/>
                <w:sz w:val="24"/>
              </w:rPr>
              <w:t>≥25</w:t>
            </w:r>
            <w:r>
              <w:rPr>
                <w:kern w:val="0"/>
                <w:sz w:val="24"/>
              </w:rPr>
              <w:t>%</w:t>
            </w:r>
          </w:p>
        </w:tc>
        <w:tc>
          <w:tcPr>
            <w:tcW w:w="143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ascii="宋体" w:hAnsi="宋体" w:cs="宋体"/>
                <w:kern w:val="0"/>
                <w:sz w:val="24"/>
              </w:rPr>
              <w:t>≥25</w:t>
            </w:r>
            <w:r>
              <w:rPr>
                <w:kern w:val="0"/>
                <w:sz w:val="24"/>
              </w:rPr>
              <w:t>%</w:t>
            </w:r>
          </w:p>
        </w:tc>
        <w:tc>
          <w:tcPr>
            <w:tcW w:w="976"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rFonts w:hint="eastAsia" w:ascii="宋体" w:hAnsi="宋体" w:cs="宋体"/>
                <w:kern w:val="0"/>
                <w:sz w:val="24"/>
              </w:rPr>
              <w:t>≥20</w:t>
            </w:r>
            <w:r>
              <w:rPr>
                <w:kern w:val="0"/>
                <w:sz w:val="24"/>
              </w:rPr>
              <w:t>%</w:t>
            </w:r>
          </w:p>
        </w:tc>
        <w:tc>
          <w:tcPr>
            <w:tcW w:w="122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ascii="宋体" w:hAnsi="宋体" w:cs="宋体"/>
                <w:kern w:val="0"/>
                <w:sz w:val="24"/>
              </w:rPr>
              <w:t>≥</w:t>
            </w:r>
            <w:r>
              <w:rPr>
                <w:rFonts w:hint="eastAsia"/>
                <w:kern w:val="0"/>
                <w:sz w:val="24"/>
              </w:rPr>
              <w:t>25</w:t>
            </w:r>
            <w:r>
              <w:rPr>
                <w:kern w:val="0"/>
                <w:sz w:val="24"/>
              </w:rPr>
              <w:t>%</w:t>
            </w:r>
          </w:p>
        </w:tc>
        <w:tc>
          <w:tcPr>
            <w:tcW w:w="1360" w:type="dxa"/>
            <w:tcBorders>
              <w:top w:val="single" w:color="000000" w:sz="4" w:space="0"/>
              <w:left w:val="nil"/>
              <w:bottom w:val="single" w:color="000000" w:sz="4" w:space="0"/>
              <w:right w:val="single" w:color="auto" w:sz="4" w:space="0"/>
            </w:tcBorders>
            <w:noWrap/>
            <w:vAlign w:val="center"/>
          </w:tcPr>
          <w:p>
            <w:pPr>
              <w:widowControl/>
              <w:spacing w:line="572" w:lineRule="exact"/>
              <w:jc w:val="center"/>
              <w:textAlignment w:val="center"/>
              <w:rPr>
                <w:rFonts w:eastAsia="仿宋_GB2312"/>
                <w:sz w:val="24"/>
              </w:rPr>
            </w:pPr>
            <w:r>
              <w:rPr>
                <w:rFonts w:hint="eastAsia" w:ascii="宋体" w:hAnsi="宋体" w:cs="宋体"/>
                <w:kern w:val="0"/>
                <w:sz w:val="24"/>
              </w:rPr>
              <w:t>≥50</w:t>
            </w:r>
            <w:r>
              <w:rPr>
                <w:kern w:val="0"/>
                <w:sz w:val="24"/>
              </w:rPr>
              <w:t>%</w:t>
            </w:r>
          </w:p>
        </w:tc>
        <w:tc>
          <w:tcPr>
            <w:tcW w:w="1430" w:type="dxa"/>
            <w:tcBorders>
              <w:top w:val="single" w:color="000000" w:sz="4" w:space="0"/>
              <w:left w:val="nil"/>
              <w:bottom w:val="single" w:color="000000" w:sz="4" w:space="0"/>
              <w:right w:val="single" w:color="000000" w:sz="4" w:space="0"/>
            </w:tcBorders>
            <w:noWrap/>
            <w:vAlign w:val="center"/>
          </w:tcPr>
          <w:p>
            <w:pPr>
              <w:spacing w:line="572" w:lineRule="exact"/>
              <w:jc w:val="center"/>
              <w:textAlignment w:val="center"/>
              <w:rPr>
                <w:rFonts w:eastAsia="仿宋_GB2312"/>
                <w:sz w:val="24"/>
              </w:rPr>
            </w:pPr>
            <w:r>
              <w:rPr>
                <w:kern w:val="0"/>
                <w:sz w:val="24"/>
              </w:rPr>
              <w:t>A表</w:t>
            </w:r>
          </w:p>
        </w:tc>
      </w:tr>
      <w:tr>
        <w:tblPrEx>
          <w:tblCellMar>
            <w:top w:w="0" w:type="dxa"/>
            <w:left w:w="0" w:type="dxa"/>
            <w:bottom w:w="0" w:type="dxa"/>
            <w:right w:w="0" w:type="dxa"/>
          </w:tblCellMar>
        </w:tblPrEx>
        <w:trPr>
          <w:trHeight w:val="720" w:hRule="atLeast"/>
          <w:jc w:val="center"/>
        </w:trPr>
        <w:tc>
          <w:tcPr>
            <w:tcW w:w="563" w:type="dxa"/>
            <w:tcBorders>
              <w:top w:val="single" w:color="000000" w:sz="4" w:space="0"/>
              <w:left w:val="single" w:color="000000" w:sz="4" w:space="0"/>
              <w:bottom w:val="single" w:color="000000" w:sz="4" w:space="0"/>
              <w:right w:val="single" w:color="000000" w:sz="4" w:space="0"/>
            </w:tcBorders>
            <w:noWrap/>
            <w:vAlign w:val="center"/>
          </w:tcPr>
          <w:p>
            <w:pPr>
              <w:widowControl/>
              <w:spacing w:line="572" w:lineRule="exact"/>
              <w:jc w:val="center"/>
              <w:textAlignment w:val="center"/>
              <w:rPr>
                <w:rFonts w:eastAsia="仿宋_GB2312"/>
                <w:kern w:val="0"/>
                <w:sz w:val="24"/>
              </w:rPr>
            </w:pPr>
            <w:r>
              <w:rPr>
                <w:kern w:val="0"/>
                <w:sz w:val="24"/>
              </w:rPr>
              <w:t>2</w:t>
            </w:r>
          </w:p>
        </w:tc>
        <w:tc>
          <w:tcPr>
            <w:tcW w:w="2289"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营业收入</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ascii="仿宋" w:hAnsi="仿宋" w:eastAsia="仿宋" w:cs="仿宋"/>
                <w:kern w:val="0"/>
                <w:sz w:val="24"/>
              </w:rPr>
              <w:t>≦20</w:t>
            </w:r>
            <w:r>
              <w:rPr>
                <w:kern w:val="0"/>
                <w:sz w:val="24"/>
              </w:rPr>
              <w:t>%</w:t>
            </w:r>
          </w:p>
        </w:tc>
        <w:tc>
          <w:tcPr>
            <w:tcW w:w="143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ascii="仿宋" w:hAnsi="仿宋" w:eastAsia="仿宋" w:cs="仿宋"/>
                <w:kern w:val="0"/>
                <w:sz w:val="24"/>
              </w:rPr>
              <w:t>≦</w:t>
            </w:r>
            <w:r>
              <w:rPr>
                <w:kern w:val="0"/>
                <w:sz w:val="24"/>
              </w:rPr>
              <w:t>15%</w:t>
            </w:r>
          </w:p>
        </w:tc>
        <w:tc>
          <w:tcPr>
            <w:tcW w:w="976"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rFonts w:hint="eastAsia" w:ascii="仿宋" w:hAnsi="仿宋" w:eastAsia="仿宋" w:cs="仿宋"/>
                <w:kern w:val="0"/>
                <w:sz w:val="24"/>
              </w:rPr>
              <w:t>≦15</w:t>
            </w:r>
            <w:r>
              <w:rPr>
                <w:kern w:val="0"/>
                <w:sz w:val="24"/>
              </w:rPr>
              <w:t>%</w:t>
            </w:r>
          </w:p>
        </w:tc>
        <w:tc>
          <w:tcPr>
            <w:tcW w:w="122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≥2</w:t>
            </w:r>
            <w:r>
              <w:rPr>
                <w:rFonts w:hint="eastAsia"/>
                <w:kern w:val="0"/>
                <w:sz w:val="24"/>
              </w:rPr>
              <w:t>0</w:t>
            </w:r>
            <w:r>
              <w:rPr>
                <w:kern w:val="0"/>
                <w:sz w:val="24"/>
              </w:rPr>
              <w:t>%</w:t>
            </w:r>
          </w:p>
        </w:tc>
        <w:tc>
          <w:tcPr>
            <w:tcW w:w="1360" w:type="dxa"/>
            <w:tcBorders>
              <w:top w:val="single" w:color="000000" w:sz="4" w:space="0"/>
              <w:left w:val="nil"/>
              <w:bottom w:val="single" w:color="000000" w:sz="4" w:space="0"/>
              <w:right w:val="single" w:color="auto" w:sz="4" w:space="0"/>
            </w:tcBorders>
            <w:noWrap/>
            <w:vAlign w:val="center"/>
          </w:tcPr>
          <w:p>
            <w:pPr>
              <w:widowControl/>
              <w:spacing w:line="572" w:lineRule="exact"/>
              <w:jc w:val="center"/>
              <w:textAlignment w:val="center"/>
              <w:rPr>
                <w:rFonts w:eastAsia="仿宋_GB2312"/>
                <w:sz w:val="24"/>
              </w:rPr>
            </w:pPr>
            <w:r>
              <w:rPr>
                <w:rFonts w:hint="eastAsia" w:ascii="仿宋" w:hAnsi="仿宋" w:eastAsia="仿宋" w:cs="仿宋"/>
                <w:kern w:val="0"/>
                <w:sz w:val="24"/>
              </w:rPr>
              <w:t>≦</w:t>
            </w:r>
            <w:r>
              <w:rPr>
                <w:rFonts w:hint="eastAsia"/>
                <w:kern w:val="0"/>
                <w:sz w:val="24"/>
              </w:rPr>
              <w:t>30</w:t>
            </w:r>
            <w:r>
              <w:rPr>
                <w:kern w:val="0"/>
                <w:sz w:val="24"/>
              </w:rPr>
              <w:t>%</w:t>
            </w:r>
          </w:p>
        </w:tc>
        <w:tc>
          <w:tcPr>
            <w:tcW w:w="1430" w:type="dxa"/>
            <w:tcBorders>
              <w:top w:val="single" w:color="000000" w:sz="4" w:space="0"/>
              <w:left w:val="nil"/>
              <w:bottom w:val="single" w:color="000000" w:sz="4" w:space="0"/>
              <w:right w:val="single" w:color="000000" w:sz="4" w:space="0"/>
            </w:tcBorders>
            <w:noWrap/>
            <w:vAlign w:val="center"/>
          </w:tcPr>
          <w:p>
            <w:pPr>
              <w:spacing w:line="572" w:lineRule="exact"/>
              <w:jc w:val="center"/>
              <w:textAlignment w:val="center"/>
              <w:rPr>
                <w:rFonts w:eastAsia="仿宋_GB2312"/>
                <w:sz w:val="24"/>
              </w:rPr>
            </w:pPr>
            <w:r>
              <w:rPr>
                <w:kern w:val="0"/>
                <w:sz w:val="24"/>
              </w:rPr>
              <w:t>A表</w:t>
            </w:r>
          </w:p>
        </w:tc>
      </w:tr>
      <w:tr>
        <w:tblPrEx>
          <w:tblCellMar>
            <w:top w:w="0" w:type="dxa"/>
            <w:left w:w="0" w:type="dxa"/>
            <w:bottom w:w="0" w:type="dxa"/>
            <w:right w:w="0" w:type="dxa"/>
          </w:tblCellMar>
        </w:tblPrEx>
        <w:trPr>
          <w:trHeight w:val="500" w:hRule="atLeast"/>
          <w:jc w:val="center"/>
        </w:trPr>
        <w:tc>
          <w:tcPr>
            <w:tcW w:w="563" w:type="dxa"/>
            <w:tcBorders>
              <w:top w:val="single" w:color="000000" w:sz="4" w:space="0"/>
              <w:left w:val="single" w:color="000000" w:sz="4" w:space="0"/>
              <w:bottom w:val="single" w:color="000000" w:sz="4" w:space="0"/>
              <w:right w:val="single" w:color="000000" w:sz="4" w:space="0"/>
            </w:tcBorders>
            <w:noWrap/>
            <w:vAlign w:val="center"/>
          </w:tcPr>
          <w:p>
            <w:pPr>
              <w:widowControl/>
              <w:spacing w:line="572" w:lineRule="exact"/>
              <w:jc w:val="center"/>
              <w:textAlignment w:val="center"/>
              <w:rPr>
                <w:rFonts w:eastAsia="仿宋_GB2312"/>
                <w:kern w:val="0"/>
                <w:sz w:val="24"/>
              </w:rPr>
            </w:pPr>
            <w:r>
              <w:rPr>
                <w:kern w:val="0"/>
                <w:sz w:val="24"/>
              </w:rPr>
              <w:t>3</w:t>
            </w:r>
          </w:p>
        </w:tc>
        <w:tc>
          <w:tcPr>
            <w:tcW w:w="2289"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kern w:val="0"/>
                <w:sz w:val="24"/>
              </w:rPr>
              <w:t>任务完成率</w:t>
            </w:r>
          </w:p>
          <w:p>
            <w:pPr>
              <w:widowControl/>
              <w:spacing w:line="572" w:lineRule="exact"/>
              <w:jc w:val="center"/>
              <w:textAlignment w:val="center"/>
              <w:rPr>
                <w:sz w:val="24"/>
              </w:rPr>
            </w:pPr>
            <w:r>
              <w:rPr>
                <w:rFonts w:hint="eastAsia"/>
                <w:kern w:val="0"/>
                <w:sz w:val="24"/>
              </w:rPr>
              <w:t>（工程完成率）</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ascii="仿宋" w:hAnsi="仿宋" w:eastAsia="仿宋" w:cs="仿宋"/>
                <w:kern w:val="0"/>
                <w:sz w:val="24"/>
              </w:rPr>
              <w:t>≦</w:t>
            </w:r>
            <w:r>
              <w:rPr>
                <w:kern w:val="0"/>
                <w:sz w:val="24"/>
              </w:rPr>
              <w:t>50%</w:t>
            </w:r>
          </w:p>
        </w:tc>
        <w:tc>
          <w:tcPr>
            <w:tcW w:w="143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ascii="仿宋" w:hAnsi="仿宋" w:eastAsia="仿宋" w:cs="仿宋"/>
                <w:kern w:val="0"/>
                <w:sz w:val="24"/>
              </w:rPr>
              <w:t>≦</w:t>
            </w:r>
            <w:r>
              <w:rPr>
                <w:kern w:val="0"/>
                <w:sz w:val="24"/>
              </w:rPr>
              <w:t>50%</w:t>
            </w:r>
          </w:p>
        </w:tc>
        <w:tc>
          <w:tcPr>
            <w:tcW w:w="976"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rFonts w:hint="eastAsia" w:ascii="仿宋" w:hAnsi="仿宋" w:eastAsia="仿宋" w:cs="仿宋"/>
                <w:kern w:val="0"/>
                <w:sz w:val="24"/>
              </w:rPr>
              <w:t>≦50</w:t>
            </w:r>
            <w:r>
              <w:rPr>
                <w:kern w:val="0"/>
                <w:sz w:val="24"/>
              </w:rPr>
              <w:t>%</w:t>
            </w:r>
          </w:p>
        </w:tc>
        <w:tc>
          <w:tcPr>
            <w:tcW w:w="122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b/>
                <w:bCs/>
                <w:sz w:val="24"/>
              </w:rPr>
            </w:pPr>
            <w:r>
              <w:rPr>
                <w:rFonts w:hint="eastAsia" w:ascii="仿宋" w:hAnsi="仿宋" w:eastAsia="仿宋" w:cs="仿宋"/>
                <w:kern w:val="0"/>
                <w:sz w:val="24"/>
              </w:rPr>
              <w:t>≦</w:t>
            </w:r>
            <w:r>
              <w:rPr>
                <w:kern w:val="0"/>
                <w:sz w:val="24"/>
              </w:rPr>
              <w:t>25%</w:t>
            </w:r>
          </w:p>
        </w:tc>
        <w:tc>
          <w:tcPr>
            <w:tcW w:w="1360" w:type="dxa"/>
            <w:tcBorders>
              <w:top w:val="single" w:color="000000" w:sz="4" w:space="0"/>
              <w:left w:val="nil"/>
              <w:bottom w:val="single" w:color="000000" w:sz="4" w:space="0"/>
              <w:right w:val="single" w:color="auto" w:sz="4" w:space="0"/>
            </w:tcBorders>
            <w:noWrap/>
            <w:vAlign w:val="center"/>
          </w:tcPr>
          <w:p>
            <w:pPr>
              <w:widowControl/>
              <w:spacing w:line="572" w:lineRule="exact"/>
              <w:jc w:val="center"/>
              <w:textAlignment w:val="center"/>
              <w:rPr>
                <w:rFonts w:eastAsia="仿宋_GB2312"/>
                <w:sz w:val="24"/>
              </w:rPr>
            </w:pPr>
            <w:r>
              <w:rPr>
                <w:rFonts w:hint="eastAsia" w:ascii="仿宋" w:hAnsi="仿宋" w:eastAsia="仿宋" w:cs="仿宋"/>
                <w:kern w:val="0"/>
                <w:sz w:val="24"/>
              </w:rPr>
              <w:t>≦10</w:t>
            </w:r>
            <w:r>
              <w:rPr>
                <w:kern w:val="0"/>
                <w:sz w:val="24"/>
              </w:rPr>
              <w:t>%</w:t>
            </w:r>
          </w:p>
        </w:tc>
        <w:tc>
          <w:tcPr>
            <w:tcW w:w="1430" w:type="dxa"/>
            <w:tcBorders>
              <w:top w:val="single" w:color="000000" w:sz="4" w:space="0"/>
              <w:left w:val="nil"/>
              <w:bottom w:val="single" w:color="000000" w:sz="4" w:space="0"/>
              <w:right w:val="single" w:color="000000" w:sz="4" w:space="0"/>
            </w:tcBorders>
            <w:noWrap/>
            <w:vAlign w:val="center"/>
          </w:tcPr>
          <w:p>
            <w:pPr>
              <w:spacing w:line="572" w:lineRule="exact"/>
              <w:jc w:val="center"/>
              <w:textAlignment w:val="center"/>
              <w:rPr>
                <w:rFonts w:eastAsia="仿宋_GB2312"/>
                <w:sz w:val="24"/>
              </w:rPr>
            </w:pPr>
            <w:r>
              <w:rPr>
                <w:sz w:val="24"/>
              </w:rPr>
              <w:t>B表</w:t>
            </w:r>
          </w:p>
        </w:tc>
      </w:tr>
      <w:tr>
        <w:tblPrEx>
          <w:tblCellMar>
            <w:top w:w="0" w:type="dxa"/>
            <w:left w:w="0" w:type="dxa"/>
            <w:bottom w:w="0" w:type="dxa"/>
            <w:right w:w="0" w:type="dxa"/>
          </w:tblCellMar>
        </w:tblPrEx>
        <w:trPr>
          <w:trHeight w:val="500" w:hRule="atLeast"/>
          <w:jc w:val="center"/>
        </w:trPr>
        <w:tc>
          <w:tcPr>
            <w:tcW w:w="563" w:type="dxa"/>
            <w:tcBorders>
              <w:top w:val="single" w:color="000000" w:sz="4" w:space="0"/>
              <w:left w:val="single" w:color="000000" w:sz="4" w:space="0"/>
              <w:bottom w:val="single" w:color="000000" w:sz="4" w:space="0"/>
              <w:right w:val="single" w:color="000000" w:sz="4" w:space="0"/>
            </w:tcBorders>
            <w:noWrap/>
            <w:vAlign w:val="center"/>
          </w:tcPr>
          <w:p>
            <w:pPr>
              <w:widowControl/>
              <w:spacing w:line="572" w:lineRule="exact"/>
              <w:jc w:val="center"/>
              <w:textAlignment w:val="center"/>
              <w:rPr>
                <w:rFonts w:eastAsia="仿宋_GB2312"/>
                <w:kern w:val="0"/>
                <w:sz w:val="24"/>
              </w:rPr>
            </w:pPr>
            <w:r>
              <w:rPr>
                <w:kern w:val="0"/>
                <w:sz w:val="24"/>
              </w:rPr>
              <w:t>4</w:t>
            </w:r>
          </w:p>
        </w:tc>
        <w:tc>
          <w:tcPr>
            <w:tcW w:w="2289"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服务质量满意度</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w:t>
            </w:r>
          </w:p>
        </w:tc>
        <w:tc>
          <w:tcPr>
            <w:tcW w:w="143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w:t>
            </w:r>
          </w:p>
        </w:tc>
        <w:tc>
          <w:tcPr>
            <w:tcW w:w="976"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kern w:val="0"/>
                <w:sz w:val="24"/>
              </w:rPr>
              <w:t>-</w:t>
            </w:r>
          </w:p>
        </w:tc>
        <w:tc>
          <w:tcPr>
            <w:tcW w:w="122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spacing w:line="572" w:lineRule="exact"/>
              <w:jc w:val="center"/>
              <w:rPr>
                <w:rFonts w:eastAsia="仿宋_GB2312"/>
                <w:sz w:val="24"/>
              </w:rPr>
            </w:pPr>
            <w:r>
              <w:rPr>
                <w:kern w:val="0"/>
                <w:sz w:val="24"/>
              </w:rPr>
              <w:t>≥3</w:t>
            </w:r>
            <w:r>
              <w:rPr>
                <w:rFonts w:hint="eastAsia"/>
                <w:kern w:val="0"/>
                <w:sz w:val="24"/>
              </w:rPr>
              <w:t>0</w:t>
            </w:r>
            <w:r>
              <w:rPr>
                <w:kern w:val="0"/>
                <w:sz w:val="24"/>
              </w:rPr>
              <w:t>%</w:t>
            </w:r>
          </w:p>
        </w:tc>
        <w:tc>
          <w:tcPr>
            <w:tcW w:w="1360" w:type="dxa"/>
            <w:tcBorders>
              <w:top w:val="single" w:color="000000" w:sz="4" w:space="0"/>
              <w:left w:val="nil"/>
              <w:bottom w:val="single" w:color="000000" w:sz="4" w:space="0"/>
              <w:right w:val="single" w:color="auto" w:sz="4" w:space="0"/>
            </w:tcBorders>
            <w:noWrap/>
            <w:vAlign w:val="center"/>
          </w:tcPr>
          <w:p>
            <w:pPr>
              <w:widowControl/>
              <w:spacing w:line="572" w:lineRule="exact"/>
              <w:jc w:val="center"/>
              <w:textAlignment w:val="center"/>
              <w:rPr>
                <w:rFonts w:eastAsia="仿宋_GB2312"/>
                <w:kern w:val="0"/>
                <w:sz w:val="24"/>
              </w:rPr>
            </w:pPr>
            <w:r>
              <w:rPr>
                <w:kern w:val="0"/>
                <w:sz w:val="24"/>
              </w:rPr>
              <w:t>-</w:t>
            </w:r>
          </w:p>
        </w:tc>
        <w:tc>
          <w:tcPr>
            <w:tcW w:w="1430" w:type="dxa"/>
            <w:tcBorders>
              <w:top w:val="single" w:color="000000" w:sz="4" w:space="0"/>
              <w:left w:val="nil"/>
              <w:bottom w:val="single" w:color="000000" w:sz="4" w:space="0"/>
              <w:right w:val="single" w:color="000000" w:sz="4" w:space="0"/>
            </w:tcBorders>
            <w:noWrap/>
            <w:vAlign w:val="center"/>
          </w:tcPr>
          <w:p>
            <w:pPr>
              <w:spacing w:line="572" w:lineRule="exact"/>
              <w:jc w:val="center"/>
              <w:rPr>
                <w:rFonts w:eastAsia="仿宋_GB2312"/>
                <w:sz w:val="24"/>
              </w:rPr>
            </w:pPr>
            <w:r>
              <w:rPr>
                <w:sz w:val="24"/>
              </w:rPr>
              <w:t>B表</w:t>
            </w:r>
          </w:p>
        </w:tc>
      </w:tr>
      <w:tr>
        <w:tblPrEx>
          <w:tblCellMar>
            <w:top w:w="0" w:type="dxa"/>
            <w:left w:w="0" w:type="dxa"/>
            <w:bottom w:w="0" w:type="dxa"/>
            <w:right w:w="0" w:type="dxa"/>
          </w:tblCellMar>
        </w:tblPrEx>
        <w:trPr>
          <w:trHeight w:val="500" w:hRule="atLeast"/>
          <w:jc w:val="center"/>
        </w:trPr>
        <w:tc>
          <w:tcPr>
            <w:tcW w:w="563" w:type="dxa"/>
            <w:tcBorders>
              <w:top w:val="single" w:color="000000" w:sz="4" w:space="0"/>
              <w:left w:val="single" w:color="000000" w:sz="4" w:space="0"/>
              <w:bottom w:val="single" w:color="000000" w:sz="4" w:space="0"/>
              <w:right w:val="single" w:color="000000" w:sz="4" w:space="0"/>
            </w:tcBorders>
            <w:noWrap/>
            <w:vAlign w:val="center"/>
          </w:tcPr>
          <w:p>
            <w:pPr>
              <w:widowControl/>
              <w:spacing w:line="572" w:lineRule="exact"/>
              <w:jc w:val="center"/>
              <w:textAlignment w:val="center"/>
              <w:rPr>
                <w:rFonts w:eastAsia="仿宋_GB2312"/>
                <w:kern w:val="0"/>
                <w:sz w:val="24"/>
              </w:rPr>
            </w:pPr>
            <w:r>
              <w:rPr>
                <w:kern w:val="0"/>
                <w:sz w:val="24"/>
              </w:rPr>
              <w:t>5</w:t>
            </w:r>
          </w:p>
        </w:tc>
        <w:tc>
          <w:tcPr>
            <w:tcW w:w="2289"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行业个性指标</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rFonts w:hint="eastAsia" w:ascii="仿宋" w:hAnsi="仿宋" w:eastAsia="仿宋" w:cs="仿宋"/>
                <w:kern w:val="0"/>
                <w:sz w:val="24"/>
              </w:rPr>
              <w:t>≦</w:t>
            </w:r>
            <w:r>
              <w:rPr>
                <w:kern w:val="0"/>
                <w:sz w:val="24"/>
              </w:rPr>
              <w:t>5%</w:t>
            </w:r>
          </w:p>
        </w:tc>
        <w:tc>
          <w:tcPr>
            <w:tcW w:w="143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rFonts w:hint="eastAsia" w:ascii="仿宋" w:hAnsi="仿宋" w:eastAsia="仿宋" w:cs="仿宋"/>
                <w:kern w:val="0"/>
                <w:sz w:val="24"/>
              </w:rPr>
              <w:t>≦</w:t>
            </w:r>
            <w:r>
              <w:rPr>
                <w:kern w:val="0"/>
                <w:sz w:val="24"/>
              </w:rPr>
              <w:t>1</w:t>
            </w:r>
            <w:r>
              <w:rPr>
                <w:rFonts w:hint="eastAsia"/>
                <w:kern w:val="0"/>
                <w:sz w:val="24"/>
              </w:rPr>
              <w:t>0</w:t>
            </w:r>
            <w:r>
              <w:rPr>
                <w:kern w:val="0"/>
                <w:sz w:val="24"/>
              </w:rPr>
              <w:t>%</w:t>
            </w:r>
          </w:p>
        </w:tc>
        <w:tc>
          <w:tcPr>
            <w:tcW w:w="976"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rFonts w:hint="eastAsia" w:ascii="仿宋" w:hAnsi="仿宋" w:eastAsia="仿宋" w:cs="仿宋"/>
                <w:kern w:val="0"/>
                <w:sz w:val="24"/>
              </w:rPr>
              <w:t>≦15</w:t>
            </w:r>
            <w:r>
              <w:rPr>
                <w:kern w:val="0"/>
                <w:sz w:val="24"/>
              </w:rPr>
              <w:t>%</w:t>
            </w:r>
          </w:p>
        </w:tc>
        <w:tc>
          <w:tcPr>
            <w:tcW w:w="122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spacing w:line="572" w:lineRule="exact"/>
              <w:jc w:val="center"/>
              <w:rPr>
                <w:rFonts w:eastAsia="仿宋_GB2312"/>
                <w:kern w:val="0"/>
                <w:sz w:val="24"/>
              </w:rPr>
            </w:pPr>
            <w:r>
              <w:rPr>
                <w:kern w:val="0"/>
                <w:sz w:val="24"/>
              </w:rPr>
              <w:t>-</w:t>
            </w:r>
          </w:p>
        </w:tc>
        <w:tc>
          <w:tcPr>
            <w:tcW w:w="1360" w:type="dxa"/>
            <w:tcBorders>
              <w:top w:val="single" w:color="000000" w:sz="4" w:space="0"/>
              <w:left w:val="nil"/>
              <w:bottom w:val="single" w:color="000000" w:sz="4" w:space="0"/>
              <w:right w:val="single" w:color="auto" w:sz="4" w:space="0"/>
            </w:tcBorders>
            <w:noWrap/>
            <w:vAlign w:val="center"/>
          </w:tcPr>
          <w:p>
            <w:pPr>
              <w:widowControl/>
              <w:spacing w:line="572" w:lineRule="exact"/>
              <w:jc w:val="center"/>
              <w:textAlignment w:val="center"/>
              <w:rPr>
                <w:rFonts w:eastAsia="仿宋_GB2312"/>
                <w:kern w:val="0"/>
                <w:sz w:val="24"/>
              </w:rPr>
            </w:pPr>
            <w:r>
              <w:rPr>
                <w:rFonts w:hint="eastAsia" w:ascii="仿宋" w:hAnsi="仿宋" w:eastAsia="仿宋" w:cs="仿宋"/>
                <w:kern w:val="0"/>
                <w:sz w:val="24"/>
              </w:rPr>
              <w:t>≦10</w:t>
            </w:r>
            <w:r>
              <w:rPr>
                <w:kern w:val="0"/>
                <w:sz w:val="24"/>
              </w:rPr>
              <w:t>%</w:t>
            </w:r>
          </w:p>
        </w:tc>
        <w:tc>
          <w:tcPr>
            <w:tcW w:w="1430" w:type="dxa"/>
            <w:tcBorders>
              <w:top w:val="single" w:color="000000" w:sz="4" w:space="0"/>
              <w:left w:val="nil"/>
              <w:bottom w:val="single" w:color="000000" w:sz="4" w:space="0"/>
              <w:right w:val="single" w:color="000000" w:sz="4" w:space="0"/>
            </w:tcBorders>
            <w:noWrap/>
            <w:vAlign w:val="center"/>
          </w:tcPr>
          <w:p>
            <w:pPr>
              <w:spacing w:line="572" w:lineRule="exact"/>
              <w:jc w:val="center"/>
              <w:rPr>
                <w:rFonts w:eastAsia="仿宋_GB2312"/>
                <w:sz w:val="24"/>
              </w:rPr>
            </w:pPr>
            <w:r>
              <w:rPr>
                <w:sz w:val="24"/>
              </w:rPr>
              <w:t>B表</w:t>
            </w:r>
          </w:p>
        </w:tc>
      </w:tr>
      <w:tr>
        <w:tblPrEx>
          <w:tblCellMar>
            <w:top w:w="0" w:type="dxa"/>
            <w:left w:w="0" w:type="dxa"/>
            <w:bottom w:w="0" w:type="dxa"/>
            <w:right w:w="0" w:type="dxa"/>
          </w:tblCellMar>
        </w:tblPrEx>
        <w:trPr>
          <w:trHeight w:val="500" w:hRule="atLeast"/>
          <w:jc w:val="center"/>
        </w:trPr>
        <w:tc>
          <w:tcPr>
            <w:tcW w:w="563" w:type="dxa"/>
            <w:tcBorders>
              <w:top w:val="single" w:color="000000" w:sz="4" w:space="0"/>
              <w:left w:val="single" w:color="000000" w:sz="4" w:space="0"/>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p>
        </w:tc>
        <w:tc>
          <w:tcPr>
            <w:tcW w:w="2289"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合计</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sz w:val="24"/>
              </w:rPr>
              <w:t>=100%</w:t>
            </w:r>
          </w:p>
        </w:tc>
        <w:tc>
          <w:tcPr>
            <w:tcW w:w="143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sz w:val="24"/>
              </w:rPr>
              <w:t>=100%</w:t>
            </w:r>
          </w:p>
        </w:tc>
        <w:tc>
          <w:tcPr>
            <w:tcW w:w="976"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widowControl/>
              <w:spacing w:line="572" w:lineRule="exact"/>
              <w:jc w:val="center"/>
              <w:textAlignment w:val="center"/>
              <w:rPr>
                <w:sz w:val="24"/>
              </w:rPr>
            </w:pPr>
            <w:r>
              <w:rPr>
                <w:sz w:val="24"/>
              </w:rPr>
              <w:t>=100%</w:t>
            </w:r>
          </w:p>
        </w:tc>
        <w:tc>
          <w:tcPr>
            <w:tcW w:w="1220" w:type="dxa"/>
            <w:tcBorders>
              <w:top w:val="single" w:color="000000" w:sz="4" w:space="0"/>
              <w:left w:val="nil"/>
              <w:bottom w:val="single" w:color="000000" w:sz="4" w:space="0"/>
              <w:right w:val="single" w:color="auto" w:sz="4" w:space="0"/>
            </w:tcBorders>
            <w:noWrap/>
            <w:tcMar>
              <w:top w:w="15" w:type="dxa"/>
              <w:left w:w="15" w:type="dxa"/>
              <w:bottom w:w="0" w:type="dxa"/>
              <w:right w:w="15" w:type="dxa"/>
            </w:tcMar>
            <w:vAlign w:val="center"/>
          </w:tcPr>
          <w:p>
            <w:pPr>
              <w:spacing w:line="572" w:lineRule="exact"/>
              <w:jc w:val="center"/>
              <w:rPr>
                <w:rFonts w:eastAsia="仿宋_GB2312"/>
                <w:sz w:val="24"/>
              </w:rPr>
            </w:pPr>
            <w:r>
              <w:rPr>
                <w:kern w:val="0"/>
                <w:sz w:val="24"/>
              </w:rPr>
              <w:t>=100%</w:t>
            </w:r>
          </w:p>
        </w:tc>
        <w:tc>
          <w:tcPr>
            <w:tcW w:w="1360" w:type="dxa"/>
            <w:tcBorders>
              <w:top w:val="single" w:color="000000" w:sz="4" w:space="0"/>
              <w:left w:val="nil"/>
              <w:bottom w:val="single" w:color="000000" w:sz="4" w:space="0"/>
              <w:right w:val="single" w:color="auto" w:sz="4" w:space="0"/>
            </w:tcBorders>
            <w:noWrap/>
            <w:vAlign w:val="center"/>
          </w:tcPr>
          <w:p>
            <w:pPr>
              <w:widowControl/>
              <w:spacing w:line="572" w:lineRule="exact"/>
              <w:jc w:val="center"/>
              <w:textAlignment w:val="center"/>
              <w:rPr>
                <w:rFonts w:eastAsia="仿宋_GB2312"/>
                <w:sz w:val="24"/>
              </w:rPr>
            </w:pPr>
            <w:r>
              <w:rPr>
                <w:kern w:val="0"/>
                <w:sz w:val="24"/>
              </w:rPr>
              <w:t>=100%</w:t>
            </w:r>
          </w:p>
        </w:tc>
        <w:tc>
          <w:tcPr>
            <w:tcW w:w="1430" w:type="dxa"/>
            <w:tcBorders>
              <w:top w:val="single" w:color="000000" w:sz="4" w:space="0"/>
              <w:left w:val="nil"/>
              <w:bottom w:val="single" w:color="000000" w:sz="4" w:space="0"/>
              <w:right w:val="single" w:color="000000" w:sz="4" w:space="0"/>
            </w:tcBorders>
            <w:noWrap/>
            <w:vAlign w:val="center"/>
          </w:tcPr>
          <w:p>
            <w:pPr>
              <w:spacing w:line="572" w:lineRule="exact"/>
              <w:jc w:val="center"/>
              <w:rPr>
                <w:rFonts w:eastAsia="仿宋_GB2312"/>
                <w:sz w:val="24"/>
              </w:rPr>
            </w:pPr>
            <w:r>
              <w:rPr>
                <w:kern w:val="0"/>
                <w:sz w:val="24"/>
              </w:rPr>
              <w:t>-</w:t>
            </w:r>
          </w:p>
        </w:tc>
      </w:tr>
    </w:tbl>
    <w:p>
      <w:pPr>
        <w:spacing w:line="572" w:lineRule="exact"/>
        <w:ind w:left="420"/>
      </w:pPr>
    </w:p>
    <w:p>
      <w:pPr>
        <w:spacing w:line="572" w:lineRule="exact"/>
      </w:pPr>
      <w:r>
        <w:rPr>
          <w:rFonts w:hint="eastAsia"/>
        </w:rPr>
        <w:t>注：1.没有设下限的指标，企业可根据实际情况不选择，其权重可分配到其他经济指标权重为大于等于数中。</w:t>
      </w:r>
    </w:p>
    <w:p>
      <w:pPr>
        <w:spacing w:line="572" w:lineRule="exact"/>
      </w:pPr>
      <w:r>
        <w:rPr>
          <w:rFonts w:hint="eastAsia"/>
        </w:rPr>
        <w:t xml:space="preserve">    2.仅选用</w:t>
      </w:r>
      <w:r>
        <w:rPr>
          <w:rFonts w:hint="eastAsia"/>
          <w:lang w:eastAsia="zh-CN"/>
        </w:rPr>
        <w:t>两个指标</w:t>
      </w:r>
      <w:r>
        <w:rPr>
          <w:rFonts w:hint="eastAsia"/>
        </w:rPr>
        <w:t>的，归母净利润或净资产收益率需大于另一个经济指标，且至少不小于等于10%。</w:t>
      </w:r>
    </w:p>
    <w:p>
      <w:pPr>
        <w:spacing w:line="572" w:lineRule="exact"/>
        <w:rPr>
          <w:rFonts w:eastAsia="黑体"/>
          <w:sz w:val="32"/>
        </w:rPr>
      </w:pPr>
      <w:r>
        <w:rPr>
          <w:rFonts w:eastAsia="黑体"/>
          <w:sz w:val="32"/>
        </w:rPr>
        <w:br w:type="page"/>
      </w:r>
      <w:r>
        <w:rPr>
          <w:rFonts w:eastAsia="黑体"/>
          <w:sz w:val="32"/>
        </w:rPr>
        <w:t>附件2</w:t>
      </w:r>
    </w:p>
    <w:p>
      <w:pPr>
        <w:spacing w:line="572" w:lineRule="exact"/>
        <w:rPr>
          <w:rFonts w:eastAsia="黑体"/>
          <w:sz w:val="32"/>
        </w:rPr>
      </w:pPr>
    </w:p>
    <w:p>
      <w:pPr>
        <w:spacing w:line="572" w:lineRule="exact"/>
        <w:ind w:firstLine="880"/>
        <w:jc w:val="center"/>
        <w:rPr>
          <w:rFonts w:eastAsia="黑体"/>
          <w:sz w:val="44"/>
        </w:rPr>
      </w:pPr>
      <w:r>
        <w:rPr>
          <w:rFonts w:eastAsia="方正小标宋简体"/>
          <w:kern w:val="0"/>
          <w:sz w:val="44"/>
          <w:szCs w:val="36"/>
        </w:rPr>
        <w:t>工资总额联动系数A表</w:t>
      </w:r>
    </w:p>
    <w:p>
      <w:pPr>
        <w:spacing w:line="572" w:lineRule="exact"/>
        <w:ind w:firstLine="420" w:firstLineChars="200"/>
        <w:rPr>
          <w:rFonts w:eastAsia="仿宋_GB2312"/>
        </w:rPr>
      </w:pPr>
    </w:p>
    <w:tbl>
      <w:tblPr>
        <w:tblStyle w:val="7"/>
        <w:tblW w:w="0" w:type="auto"/>
        <w:jc w:val="center"/>
        <w:tblLayout w:type="fixed"/>
        <w:tblCellMar>
          <w:top w:w="0" w:type="dxa"/>
          <w:left w:w="0" w:type="dxa"/>
          <w:bottom w:w="0" w:type="dxa"/>
          <w:right w:w="0" w:type="dxa"/>
        </w:tblCellMar>
      </w:tblPr>
      <w:tblGrid>
        <w:gridCol w:w="3372"/>
        <w:gridCol w:w="1494"/>
        <w:gridCol w:w="1495"/>
        <w:gridCol w:w="1494"/>
        <w:gridCol w:w="1495"/>
      </w:tblGrid>
      <w:tr>
        <w:tblPrEx>
          <w:tblCellMar>
            <w:top w:w="0" w:type="dxa"/>
            <w:left w:w="0" w:type="dxa"/>
            <w:bottom w:w="0" w:type="dxa"/>
            <w:right w:w="0" w:type="dxa"/>
          </w:tblCellMar>
        </w:tblPrEx>
        <w:trPr>
          <w:trHeight w:val="502" w:hRule="atLeast"/>
          <w:jc w:val="center"/>
        </w:trPr>
        <w:tc>
          <w:tcPr>
            <w:tcW w:w="3372" w:type="dxa"/>
            <w:vMerge w:val="restart"/>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联动指标的增幅</w:t>
            </w:r>
          </w:p>
        </w:tc>
        <w:tc>
          <w:tcPr>
            <w:tcW w:w="2989" w:type="dxa"/>
            <w:gridSpan w:val="2"/>
            <w:tcBorders>
              <w:top w:val="single" w:color="000000" w:sz="4" w:space="0"/>
              <w:left w:val="nil"/>
              <w:bottom w:val="single" w:color="auto"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sz w:val="24"/>
              </w:rPr>
              <w:t>A1</w:t>
            </w:r>
          </w:p>
        </w:tc>
        <w:tc>
          <w:tcPr>
            <w:tcW w:w="2989" w:type="dxa"/>
            <w:gridSpan w:val="2"/>
            <w:tcBorders>
              <w:top w:val="single" w:color="000000" w:sz="4" w:space="0"/>
              <w:left w:val="nil"/>
              <w:bottom w:val="single" w:color="auto" w:sz="4" w:space="0"/>
              <w:right w:val="single" w:color="000000" w:sz="4" w:space="0"/>
            </w:tcBorders>
            <w:noWrap/>
            <w:vAlign w:val="center"/>
          </w:tcPr>
          <w:p>
            <w:pPr>
              <w:widowControl/>
              <w:spacing w:line="572" w:lineRule="exact"/>
              <w:jc w:val="center"/>
              <w:textAlignment w:val="center"/>
              <w:rPr>
                <w:rFonts w:eastAsia="仿宋_GB2312"/>
                <w:kern w:val="0"/>
                <w:sz w:val="24"/>
              </w:rPr>
            </w:pPr>
            <w:r>
              <w:rPr>
                <w:kern w:val="0"/>
                <w:sz w:val="24"/>
              </w:rPr>
              <w:t>A2</w:t>
            </w:r>
          </w:p>
        </w:tc>
      </w:tr>
      <w:tr>
        <w:tblPrEx>
          <w:tblCellMar>
            <w:top w:w="0" w:type="dxa"/>
            <w:left w:w="0" w:type="dxa"/>
            <w:bottom w:w="0" w:type="dxa"/>
            <w:right w:w="0" w:type="dxa"/>
          </w:tblCellMar>
        </w:tblPrEx>
        <w:trPr>
          <w:trHeight w:val="502" w:hRule="atLeast"/>
          <w:jc w:val="center"/>
        </w:trPr>
        <w:tc>
          <w:tcPr>
            <w:tcW w:w="3372" w:type="dxa"/>
            <w:vMerge w:val="continue"/>
            <w:tcBorders>
              <w:top w:val="single" w:color="000000" w:sz="4" w:space="0"/>
              <w:left w:val="single" w:color="000000" w:sz="4" w:space="0"/>
              <w:bottom w:val="single" w:color="000000" w:sz="4" w:space="0"/>
              <w:right w:val="single" w:color="000000" w:sz="4" w:space="0"/>
            </w:tcBorders>
            <w:noWrap/>
            <w:vAlign w:val="center"/>
          </w:tcPr>
          <w:p>
            <w:pPr>
              <w:widowControl/>
              <w:spacing w:line="572" w:lineRule="exact"/>
              <w:jc w:val="left"/>
              <w:rPr>
                <w:rFonts w:eastAsia="仿宋_GB2312"/>
                <w:sz w:val="24"/>
              </w:rPr>
            </w:pPr>
          </w:p>
        </w:tc>
        <w:tc>
          <w:tcPr>
            <w:tcW w:w="1494" w:type="dxa"/>
            <w:tcBorders>
              <w:top w:val="single" w:color="auto" w:sz="4" w:space="0"/>
              <w:left w:val="nil"/>
              <w:bottom w:val="single" w:color="000000" w:sz="4" w:space="0"/>
              <w:right w:val="single" w:color="000000" w:sz="4" w:space="0"/>
            </w:tcBorders>
            <w:noWrap/>
            <w:tcMar>
              <w:top w:w="15" w:type="dxa"/>
              <w:left w:w="15" w:type="dxa"/>
              <w:bottom w:w="0" w:type="dxa"/>
              <w:right w:w="15" w:type="dxa"/>
            </w:tcMar>
            <w:vAlign w:val="center"/>
          </w:tcPr>
          <w:p>
            <w:pPr>
              <w:spacing w:line="572" w:lineRule="exact"/>
              <w:jc w:val="center"/>
              <w:textAlignment w:val="center"/>
              <w:rPr>
                <w:rFonts w:eastAsia="仿宋_GB2312"/>
                <w:sz w:val="24"/>
              </w:rPr>
            </w:pPr>
            <w:r>
              <w:rPr>
                <w:kern w:val="0"/>
                <w:sz w:val="24"/>
              </w:rPr>
              <w:t>对应联动系数</w:t>
            </w:r>
          </w:p>
        </w:tc>
        <w:tc>
          <w:tcPr>
            <w:tcW w:w="1495" w:type="dxa"/>
            <w:tcBorders>
              <w:top w:val="single" w:color="auto" w:sz="4" w:space="0"/>
              <w:left w:val="nil"/>
              <w:bottom w:val="single" w:color="000000" w:sz="4" w:space="0"/>
              <w:right w:val="single" w:color="000000" w:sz="4" w:space="0"/>
            </w:tcBorders>
            <w:noWrap/>
            <w:tcMar>
              <w:top w:w="15" w:type="dxa"/>
              <w:left w:w="15" w:type="dxa"/>
              <w:bottom w:w="0" w:type="dxa"/>
              <w:right w:w="15" w:type="dxa"/>
            </w:tcMar>
            <w:vAlign w:val="center"/>
          </w:tcPr>
          <w:p>
            <w:pPr>
              <w:spacing w:line="572" w:lineRule="exact"/>
              <w:jc w:val="center"/>
              <w:rPr>
                <w:rFonts w:eastAsia="仿宋_GB2312"/>
                <w:sz w:val="24"/>
              </w:rPr>
            </w:pPr>
            <w:r>
              <w:rPr>
                <w:kern w:val="0"/>
                <w:sz w:val="24"/>
              </w:rPr>
              <w:t>速算修正数</w:t>
            </w:r>
          </w:p>
        </w:tc>
        <w:tc>
          <w:tcPr>
            <w:tcW w:w="1494" w:type="dxa"/>
            <w:tcBorders>
              <w:top w:val="single" w:color="auto" w:sz="4" w:space="0"/>
              <w:left w:val="nil"/>
              <w:bottom w:val="single" w:color="000000" w:sz="4" w:space="0"/>
              <w:right w:val="single" w:color="000000" w:sz="4" w:space="0"/>
            </w:tcBorders>
            <w:noWrap/>
            <w:vAlign w:val="center"/>
          </w:tcPr>
          <w:p>
            <w:pPr>
              <w:spacing w:line="572" w:lineRule="exact"/>
              <w:jc w:val="center"/>
              <w:textAlignment w:val="center"/>
              <w:rPr>
                <w:rFonts w:eastAsia="仿宋_GB2312"/>
                <w:sz w:val="24"/>
              </w:rPr>
            </w:pPr>
            <w:r>
              <w:rPr>
                <w:kern w:val="0"/>
                <w:sz w:val="24"/>
              </w:rPr>
              <w:t>对应联动系数</w:t>
            </w:r>
          </w:p>
        </w:tc>
        <w:tc>
          <w:tcPr>
            <w:tcW w:w="1495" w:type="dxa"/>
            <w:tcBorders>
              <w:top w:val="single" w:color="000000" w:sz="4" w:space="0"/>
              <w:left w:val="nil"/>
              <w:bottom w:val="single" w:color="000000" w:sz="4" w:space="0"/>
              <w:right w:val="single" w:color="000000" w:sz="4" w:space="0"/>
            </w:tcBorders>
            <w:noWrap/>
            <w:vAlign w:val="center"/>
          </w:tcPr>
          <w:p>
            <w:pPr>
              <w:spacing w:line="572" w:lineRule="exact"/>
              <w:jc w:val="center"/>
              <w:rPr>
                <w:rFonts w:eastAsia="仿宋_GB2312"/>
                <w:sz w:val="24"/>
              </w:rPr>
            </w:pPr>
            <w:r>
              <w:rPr>
                <w:kern w:val="0"/>
                <w:sz w:val="24"/>
              </w:rPr>
              <w:t>速算修正数</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kern w:val="0"/>
                <w:sz w:val="24"/>
              </w:rPr>
              <w:t>＞</w:t>
            </w:r>
            <w:r>
              <w:rPr>
                <w:kern w:val="0"/>
                <w:sz w:val="24"/>
              </w:rPr>
              <w:t>100%</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0.02</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24%</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0.04</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36%</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60%</w:t>
            </w:r>
            <w:r>
              <w:rPr>
                <w:rFonts w:hint="eastAsia"/>
                <w:kern w:val="0"/>
                <w:sz w:val="24"/>
              </w:rPr>
              <w:t>—</w:t>
            </w:r>
            <w:r>
              <w:rPr>
                <w:kern w:val="0"/>
                <w:sz w:val="24"/>
              </w:rPr>
              <w:t>100%（含）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0.1</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16%</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0.2</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20%</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30%</w:t>
            </w:r>
            <w:r>
              <w:rPr>
                <w:rFonts w:hint="eastAsia"/>
                <w:kern w:val="0"/>
                <w:sz w:val="24"/>
              </w:rPr>
              <w:t>—</w:t>
            </w:r>
            <w:r>
              <w:rPr>
                <w:kern w:val="0"/>
                <w:sz w:val="24"/>
              </w:rPr>
              <w:t>60%（含）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0.2</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10%</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0.4</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8%</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Style w:val="13"/>
                <w:rFonts w:hint="default" w:ascii="Times New Roman" w:hAnsi="Times New Roman"/>
                <w:sz w:val="24"/>
                <w:szCs w:val="24"/>
              </w:rPr>
              <w:t>10%</w:t>
            </w:r>
            <w:r>
              <w:rPr>
                <w:rStyle w:val="13"/>
                <w:rFonts w:ascii="Times New Roman" w:hAnsi="Times New Roman"/>
                <w:sz w:val="24"/>
                <w:szCs w:val="24"/>
              </w:rPr>
              <w:t>—</w:t>
            </w:r>
            <w:r>
              <w:rPr>
                <w:rStyle w:val="13"/>
                <w:rFonts w:hint="default" w:ascii="Times New Roman" w:hAnsi="Times New Roman"/>
                <w:sz w:val="24"/>
                <w:szCs w:val="24"/>
              </w:rPr>
              <w:t>30%</w:t>
            </w:r>
            <w:r>
              <w:rPr>
                <w:rStyle w:val="13"/>
                <w:rFonts w:hint="default" w:ascii="Times New Roman"/>
                <w:sz w:val="24"/>
                <w:szCs w:val="24"/>
              </w:rPr>
              <w:t>（含）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0.4</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4%</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0.6</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2%</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Style w:val="13"/>
                <w:rFonts w:hint="default" w:ascii="Times New Roman" w:hAnsi="Times New Roman"/>
                <w:sz w:val="24"/>
                <w:szCs w:val="24"/>
              </w:rPr>
              <w:t>0%-10%</w:t>
            </w:r>
            <w:r>
              <w:rPr>
                <w:rStyle w:val="13"/>
                <w:rFonts w:hint="default" w:ascii="Times New Roman"/>
                <w:sz w:val="24"/>
                <w:szCs w:val="24"/>
              </w:rPr>
              <w:t>（含）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0.8</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0%</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0.8</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Style w:val="13"/>
                <w:rFonts w:hint="default" w:ascii="Times New Roman" w:hAnsi="Times New Roman"/>
                <w:sz w:val="24"/>
                <w:szCs w:val="24"/>
              </w:rPr>
              <w:t>0%-</w:t>
            </w:r>
            <w:r>
              <w:rPr>
                <w:rStyle w:val="13"/>
                <w:rFonts w:hint="default" w:ascii="Times New Roman"/>
                <w:sz w:val="24"/>
                <w:szCs w:val="24"/>
              </w:rPr>
              <w:t>（</w:t>
            </w:r>
            <w:r>
              <w:rPr>
                <w:rStyle w:val="13"/>
                <w:rFonts w:hint="default" w:ascii="Times New Roman" w:hAnsi="Times New Roman" w:eastAsia="仿宋_GB2312"/>
                <w:sz w:val="24"/>
                <w:szCs w:val="24"/>
              </w:rPr>
              <w:t>-10%</w:t>
            </w:r>
            <w:r>
              <w:rPr>
                <w:rStyle w:val="13"/>
                <w:rFonts w:ascii="Times New Roman" w:hAnsi="Times New Roman" w:eastAsia="仿宋_GB2312"/>
                <w:sz w:val="24"/>
                <w:szCs w:val="24"/>
              </w:rPr>
              <w:t>）（</w:t>
            </w:r>
            <w:r>
              <w:rPr>
                <w:rStyle w:val="13"/>
                <w:rFonts w:hint="default" w:ascii="Times New Roman"/>
                <w:sz w:val="24"/>
                <w:szCs w:val="24"/>
              </w:rPr>
              <w:t>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0.7</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0%</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0.7</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Style w:val="13"/>
                <w:rFonts w:hint="default" w:ascii="Times New Roman" w:hAnsi="Times New Roman"/>
                <w:sz w:val="24"/>
                <w:szCs w:val="24"/>
              </w:rPr>
              <w:t>（</w:t>
            </w:r>
            <w:r>
              <w:rPr>
                <w:rStyle w:val="13"/>
                <w:rFonts w:hint="default" w:ascii="Times New Roman" w:hAnsi="Times New Roman" w:eastAsia="仿宋_GB2312"/>
                <w:sz w:val="24"/>
                <w:szCs w:val="24"/>
              </w:rPr>
              <w:t>-10%</w:t>
            </w:r>
            <w:r>
              <w:rPr>
                <w:rStyle w:val="13"/>
                <w:rFonts w:hint="default" w:ascii="Times New Roman"/>
                <w:sz w:val="24"/>
                <w:szCs w:val="24"/>
              </w:rPr>
              <w:t>）</w:t>
            </w:r>
            <w:r>
              <w:rPr>
                <w:rStyle w:val="13"/>
                <w:rFonts w:hint="default" w:ascii="Times New Roman" w:hAnsi="Times New Roman" w:eastAsia="仿宋_GB2312"/>
                <w:sz w:val="24"/>
                <w:szCs w:val="24"/>
              </w:rPr>
              <w:t>-</w:t>
            </w:r>
            <w:r>
              <w:rPr>
                <w:rStyle w:val="13"/>
                <w:rFonts w:hint="default" w:ascii="Times New Roman"/>
                <w:sz w:val="24"/>
                <w:szCs w:val="24"/>
              </w:rPr>
              <w:t>（</w:t>
            </w:r>
            <w:r>
              <w:rPr>
                <w:rStyle w:val="13"/>
                <w:rFonts w:hint="default" w:ascii="Times New Roman" w:hAnsi="Times New Roman" w:eastAsia="仿宋_GB2312"/>
                <w:sz w:val="24"/>
                <w:szCs w:val="24"/>
              </w:rPr>
              <w:t>-30%</w:t>
            </w:r>
            <w:r>
              <w:rPr>
                <w:rStyle w:val="13"/>
                <w:rFonts w:hint="default" w:ascii="Times New Roman"/>
                <w:sz w:val="24"/>
                <w:szCs w:val="24"/>
              </w:rPr>
              <w:t>）（含）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0.3</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-4%</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0.5</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-2%</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（-30%）-（-60%）（含）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0.2</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-7%</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0.3</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-8%</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（-60%）-（-100%）（含）</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0.1</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-13%</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0.1</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-20%</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rFonts w:hint="eastAsia"/>
                <w:kern w:val="0"/>
                <w:sz w:val="24"/>
              </w:rPr>
              <w:t>＜</w:t>
            </w:r>
            <w:r>
              <w:rPr>
                <w:kern w:val="0"/>
                <w:sz w:val="24"/>
              </w:rPr>
              <w:t>-100%</w:t>
            </w: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0.01</w:t>
            </w: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-22%</w:t>
            </w: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0.02</w:t>
            </w: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-28%</w:t>
            </w:r>
          </w:p>
        </w:tc>
      </w:tr>
      <w:tr>
        <w:tblPrEx>
          <w:tblCellMar>
            <w:top w:w="0" w:type="dxa"/>
            <w:left w:w="0" w:type="dxa"/>
            <w:bottom w:w="0" w:type="dxa"/>
            <w:right w:w="0" w:type="dxa"/>
          </w:tblCellMar>
        </w:tblPrEx>
        <w:trPr>
          <w:trHeight w:val="502" w:hRule="atLeast"/>
          <w:jc w:val="center"/>
        </w:trPr>
        <w:tc>
          <w:tcPr>
            <w:tcW w:w="3372"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p>
        </w:tc>
        <w:tc>
          <w:tcPr>
            <w:tcW w:w="1494"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p>
        </w:tc>
        <w:tc>
          <w:tcPr>
            <w:tcW w:w="1495"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p>
        </w:tc>
        <w:tc>
          <w:tcPr>
            <w:tcW w:w="1494"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p>
        </w:tc>
        <w:tc>
          <w:tcPr>
            <w:tcW w:w="1495"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p>
        </w:tc>
      </w:tr>
    </w:tbl>
    <w:p>
      <w:pPr>
        <w:spacing w:beforeLines="50" w:line="572" w:lineRule="exact"/>
        <w:rPr>
          <w:rFonts w:eastAsia="仿宋_GB2312"/>
          <w:sz w:val="32"/>
          <w:szCs w:val="32"/>
        </w:rPr>
      </w:pPr>
      <w:r>
        <w:t>注：本表适用于计算归母净利润（或净资产收益率）、</w:t>
      </w:r>
      <w:r>
        <w:rPr>
          <w:rFonts w:hint="eastAsia"/>
        </w:rPr>
        <w:t>营业收入</w:t>
      </w:r>
      <w:r>
        <w:t>联动指标所挂钩的工资增幅。</w:t>
      </w:r>
    </w:p>
    <w:p>
      <w:pPr>
        <w:spacing w:line="572" w:lineRule="exact"/>
      </w:pPr>
    </w:p>
    <w:p>
      <w:pPr>
        <w:spacing w:line="572" w:lineRule="exact"/>
        <w:rPr>
          <w:rFonts w:eastAsia="黑体"/>
          <w:sz w:val="32"/>
        </w:rPr>
      </w:pPr>
      <w:r>
        <w:rPr>
          <w:rFonts w:eastAsia="黑体"/>
          <w:sz w:val="32"/>
        </w:rPr>
        <w:br w:type="page"/>
      </w:r>
      <w:r>
        <w:rPr>
          <w:rFonts w:eastAsia="黑体"/>
          <w:sz w:val="32"/>
        </w:rPr>
        <w:t>附件3</w:t>
      </w:r>
    </w:p>
    <w:p>
      <w:pPr>
        <w:spacing w:line="572" w:lineRule="exact"/>
        <w:rPr>
          <w:rFonts w:eastAsia="黑体"/>
          <w:sz w:val="32"/>
        </w:rPr>
      </w:pPr>
    </w:p>
    <w:p>
      <w:pPr>
        <w:spacing w:line="572" w:lineRule="exact"/>
        <w:jc w:val="center"/>
        <w:rPr>
          <w:rFonts w:eastAsia="方正小标宋简体"/>
          <w:kern w:val="0"/>
          <w:sz w:val="44"/>
          <w:szCs w:val="36"/>
        </w:rPr>
      </w:pPr>
      <w:r>
        <w:rPr>
          <w:rFonts w:eastAsia="方正小标宋简体"/>
          <w:kern w:val="0"/>
          <w:sz w:val="44"/>
          <w:szCs w:val="36"/>
        </w:rPr>
        <w:t>工资总额联动系数B表</w:t>
      </w:r>
    </w:p>
    <w:p>
      <w:pPr>
        <w:spacing w:line="572" w:lineRule="exact"/>
        <w:rPr>
          <w:rFonts w:eastAsia="黑体"/>
          <w:sz w:val="32"/>
          <w:szCs w:val="32"/>
        </w:rPr>
      </w:pPr>
    </w:p>
    <w:tbl>
      <w:tblPr>
        <w:tblStyle w:val="7"/>
        <w:tblW w:w="0" w:type="auto"/>
        <w:tblInd w:w="135" w:type="dxa"/>
        <w:tblLayout w:type="fixed"/>
        <w:tblCellMar>
          <w:top w:w="0" w:type="dxa"/>
          <w:left w:w="0" w:type="dxa"/>
          <w:bottom w:w="0" w:type="dxa"/>
          <w:right w:w="0" w:type="dxa"/>
        </w:tblCellMar>
      </w:tblPr>
      <w:tblGrid>
        <w:gridCol w:w="1979"/>
        <w:gridCol w:w="2268"/>
        <w:gridCol w:w="2268"/>
        <w:gridCol w:w="2268"/>
      </w:tblGrid>
      <w:tr>
        <w:tblPrEx>
          <w:tblCellMar>
            <w:top w:w="0" w:type="dxa"/>
            <w:left w:w="0" w:type="dxa"/>
            <w:bottom w:w="0" w:type="dxa"/>
            <w:right w:w="0" w:type="dxa"/>
          </w:tblCellMar>
        </w:tblPrEx>
        <w:trPr>
          <w:trHeight w:val="880" w:hRule="atLeast"/>
        </w:trPr>
        <w:tc>
          <w:tcPr>
            <w:tcW w:w="1979" w:type="dxa"/>
            <w:vMerge w:val="restart"/>
            <w:tcBorders>
              <w:top w:val="single" w:color="000000" w:sz="4" w:space="0"/>
              <w:left w:val="single" w:color="000000" w:sz="4" w:space="0"/>
              <w:bottom w:val="nil"/>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上年度职工平均工资与全省</w:t>
            </w:r>
            <w:r>
              <w:rPr>
                <w:rFonts w:hint="eastAsia"/>
                <w:kern w:val="0"/>
                <w:sz w:val="24"/>
              </w:rPr>
              <w:t>非私营单位平均</w:t>
            </w:r>
            <w:r>
              <w:rPr>
                <w:kern w:val="0"/>
                <w:sz w:val="24"/>
              </w:rPr>
              <w:t>工资倍比</w:t>
            </w:r>
          </w:p>
        </w:tc>
        <w:tc>
          <w:tcPr>
            <w:tcW w:w="6804" w:type="dxa"/>
            <w:gridSpan w:val="3"/>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kern w:val="0"/>
                <w:sz w:val="24"/>
              </w:rPr>
            </w:pPr>
            <w:r>
              <w:rPr>
                <w:kern w:val="0"/>
                <w:sz w:val="24"/>
              </w:rPr>
              <w:t>联动工资增幅</w:t>
            </w:r>
          </w:p>
        </w:tc>
      </w:tr>
      <w:tr>
        <w:tblPrEx>
          <w:tblCellMar>
            <w:top w:w="0" w:type="dxa"/>
            <w:left w:w="0" w:type="dxa"/>
            <w:bottom w:w="0" w:type="dxa"/>
            <w:right w:w="0" w:type="dxa"/>
          </w:tblCellMar>
        </w:tblPrEx>
        <w:trPr>
          <w:trHeight w:val="917" w:hRule="atLeast"/>
        </w:trPr>
        <w:tc>
          <w:tcPr>
            <w:tcW w:w="1979" w:type="dxa"/>
            <w:vMerge w:val="continue"/>
            <w:tcBorders>
              <w:top w:val="single" w:color="000000" w:sz="4" w:space="0"/>
              <w:left w:val="single" w:color="000000" w:sz="4" w:space="0"/>
              <w:bottom w:val="nil"/>
              <w:right w:val="single" w:color="000000" w:sz="4" w:space="0"/>
            </w:tcBorders>
            <w:noWrap/>
            <w:vAlign w:val="center"/>
          </w:tcPr>
          <w:p>
            <w:pPr>
              <w:widowControl/>
              <w:spacing w:line="572" w:lineRule="exact"/>
              <w:jc w:val="left"/>
              <w:rPr>
                <w:rFonts w:eastAsia="仿宋_GB2312"/>
                <w:sz w:val="24"/>
              </w:rPr>
            </w:pPr>
          </w:p>
        </w:tc>
        <w:tc>
          <w:tcPr>
            <w:tcW w:w="2268" w:type="dxa"/>
            <w:tcBorders>
              <w:top w:val="single" w:color="000000" w:sz="4" w:space="0"/>
              <w:left w:val="nil"/>
              <w:bottom w:val="nil"/>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sz w:val="24"/>
              </w:rPr>
              <w:t>指标完成率</w:t>
            </w:r>
            <w:r>
              <w:rPr>
                <w:kern w:val="0"/>
                <w:sz w:val="24"/>
              </w:rPr>
              <w:t>≥80%</w:t>
            </w:r>
          </w:p>
        </w:tc>
        <w:tc>
          <w:tcPr>
            <w:tcW w:w="2268" w:type="dxa"/>
            <w:tcBorders>
              <w:top w:val="single" w:color="000000" w:sz="4" w:space="0"/>
              <w:left w:val="nil"/>
              <w:bottom w:val="nil"/>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sz w:val="24"/>
              </w:rPr>
              <w:t>60%≤指标完成率</w:t>
            </w:r>
            <w:r>
              <w:rPr>
                <w:kern w:val="0"/>
                <w:sz w:val="24"/>
              </w:rPr>
              <w:t>＜80%</w:t>
            </w:r>
          </w:p>
        </w:tc>
        <w:tc>
          <w:tcPr>
            <w:tcW w:w="2268" w:type="dxa"/>
            <w:tcBorders>
              <w:top w:val="single" w:color="000000" w:sz="4" w:space="0"/>
              <w:left w:val="nil"/>
              <w:bottom w:val="nil"/>
              <w:right w:val="single" w:color="000000" w:sz="4" w:space="0"/>
            </w:tcBorders>
            <w:noWrap/>
            <w:vAlign w:val="center"/>
          </w:tcPr>
          <w:p>
            <w:pPr>
              <w:widowControl/>
              <w:spacing w:line="572" w:lineRule="exact"/>
              <w:jc w:val="center"/>
              <w:textAlignment w:val="center"/>
              <w:rPr>
                <w:rFonts w:eastAsia="仿宋_GB2312"/>
                <w:sz w:val="24"/>
              </w:rPr>
            </w:pPr>
            <w:r>
              <w:rPr>
                <w:sz w:val="24"/>
              </w:rPr>
              <w:t>指标完成率</w:t>
            </w:r>
            <w:r>
              <w:rPr>
                <w:kern w:val="0"/>
                <w:sz w:val="24"/>
              </w:rPr>
              <w:t>＜60%</w:t>
            </w:r>
          </w:p>
        </w:tc>
      </w:tr>
      <w:tr>
        <w:tblPrEx>
          <w:tblCellMar>
            <w:top w:w="0" w:type="dxa"/>
            <w:left w:w="0" w:type="dxa"/>
            <w:bottom w:w="0" w:type="dxa"/>
            <w:right w:w="0" w:type="dxa"/>
          </w:tblCellMar>
        </w:tblPrEx>
        <w:trPr>
          <w:trHeight w:val="1140" w:hRule="atLeast"/>
        </w:trPr>
        <w:tc>
          <w:tcPr>
            <w:tcW w:w="1979"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≤1.5</w:t>
            </w:r>
          </w:p>
        </w:tc>
        <w:tc>
          <w:tcPr>
            <w:tcW w:w="2268" w:type="dxa"/>
            <w:tcBorders>
              <w:top w:val="single" w:color="000000" w:sz="4" w:space="0"/>
              <w:left w:val="nil"/>
              <w:bottom w:val="single" w:color="auto"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=指标完成率×3×CPI</w:t>
            </w:r>
            <w:r>
              <w:rPr>
                <w:rFonts w:hint="eastAsia"/>
                <w:kern w:val="0"/>
                <w:sz w:val="24"/>
              </w:rPr>
              <w:t>，</w:t>
            </w:r>
            <w:r>
              <w:rPr>
                <w:kern w:val="0"/>
                <w:sz w:val="24"/>
                <w:u w:val="single"/>
              </w:rPr>
              <w:t>最高不超过3×CPI</w:t>
            </w:r>
          </w:p>
        </w:tc>
        <w:tc>
          <w:tcPr>
            <w:tcW w:w="2268"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=指标完成率×2×CPI</w:t>
            </w:r>
            <w:r>
              <w:rPr>
                <w:rFonts w:hint="eastAsia"/>
                <w:kern w:val="0"/>
                <w:sz w:val="24"/>
              </w:rPr>
              <w:t>，</w:t>
            </w:r>
            <w:r>
              <w:rPr>
                <w:kern w:val="0"/>
                <w:sz w:val="24"/>
                <w:u w:val="single"/>
              </w:rPr>
              <w:t>最高不超过2×CPI</w:t>
            </w:r>
          </w:p>
        </w:tc>
        <w:tc>
          <w:tcPr>
            <w:tcW w:w="2268"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=指标完成率×CPI，最</w:t>
            </w:r>
            <w:r>
              <w:rPr>
                <w:kern w:val="0"/>
                <w:sz w:val="24"/>
                <w:u w:val="single"/>
              </w:rPr>
              <w:t>高不超过CPI</w:t>
            </w:r>
          </w:p>
        </w:tc>
      </w:tr>
      <w:tr>
        <w:tblPrEx>
          <w:tblCellMar>
            <w:top w:w="0" w:type="dxa"/>
            <w:left w:w="0" w:type="dxa"/>
            <w:bottom w:w="0" w:type="dxa"/>
            <w:right w:w="0" w:type="dxa"/>
          </w:tblCellMar>
        </w:tblPrEx>
        <w:trPr>
          <w:trHeight w:val="1217" w:hRule="atLeast"/>
        </w:trPr>
        <w:tc>
          <w:tcPr>
            <w:tcW w:w="1979"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1.5 - 3（含）</w:t>
            </w:r>
          </w:p>
        </w:tc>
        <w:tc>
          <w:tcPr>
            <w:tcW w:w="2268" w:type="dxa"/>
            <w:tcBorders>
              <w:top w:val="single" w:color="auto" w:sz="4" w:space="0"/>
              <w:left w:val="nil"/>
              <w:bottom w:val="single" w:color="auto" w:sz="4" w:space="0"/>
              <w:right w:val="single" w:color="000000" w:sz="4" w:space="0"/>
            </w:tcBorders>
            <w:noWrap/>
            <w:tcMar>
              <w:top w:w="15" w:type="dxa"/>
              <w:left w:w="15" w:type="dxa"/>
              <w:bottom w:w="0" w:type="dxa"/>
              <w:right w:w="15" w:type="dxa"/>
            </w:tcMar>
            <w:vAlign w:val="center"/>
          </w:tcPr>
          <w:p>
            <w:pPr>
              <w:spacing w:line="572" w:lineRule="exact"/>
              <w:jc w:val="center"/>
              <w:textAlignment w:val="center"/>
              <w:rPr>
                <w:rFonts w:eastAsia="仿宋_GB2312"/>
                <w:sz w:val="24"/>
              </w:rPr>
            </w:pPr>
            <w:r>
              <w:rPr>
                <w:kern w:val="0"/>
                <w:sz w:val="24"/>
              </w:rPr>
              <w:t>=指标完成率×2×CPI，</w:t>
            </w:r>
            <w:r>
              <w:rPr>
                <w:kern w:val="0"/>
                <w:sz w:val="24"/>
                <w:u w:val="single"/>
              </w:rPr>
              <w:t>最高不超过2×CPI</w:t>
            </w:r>
          </w:p>
        </w:tc>
        <w:tc>
          <w:tcPr>
            <w:tcW w:w="2268"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spacing w:line="572" w:lineRule="exact"/>
              <w:jc w:val="center"/>
              <w:textAlignment w:val="center"/>
              <w:rPr>
                <w:kern w:val="0"/>
                <w:sz w:val="24"/>
              </w:rPr>
            </w:pPr>
            <w:r>
              <w:rPr>
                <w:kern w:val="0"/>
                <w:sz w:val="24"/>
              </w:rPr>
              <w:t>=指标完成率×CPI，</w:t>
            </w:r>
          </w:p>
          <w:p>
            <w:pPr>
              <w:spacing w:line="572" w:lineRule="exact"/>
              <w:jc w:val="center"/>
              <w:textAlignment w:val="center"/>
              <w:rPr>
                <w:rFonts w:eastAsia="仿宋_GB2312"/>
                <w:sz w:val="24"/>
              </w:rPr>
            </w:pPr>
            <w:r>
              <w:rPr>
                <w:kern w:val="0"/>
                <w:sz w:val="24"/>
                <w:u w:val="single"/>
              </w:rPr>
              <w:t>最高不超过CPI</w:t>
            </w:r>
          </w:p>
        </w:tc>
        <w:tc>
          <w:tcPr>
            <w:tcW w:w="2268" w:type="dxa"/>
            <w:tcBorders>
              <w:top w:val="single" w:color="000000" w:sz="4" w:space="0"/>
              <w:left w:val="nil"/>
              <w:bottom w:val="single" w:color="000000" w:sz="4" w:space="0"/>
              <w:right w:val="single" w:color="000000" w:sz="4" w:space="0"/>
            </w:tcBorders>
            <w:noWrap/>
          </w:tcPr>
          <w:p>
            <w:pPr>
              <w:spacing w:line="572" w:lineRule="exact"/>
              <w:textAlignment w:val="center"/>
              <w:rPr>
                <w:kern w:val="0"/>
                <w:sz w:val="24"/>
              </w:rPr>
            </w:pPr>
            <w:r>
              <w:rPr>
                <w:kern w:val="0"/>
                <w:sz w:val="24"/>
              </w:rPr>
              <w:t>=指标完成率×0.5×CPI，</w:t>
            </w:r>
          </w:p>
          <w:p>
            <w:pPr>
              <w:widowControl/>
              <w:spacing w:line="572" w:lineRule="exact"/>
              <w:jc w:val="center"/>
              <w:textAlignment w:val="center"/>
              <w:rPr>
                <w:rFonts w:eastAsia="仿宋_GB2312"/>
                <w:kern w:val="0"/>
                <w:sz w:val="24"/>
              </w:rPr>
            </w:pPr>
            <w:r>
              <w:rPr>
                <w:kern w:val="0"/>
                <w:sz w:val="24"/>
                <w:u w:val="single"/>
              </w:rPr>
              <w:t>最高不超过0.5×CPI</w:t>
            </w:r>
          </w:p>
        </w:tc>
      </w:tr>
      <w:tr>
        <w:tblPrEx>
          <w:tblCellMar>
            <w:top w:w="0" w:type="dxa"/>
            <w:left w:w="0" w:type="dxa"/>
            <w:bottom w:w="0" w:type="dxa"/>
            <w:right w:w="0" w:type="dxa"/>
          </w:tblCellMar>
        </w:tblPrEx>
        <w:trPr>
          <w:trHeight w:val="1249" w:hRule="atLeast"/>
        </w:trPr>
        <w:tc>
          <w:tcPr>
            <w:tcW w:w="1979" w:type="dxa"/>
            <w:tcBorders>
              <w:top w:val="single" w:color="000000" w:sz="4" w:space="0"/>
              <w:left w:val="single" w:color="000000" w:sz="4" w:space="0"/>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rFonts w:eastAsia="仿宋_GB2312"/>
                <w:sz w:val="24"/>
              </w:rPr>
            </w:pPr>
            <w:r>
              <w:rPr>
                <w:kern w:val="0"/>
                <w:sz w:val="24"/>
              </w:rPr>
              <w:t>＞3</w:t>
            </w:r>
          </w:p>
        </w:tc>
        <w:tc>
          <w:tcPr>
            <w:tcW w:w="2268" w:type="dxa"/>
            <w:tcBorders>
              <w:top w:val="single" w:color="auto"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kern w:val="0"/>
                <w:sz w:val="24"/>
              </w:rPr>
              <w:t>=指标完成率×CPI，</w:t>
            </w:r>
          </w:p>
          <w:p>
            <w:pPr>
              <w:widowControl/>
              <w:spacing w:line="572" w:lineRule="exact"/>
              <w:jc w:val="center"/>
              <w:textAlignment w:val="center"/>
              <w:rPr>
                <w:rFonts w:eastAsia="仿宋_GB2312"/>
                <w:sz w:val="24"/>
              </w:rPr>
            </w:pPr>
            <w:r>
              <w:rPr>
                <w:kern w:val="0"/>
                <w:sz w:val="24"/>
                <w:u w:val="single"/>
              </w:rPr>
              <w:t>最高不超过CPI</w:t>
            </w:r>
          </w:p>
        </w:tc>
        <w:tc>
          <w:tcPr>
            <w:tcW w:w="2268" w:type="dxa"/>
            <w:tcBorders>
              <w:top w:val="single" w:color="000000" w:sz="4" w:space="0"/>
              <w:left w:val="nil"/>
              <w:bottom w:val="single" w:color="000000" w:sz="4" w:space="0"/>
              <w:right w:val="single" w:color="000000" w:sz="4" w:space="0"/>
            </w:tcBorders>
            <w:noWrap/>
            <w:tcMar>
              <w:top w:w="15" w:type="dxa"/>
              <w:left w:w="15" w:type="dxa"/>
              <w:bottom w:w="0" w:type="dxa"/>
              <w:right w:w="15" w:type="dxa"/>
            </w:tcMar>
            <w:vAlign w:val="center"/>
          </w:tcPr>
          <w:p>
            <w:pPr>
              <w:widowControl/>
              <w:spacing w:line="572" w:lineRule="exact"/>
              <w:jc w:val="center"/>
              <w:textAlignment w:val="center"/>
              <w:rPr>
                <w:kern w:val="0"/>
                <w:sz w:val="24"/>
              </w:rPr>
            </w:pPr>
            <w:r>
              <w:rPr>
                <w:kern w:val="0"/>
                <w:sz w:val="24"/>
              </w:rPr>
              <w:t>=指标完成率×0.5×CPI，</w:t>
            </w:r>
          </w:p>
          <w:p>
            <w:pPr>
              <w:widowControl/>
              <w:spacing w:line="572" w:lineRule="exact"/>
              <w:jc w:val="center"/>
              <w:textAlignment w:val="center"/>
              <w:rPr>
                <w:rFonts w:eastAsia="仿宋_GB2312"/>
                <w:sz w:val="24"/>
              </w:rPr>
            </w:pPr>
            <w:r>
              <w:rPr>
                <w:kern w:val="0"/>
                <w:sz w:val="24"/>
                <w:u w:val="single"/>
              </w:rPr>
              <w:t>最高不超过0.5×CPI</w:t>
            </w:r>
          </w:p>
        </w:tc>
        <w:tc>
          <w:tcPr>
            <w:tcW w:w="2268" w:type="dxa"/>
            <w:tcBorders>
              <w:top w:val="single" w:color="000000" w:sz="4" w:space="0"/>
              <w:left w:val="nil"/>
              <w:bottom w:val="single" w:color="000000" w:sz="4" w:space="0"/>
              <w:right w:val="single" w:color="000000" w:sz="4" w:space="0"/>
            </w:tcBorders>
            <w:noWrap/>
          </w:tcPr>
          <w:p>
            <w:pPr>
              <w:widowControl/>
              <w:spacing w:line="572" w:lineRule="exact"/>
              <w:jc w:val="center"/>
              <w:textAlignment w:val="center"/>
              <w:rPr>
                <w:rFonts w:eastAsia="仿宋_GB2312"/>
                <w:kern w:val="0"/>
                <w:sz w:val="24"/>
              </w:rPr>
            </w:pPr>
            <w:r>
              <w:rPr>
                <w:kern w:val="0"/>
                <w:sz w:val="24"/>
              </w:rPr>
              <w:t>=0%</w:t>
            </w:r>
          </w:p>
        </w:tc>
      </w:tr>
    </w:tbl>
    <w:p>
      <w:pPr>
        <w:spacing w:line="572" w:lineRule="exact"/>
      </w:pPr>
    </w:p>
    <w:p>
      <w:pPr>
        <w:spacing w:line="572" w:lineRule="exact"/>
        <w:ind w:firstLine="420" w:firstLineChars="200"/>
        <w:rPr>
          <w:rFonts w:eastAsia="仿宋_GB2312"/>
          <w:sz w:val="32"/>
          <w:szCs w:val="32"/>
        </w:rPr>
      </w:pPr>
      <w:r>
        <w:t>注：1.本表适用于计算任务完成率、服务质量满意度、行业个性指标等联动指标所挂钩的工资增幅。</w:t>
      </w:r>
    </w:p>
    <w:p>
      <w:pPr>
        <w:spacing w:line="572" w:lineRule="exact"/>
        <w:ind w:firstLine="420" w:firstLineChars="200"/>
      </w:pPr>
      <w:r>
        <w:t xml:space="preserve">    2.CPI采集上年度</w:t>
      </w:r>
      <w:r>
        <w:rPr>
          <w:rFonts w:hint="eastAsia"/>
        </w:rPr>
        <w:t>温州</w:t>
      </w:r>
      <w:r>
        <w:t>市居民消费指数。</w:t>
      </w:r>
    </w:p>
    <w:p>
      <w:pPr>
        <w:spacing w:line="572" w:lineRule="exact"/>
        <w:rPr>
          <w:rFonts w:eastAsia="黑体"/>
          <w:sz w:val="32"/>
        </w:rPr>
      </w:pPr>
      <w:r>
        <w:rPr>
          <w:rFonts w:eastAsia="黑体"/>
          <w:sz w:val="32"/>
        </w:rPr>
        <w:br w:type="page"/>
      </w:r>
      <w:r>
        <w:rPr>
          <w:rFonts w:eastAsia="黑体"/>
          <w:sz w:val="32"/>
        </w:rPr>
        <w:t>附件</w:t>
      </w:r>
      <w:r>
        <w:rPr>
          <w:rFonts w:hint="eastAsia" w:eastAsia="黑体"/>
          <w:sz w:val="32"/>
        </w:rPr>
        <w:t>4</w:t>
      </w:r>
    </w:p>
    <w:p>
      <w:pPr>
        <w:spacing w:line="572" w:lineRule="exact"/>
        <w:rPr>
          <w:rFonts w:eastAsia="黑体"/>
          <w:sz w:val="32"/>
        </w:rPr>
      </w:pPr>
    </w:p>
    <w:p>
      <w:pPr>
        <w:pStyle w:val="14"/>
        <w:widowControl w:val="0"/>
        <w:spacing w:line="572" w:lineRule="exact"/>
        <w:ind w:firstLine="880"/>
        <w:jc w:val="center"/>
        <w:rPr>
          <w:rFonts w:eastAsia="方正小标宋简体"/>
          <w:bCs/>
          <w:kern w:val="2"/>
          <w:sz w:val="44"/>
        </w:rPr>
      </w:pPr>
      <w:r>
        <w:rPr>
          <w:rFonts w:eastAsia="方正小标宋简体"/>
          <w:bCs/>
          <w:kern w:val="2"/>
          <w:sz w:val="44"/>
        </w:rPr>
        <w:t>主要经济效益指标计算公式</w:t>
      </w:r>
    </w:p>
    <w:p>
      <w:pPr>
        <w:pStyle w:val="14"/>
        <w:widowControl w:val="0"/>
        <w:spacing w:line="572" w:lineRule="exact"/>
        <w:rPr>
          <w:rFonts w:eastAsia="仿宋_GB2312"/>
          <w:kern w:val="2"/>
        </w:rPr>
      </w:pP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1.利润总额=营业利润+营业外收入-营业外支出</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⑴营业利润=营业收入-营业成本-营业税金及附加-销售费用-管理费用-财务费用-资产减值损失+公允价值变动收益（-公允价值变动损失）+投资收益（-投资损失）</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⑵营业收入是指企业经营业务所确认的收入总额，包括主营业务收入和其他业务收入。</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⑶营业成本是指企业经营业务所发生的实际成本总额，包括主营业务成本和其他业务成本。</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⑷资产减值损失是指企业计提各项资产减值准备所形成的损失。</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⑸公允价值变动收益 （或损失）是指企业交易性金融资产等公允价值变动形成的应计入当期损益的利得（或损失）。</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⑹投资收益（或损失）是指企业以各种方式对外投资所取得的收益（或发生的损失）</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注：经济效益联动计算时，如人工成本费用采取资本化财务处理的，应予以调减利润总额。</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2.净利润=利润总额-所得税费用</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3.净资产收益率=（净利润/年度末股东权益）×100%</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rPr>
        <w:t>4.净资产率=</w:t>
      </w:r>
      <w:r>
        <w:rPr>
          <w:rFonts w:hint="eastAsia" w:ascii="仿宋_GB2312" w:hAnsi="仿宋_GB2312" w:eastAsia="仿宋_GB2312" w:cs="仿宋_GB2312"/>
          <w:kern w:val="2"/>
        </w:rPr>
        <w:t>（净利润/平均净资产）×100%，其中，平均净资产=（年初净资产+年末净资产）/2。</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rPr>
        <w:t>5.利润增长率=[（本期利润-前期利润）/前期利润]×100%。</w:t>
      </w:r>
    </w:p>
    <w:p>
      <w:pPr>
        <w:pStyle w:val="14"/>
        <w:widowControl w:val="0"/>
        <w:spacing w:line="572" w:lineRule="exact"/>
        <w:ind w:firstLine="640" w:firstLineChars="200"/>
        <w:rPr>
          <w:rFonts w:ascii="仿宋_GB2312" w:hAnsi="仿宋_GB2312" w:eastAsia="仿宋_GB2312" w:cs="仿宋_GB2312"/>
        </w:rPr>
      </w:pPr>
      <w:r>
        <w:rPr>
          <w:rFonts w:hint="eastAsia" w:ascii="仿宋_GB2312" w:hAnsi="仿宋_GB2312" w:eastAsia="仿宋_GB2312" w:cs="仿宋_GB2312"/>
        </w:rPr>
        <w:t>6.资产负债率=（总负债/总资产）×100%。</w:t>
      </w:r>
    </w:p>
    <w:p>
      <w:pPr>
        <w:pStyle w:val="14"/>
        <w:widowControl w:val="0"/>
        <w:spacing w:line="572" w:lineRule="exact"/>
        <w:ind w:firstLine="640" w:firstLineChars="200"/>
        <w:rPr>
          <w:rFonts w:ascii="仿宋_GB2312" w:hAnsi="仿宋_GB2312" w:eastAsia="仿宋_GB2312" w:cs="仿宋_GB2312"/>
        </w:rPr>
      </w:pPr>
      <w:r>
        <w:rPr>
          <w:rFonts w:hint="eastAsia" w:ascii="仿宋_GB2312" w:hAnsi="仿宋_GB2312" w:eastAsia="仿宋_GB2312" w:cs="仿宋_GB2312"/>
        </w:rPr>
        <w:t>资产负债率增长率=（上年度资产负债率/基数-本年度资产负债率/基数）/上年度资产负债率。</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rPr>
        <w:t>7.盈余现金保障倍数=经营现金净流量/净利润。</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rPr>
        <w:t>8.营业收入=主营业务收入+其他业务收入+视同销售收入。</w:t>
      </w:r>
    </w:p>
    <w:p>
      <w:pPr>
        <w:pStyle w:val="14"/>
        <w:widowControl w:val="0"/>
        <w:spacing w:line="572" w:lineRule="exact"/>
        <w:ind w:firstLine="640" w:firstLineChars="200"/>
        <w:rPr>
          <w:rFonts w:ascii="仿宋_GB2312" w:hAnsi="仿宋_GB2312" w:eastAsia="仿宋_GB2312" w:cs="仿宋_GB2312"/>
        </w:rPr>
      </w:pPr>
      <w:r>
        <w:rPr>
          <w:rFonts w:hint="eastAsia" w:ascii="仿宋_GB2312" w:hAnsi="仿宋_GB2312" w:eastAsia="仿宋_GB2312" w:cs="仿宋_GB2312"/>
        </w:rPr>
        <w:t>其中：主营业务收入包括销售商品、提供劳务、让渡资产使用权。</w:t>
      </w:r>
    </w:p>
    <w:p>
      <w:pPr>
        <w:pStyle w:val="14"/>
        <w:widowControl w:val="0"/>
        <w:spacing w:line="572" w:lineRule="exact"/>
        <w:ind w:firstLine="640" w:firstLineChars="200"/>
        <w:rPr>
          <w:rFonts w:ascii="仿宋_GB2312" w:hAnsi="仿宋_GB2312" w:eastAsia="仿宋_GB2312" w:cs="仿宋_GB2312"/>
        </w:rPr>
      </w:pPr>
      <w:r>
        <w:rPr>
          <w:rFonts w:hint="eastAsia" w:ascii="仿宋_GB2312" w:hAnsi="仿宋_GB2312" w:eastAsia="仿宋_GB2312" w:cs="仿宋_GB2312"/>
        </w:rPr>
        <w:t>其他业务收入包括材料销售收入、代购代销手续费收入、包装物出租收入。</w:t>
      </w:r>
    </w:p>
    <w:p>
      <w:pPr>
        <w:pStyle w:val="14"/>
        <w:widowControl w:val="0"/>
        <w:spacing w:line="572" w:lineRule="exact"/>
        <w:ind w:firstLine="640" w:firstLineChars="200"/>
        <w:rPr>
          <w:rFonts w:ascii="仿宋_GB2312" w:hAnsi="仿宋_GB2312" w:eastAsia="仿宋_GB2312" w:cs="仿宋_GB2312"/>
        </w:rPr>
      </w:pPr>
      <w:r>
        <w:rPr>
          <w:rFonts w:hint="eastAsia" w:ascii="仿宋_GB2312" w:hAnsi="仿宋_GB2312" w:eastAsia="仿宋_GB2312" w:cs="仿宋_GB2312"/>
        </w:rPr>
        <w:t>其他视同销售收入包括非货币性交易视同销售收入，货物、财产、劳务视同销售收入；其他视同销售收入。</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9.经济增加值1=税后利润-全部资本费用；</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经济增加值2=期初投资资本×（期初投资资本回报率-加权平均资本成本）。</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其中，全部资本费用=期初投资资本×加权平均资本成本；期初投资资本回报率=税后经营利润/期初投资资本；</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投资回报率=年利润或年均利润/投资总额×100%；加权平均资本成本=（股本的市场价值/股本占融资总额的百分比）×债务成本+（公司债务的市场价值/债务占融资总额的百分比）×债务成本×（1-企业税率）</w:t>
      </w:r>
    </w:p>
    <w:p>
      <w:pPr>
        <w:pStyle w:val="14"/>
        <w:widowControl w:val="0"/>
        <w:numPr>
          <w:ilvl w:val="0"/>
          <w:numId w:val="2"/>
        </w:numPr>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人均劳动生产总值=劳动生产总值/全员从业人员平均人数。</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劳动生产总值=（本年应发职工薪酬总额+本年计提折旧总额）+（本年营业利润+本年政府补贴一本年公允价值变动损益一本年投资收益）+（本年应交税费总额一本年应交所得税费-储备粮油差价款本年应补款-预算弥补亏损及补贴本年应补数-本年度应收出口退税款）</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11.人均利润率=利润总额/全员从业人员平均人数</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12.</w:t>
      </w:r>
      <w:r>
        <w:rPr>
          <w:rFonts w:hint="eastAsia" w:ascii="仿宋_GB2312" w:hAnsi="仿宋_GB2312" w:eastAsia="仿宋_GB2312" w:cs="仿宋_GB2312"/>
        </w:rPr>
        <w:t>人均营业收入=营业收入</w:t>
      </w:r>
      <w:r>
        <w:rPr>
          <w:rFonts w:hint="eastAsia" w:ascii="仿宋_GB2312" w:hAnsi="仿宋_GB2312" w:eastAsia="仿宋_GB2312" w:cs="仿宋_GB2312"/>
          <w:kern w:val="2"/>
        </w:rPr>
        <w:t>/全员从业人员平均人数。</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rPr>
        <w:t>13.</w:t>
      </w:r>
      <w:r>
        <w:rPr>
          <w:rFonts w:hint="eastAsia" w:ascii="仿宋_GB2312" w:hAnsi="仿宋_GB2312" w:eastAsia="仿宋_GB2312" w:cs="仿宋_GB2312"/>
          <w:kern w:val="2"/>
        </w:rPr>
        <w:t>人均工作量=（建筑面积、供水量等）/全员从业人员平均人数</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以上算式中的全员从业人员平均人数=1/12*∑[（月初人数+月末人数）/2]</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全员从业人员以所签署合同界别区分，包括与企业签订劳动合同的人员（如签订劳动合同的在编在职、编外用工及临聘人员等）以及与第三方签订劳动合同的编外用工（劳务派遣人员），但不包括实行劳务外包的人员（如签订劳务合同的编外用工及临聘人员）。</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特殊规定：</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从事人力资源服务机构（如人才公司、保安公司），其全员从业员工仅以企业本部的各类员工，不含业务类的非正式员工（如劳务外包、项目外包人员）相关数据。</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14.人工成本利润率=（总利润/总成本）×100%。</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其中：总成本（人工成本总额）=职工工资总额+单位缴纳的社会保险费+职工福利费+职工教育费+劳动保护费+职工住房费用（单位负担的住房公积金）+其他人工成本费用（如发放的伙食补助、交通补助等）（劳动部（1997）261号）。</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15.人事费用率=人工成本总额/营业收入×100%。</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特殊规定：</w:t>
      </w:r>
    </w:p>
    <w:p>
      <w:pPr>
        <w:pStyle w:val="14"/>
        <w:widowControl w:val="0"/>
        <w:numPr>
          <w:ilvl w:val="0"/>
          <w:numId w:val="3"/>
        </w:numPr>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从事人力资源服务机构（如人才公司、保安公司），其人工成本总额仅以本部各类员工支付数作为计算基数，即不含业务类的非正式员工（如劳务外包、项目外包人员）相关数据。</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（2）职工工资总额不包括已实行劳务外包人员的工资，但在劳务外包前，与本企业签订合同的，则包括在内。</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16.国有资产保值增值率=期末净资产总额/期初净资产总额×100%。</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在计算期末净资产总额时，应剔除以下几项：</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⑴因投资者对企业的投资增加的资本金；</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⑵因国家专项拨款、各项建设基金增加的资本公积；</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⑶由于国家对企业实行先征税后返还办法增加的资本金或资本公积金；</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⑷按规定进行资产评估，评估增值或减值所造成的所有者权益的变动；</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⑸企业接受捐赠增加的资本公积；</w:t>
      </w:r>
    </w:p>
    <w:p>
      <w:pPr>
        <w:pStyle w:val="14"/>
        <w:widowControl w:val="0"/>
        <w:spacing w:line="572" w:lineRule="exact"/>
        <w:ind w:firstLine="640" w:firstLineChars="200"/>
        <w:rPr>
          <w:rFonts w:ascii="仿宋_GB2312" w:hAnsi="仿宋_GB2312" w:eastAsia="仿宋_GB2312" w:cs="仿宋_GB2312"/>
          <w:kern w:val="2"/>
        </w:rPr>
      </w:pPr>
      <w:r>
        <w:rPr>
          <w:rFonts w:hint="eastAsia" w:ascii="仿宋_GB2312" w:hAnsi="仿宋_GB2312" w:eastAsia="仿宋_GB2312" w:cs="仿宋_GB2312"/>
          <w:kern w:val="2"/>
        </w:rPr>
        <w:t>⑹其他非正常性变动造成的所有者权益的变动。</w:t>
      </w:r>
    </w:p>
    <w:p>
      <w:pPr>
        <w:pStyle w:val="14"/>
        <w:widowControl w:val="0"/>
        <w:spacing w:line="572" w:lineRule="exact"/>
        <w:rPr>
          <w:rFonts w:eastAsia="仿宋_GB2312"/>
          <w:kern w:val="2"/>
        </w:rPr>
      </w:pPr>
    </w:p>
    <w:p>
      <w:pPr>
        <w:spacing w:line="572" w:lineRule="exact"/>
        <w:rPr>
          <w:rFonts w:eastAsia="仿宋_GB2312"/>
        </w:rPr>
      </w:pPr>
    </w:p>
    <w:p>
      <w:pPr>
        <w:spacing w:line="572" w:lineRule="exact"/>
        <w:rPr>
          <w:rFonts w:eastAsia="仿宋_GB2312"/>
        </w:rPr>
      </w:pPr>
    </w:p>
    <w:p>
      <w:pPr>
        <w:spacing w:line="572" w:lineRule="exact"/>
        <w:rPr>
          <w:szCs w:val="21"/>
        </w:rPr>
      </w:pPr>
    </w:p>
    <w:p>
      <w:pPr>
        <w:spacing w:line="572" w:lineRule="exact"/>
        <w:rPr>
          <w:szCs w:val="21"/>
        </w:rPr>
      </w:pPr>
    </w:p>
    <w:p>
      <w:pPr>
        <w:spacing w:line="572" w:lineRule="exact"/>
        <w:rPr>
          <w:szCs w:val="21"/>
        </w:rPr>
      </w:pPr>
    </w:p>
    <w:tbl>
      <w:tblPr>
        <w:tblStyle w:val="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62"/>
        <w:gridCol w:w="379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262" w:type="dxa"/>
            <w:noWrap/>
          </w:tcPr>
          <w:p>
            <w:pPr>
              <w:spacing w:line="572" w:lineRule="exact"/>
              <w:ind w:firstLine="212" w:firstLineChars="100"/>
              <w:rPr>
                <w:rFonts w:eastAsia="仿宋_GB2312"/>
                <w:spacing w:val="-20"/>
                <w:w w:val="90"/>
                <w:sz w:val="28"/>
                <w:szCs w:val="30"/>
              </w:rPr>
            </w:pPr>
            <w:r>
              <w:rPr>
                <w:rFonts w:hint="eastAsia" w:eastAsia="仿宋_GB2312"/>
                <w:spacing w:val="-20"/>
                <w:w w:val="90"/>
                <w:sz w:val="28"/>
                <w:szCs w:val="30"/>
              </w:rPr>
              <w:t>温州市洞头区人民政府国有资产监督管理办公室</w:t>
            </w:r>
          </w:p>
        </w:tc>
        <w:tc>
          <w:tcPr>
            <w:tcW w:w="3798" w:type="dxa"/>
            <w:noWrap/>
          </w:tcPr>
          <w:p>
            <w:pPr>
              <w:spacing w:line="572" w:lineRule="exact"/>
              <w:ind w:right="210" w:rightChars="100"/>
              <w:jc w:val="right"/>
              <w:rPr>
                <w:rFonts w:eastAsia="仿宋_GB2312"/>
                <w:sz w:val="28"/>
                <w:szCs w:val="30"/>
              </w:rPr>
            </w:pPr>
            <w:r>
              <w:rPr>
                <w:rFonts w:eastAsia="仿宋_GB2312"/>
                <w:sz w:val="28"/>
                <w:szCs w:val="30"/>
              </w:rPr>
              <w:t>202</w:t>
            </w:r>
            <w:r>
              <w:rPr>
                <w:rFonts w:hint="eastAsia" w:eastAsia="仿宋_GB2312"/>
                <w:sz w:val="28"/>
                <w:szCs w:val="30"/>
              </w:rPr>
              <w:t>4年月日印发</w:t>
            </w:r>
          </w:p>
        </w:tc>
      </w:tr>
    </w:tbl>
    <w:p>
      <w:pPr>
        <w:spacing w:line="572" w:lineRule="exact"/>
        <w:rPr>
          <w:kern w:val="0"/>
        </w:rPr>
      </w:pPr>
    </w:p>
    <w:sectPr>
      <w:footerReference r:id="rId3" w:type="default"/>
      <w:footerReference r:id="rId4" w:type="even"/>
      <w:pgSz w:w="11906" w:h="16838"/>
      <w:pgMar w:top="2098" w:right="1474" w:bottom="1985" w:left="1588" w:header="709" w:footer="1531"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宋体" w:hAnsi="宋体"/>
        <w:sz w:val="28"/>
        <w:szCs w:val="28"/>
      </w:rPr>
    </w:pP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w:t>
    </w:r>
    <w:r>
      <w:rPr>
        <w:rFonts w:ascii="宋体" w:hAnsi="宋体"/>
        <w:sz w:val="28"/>
        <w:szCs w:val="28"/>
      </w:rPr>
      <w:fldChar w:fldCharType="end"/>
    </w:r>
    <w:r>
      <w:rPr>
        <w:rFonts w:ascii="宋体" w:hAnsi="宋体"/>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ascii="宋体" w:hAnsi="宋体"/>
        <w:sz w:val="28"/>
        <w:szCs w:val="28"/>
      </w:rPr>
    </w:pP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22</w:t>
    </w:r>
    <w:r>
      <w:rPr>
        <w:rFonts w:ascii="宋体" w:hAnsi="宋体"/>
        <w:sz w:val="28"/>
        <w:szCs w:val="28"/>
      </w:rPr>
      <w:fldChar w:fldCharType="end"/>
    </w:r>
    <w:r>
      <w:rPr>
        <w:rFonts w:ascii="宋体" w:hAnsi="宋体"/>
        <w:sz w:val="28"/>
        <w:szCs w:val="2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EB6A5"/>
    <w:multiLevelType w:val="singleLevel"/>
    <w:tmpl w:val="9EDEB6A5"/>
    <w:lvl w:ilvl="0" w:tentative="0">
      <w:start w:val="1"/>
      <w:numFmt w:val="chineseCounting"/>
      <w:suff w:val="nothing"/>
      <w:lvlText w:val="（%1）"/>
      <w:lvlJc w:val="left"/>
      <w:pPr>
        <w:ind w:left="0" w:firstLine="420"/>
      </w:pPr>
      <w:rPr>
        <w:rFonts w:hint="eastAsia"/>
      </w:rPr>
    </w:lvl>
  </w:abstractNum>
  <w:abstractNum w:abstractNumId="1">
    <w:nsid w:val="FEF62845"/>
    <w:multiLevelType w:val="singleLevel"/>
    <w:tmpl w:val="FEF62845"/>
    <w:lvl w:ilvl="0" w:tentative="0">
      <w:start w:val="1"/>
      <w:numFmt w:val="decimal"/>
      <w:suff w:val="nothing"/>
      <w:lvlText w:val="（%1）"/>
      <w:lvlJc w:val="left"/>
    </w:lvl>
  </w:abstractNum>
  <w:abstractNum w:abstractNumId="2">
    <w:nsid w:val="6BC07583"/>
    <w:multiLevelType w:val="multilevel"/>
    <w:tmpl w:val="6BC07583"/>
    <w:lvl w:ilvl="0" w:tentative="0">
      <w:start w:val="10"/>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NotTrackMoves/>
  <w:documentProtection w:enforcement="0"/>
  <w:defaultTabStop w:val="420"/>
  <w:evenAndOddHeaders w:val="1"/>
  <w:drawingGridHorizontalSpacing w:val="115"/>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jExODlkOGJkY2E0MGRlOTNiOGY1ZTZkNWRmMGQ0NTMifQ=="/>
  </w:docVars>
  <w:rsids>
    <w:rsidRoot w:val="00172A27"/>
    <w:rsid w:val="00020DB4"/>
    <w:rsid w:val="00053774"/>
    <w:rsid w:val="00081823"/>
    <w:rsid w:val="000E5ED6"/>
    <w:rsid w:val="00105E11"/>
    <w:rsid w:val="001414A3"/>
    <w:rsid w:val="00143A87"/>
    <w:rsid w:val="0016431F"/>
    <w:rsid w:val="00172A27"/>
    <w:rsid w:val="00250852"/>
    <w:rsid w:val="00307B3B"/>
    <w:rsid w:val="003756FE"/>
    <w:rsid w:val="003C0673"/>
    <w:rsid w:val="003F37A6"/>
    <w:rsid w:val="0045573A"/>
    <w:rsid w:val="004B37AB"/>
    <w:rsid w:val="00557D9B"/>
    <w:rsid w:val="005C6E63"/>
    <w:rsid w:val="00645DA9"/>
    <w:rsid w:val="00664112"/>
    <w:rsid w:val="006A071B"/>
    <w:rsid w:val="00704489"/>
    <w:rsid w:val="0071119C"/>
    <w:rsid w:val="007519F5"/>
    <w:rsid w:val="007B746A"/>
    <w:rsid w:val="007B7E64"/>
    <w:rsid w:val="007D3683"/>
    <w:rsid w:val="007D7E05"/>
    <w:rsid w:val="007F4437"/>
    <w:rsid w:val="00831AC7"/>
    <w:rsid w:val="00861510"/>
    <w:rsid w:val="0091054A"/>
    <w:rsid w:val="00920765"/>
    <w:rsid w:val="009537BA"/>
    <w:rsid w:val="00984005"/>
    <w:rsid w:val="009B6B3E"/>
    <w:rsid w:val="00A172E3"/>
    <w:rsid w:val="00A43099"/>
    <w:rsid w:val="00AB4879"/>
    <w:rsid w:val="00AB5031"/>
    <w:rsid w:val="00B70403"/>
    <w:rsid w:val="00C24448"/>
    <w:rsid w:val="00C56EE9"/>
    <w:rsid w:val="00C60C76"/>
    <w:rsid w:val="00CD3536"/>
    <w:rsid w:val="00D67D24"/>
    <w:rsid w:val="00D72A5D"/>
    <w:rsid w:val="00DB52A4"/>
    <w:rsid w:val="00E02D7E"/>
    <w:rsid w:val="00E05FCB"/>
    <w:rsid w:val="00E672A1"/>
    <w:rsid w:val="00E960C8"/>
    <w:rsid w:val="00F16EF6"/>
    <w:rsid w:val="00F75408"/>
    <w:rsid w:val="00F8153B"/>
    <w:rsid w:val="00FB0ACA"/>
    <w:rsid w:val="00FE3D63"/>
    <w:rsid w:val="00FE476E"/>
    <w:rsid w:val="00FF450E"/>
    <w:rsid w:val="01E06D15"/>
    <w:rsid w:val="029E5CE6"/>
    <w:rsid w:val="02DB3E8F"/>
    <w:rsid w:val="03CC64E6"/>
    <w:rsid w:val="03D57831"/>
    <w:rsid w:val="04A07C08"/>
    <w:rsid w:val="04BBD5A0"/>
    <w:rsid w:val="052D039E"/>
    <w:rsid w:val="0629327B"/>
    <w:rsid w:val="063E29E3"/>
    <w:rsid w:val="069E2BA5"/>
    <w:rsid w:val="06CD65F1"/>
    <w:rsid w:val="06E0189C"/>
    <w:rsid w:val="06E41F94"/>
    <w:rsid w:val="0735684D"/>
    <w:rsid w:val="07643D6C"/>
    <w:rsid w:val="08251EAA"/>
    <w:rsid w:val="08436C0F"/>
    <w:rsid w:val="08BD7CF8"/>
    <w:rsid w:val="09786C59"/>
    <w:rsid w:val="09E41FD7"/>
    <w:rsid w:val="0A4E7C57"/>
    <w:rsid w:val="0A823A83"/>
    <w:rsid w:val="0B0035B6"/>
    <w:rsid w:val="0BB91287"/>
    <w:rsid w:val="0D083FAB"/>
    <w:rsid w:val="0DFF67F5"/>
    <w:rsid w:val="0E5A0A7D"/>
    <w:rsid w:val="0EC9121B"/>
    <w:rsid w:val="0F5D79D0"/>
    <w:rsid w:val="0F764C52"/>
    <w:rsid w:val="10224060"/>
    <w:rsid w:val="10363397"/>
    <w:rsid w:val="115420F0"/>
    <w:rsid w:val="119164C8"/>
    <w:rsid w:val="1208312B"/>
    <w:rsid w:val="12872557"/>
    <w:rsid w:val="12AD367D"/>
    <w:rsid w:val="13F952FB"/>
    <w:rsid w:val="145F27D7"/>
    <w:rsid w:val="1503213E"/>
    <w:rsid w:val="15B12FCF"/>
    <w:rsid w:val="15C2665B"/>
    <w:rsid w:val="15ED02CB"/>
    <w:rsid w:val="163874B4"/>
    <w:rsid w:val="16AC24D7"/>
    <w:rsid w:val="16D02287"/>
    <w:rsid w:val="16EC4B0B"/>
    <w:rsid w:val="177408E4"/>
    <w:rsid w:val="17BA3DCF"/>
    <w:rsid w:val="186B4122"/>
    <w:rsid w:val="19D742BD"/>
    <w:rsid w:val="1A6A0B46"/>
    <w:rsid w:val="1BBF38AB"/>
    <w:rsid w:val="1BFD3938"/>
    <w:rsid w:val="1C7C61B4"/>
    <w:rsid w:val="1D4C3F03"/>
    <w:rsid w:val="1F5E2131"/>
    <w:rsid w:val="1F5F1CF0"/>
    <w:rsid w:val="1F7E6D3A"/>
    <w:rsid w:val="1FBFEA37"/>
    <w:rsid w:val="20B73470"/>
    <w:rsid w:val="20D34E27"/>
    <w:rsid w:val="21940B07"/>
    <w:rsid w:val="21AB202D"/>
    <w:rsid w:val="22D05321"/>
    <w:rsid w:val="22F6D545"/>
    <w:rsid w:val="23EA77CD"/>
    <w:rsid w:val="244C5C74"/>
    <w:rsid w:val="24FD0B94"/>
    <w:rsid w:val="25333BB5"/>
    <w:rsid w:val="26053EDB"/>
    <w:rsid w:val="26D752B6"/>
    <w:rsid w:val="277605E4"/>
    <w:rsid w:val="27A11C8F"/>
    <w:rsid w:val="294B778D"/>
    <w:rsid w:val="29500092"/>
    <w:rsid w:val="29832B0E"/>
    <w:rsid w:val="29B4765A"/>
    <w:rsid w:val="2A954BB9"/>
    <w:rsid w:val="2B247E9A"/>
    <w:rsid w:val="2B4077B7"/>
    <w:rsid w:val="2B503349"/>
    <w:rsid w:val="2BC66E96"/>
    <w:rsid w:val="2BF64A4B"/>
    <w:rsid w:val="2BFB1061"/>
    <w:rsid w:val="2D13409B"/>
    <w:rsid w:val="2DB16B3C"/>
    <w:rsid w:val="2E6F2620"/>
    <w:rsid w:val="2E8B6E5D"/>
    <w:rsid w:val="2EE13EB6"/>
    <w:rsid w:val="2F8A0D7F"/>
    <w:rsid w:val="2FB57DEE"/>
    <w:rsid w:val="2FFC7247"/>
    <w:rsid w:val="31423491"/>
    <w:rsid w:val="32133C9A"/>
    <w:rsid w:val="321C6430"/>
    <w:rsid w:val="32CD18DD"/>
    <w:rsid w:val="339F14BB"/>
    <w:rsid w:val="33DA6B19"/>
    <w:rsid w:val="34510B0A"/>
    <w:rsid w:val="34F636EB"/>
    <w:rsid w:val="35396811"/>
    <w:rsid w:val="35671AE2"/>
    <w:rsid w:val="36F580F2"/>
    <w:rsid w:val="370357E0"/>
    <w:rsid w:val="375062E4"/>
    <w:rsid w:val="37BFEAF6"/>
    <w:rsid w:val="37FF2A21"/>
    <w:rsid w:val="38E074D5"/>
    <w:rsid w:val="39A05C14"/>
    <w:rsid w:val="39D837DF"/>
    <w:rsid w:val="3B611EA7"/>
    <w:rsid w:val="3B7717D6"/>
    <w:rsid w:val="3BFDA8AC"/>
    <w:rsid w:val="3CDFC47E"/>
    <w:rsid w:val="3CFF0C57"/>
    <w:rsid w:val="3D69767D"/>
    <w:rsid w:val="3DFE512D"/>
    <w:rsid w:val="3E352C96"/>
    <w:rsid w:val="3E724ECA"/>
    <w:rsid w:val="3EA27D90"/>
    <w:rsid w:val="3EB7D4D6"/>
    <w:rsid w:val="3EFD4114"/>
    <w:rsid w:val="3F7F88E6"/>
    <w:rsid w:val="40546D9F"/>
    <w:rsid w:val="40854836"/>
    <w:rsid w:val="40AC218C"/>
    <w:rsid w:val="40B96A9E"/>
    <w:rsid w:val="4100523E"/>
    <w:rsid w:val="413A05CA"/>
    <w:rsid w:val="42E76B2F"/>
    <w:rsid w:val="43510598"/>
    <w:rsid w:val="43F419E7"/>
    <w:rsid w:val="449849AB"/>
    <w:rsid w:val="44B56C46"/>
    <w:rsid w:val="454750F2"/>
    <w:rsid w:val="45FE15B1"/>
    <w:rsid w:val="464558A3"/>
    <w:rsid w:val="46764AD4"/>
    <w:rsid w:val="46E77288"/>
    <w:rsid w:val="4787CBFF"/>
    <w:rsid w:val="485D3236"/>
    <w:rsid w:val="492044A5"/>
    <w:rsid w:val="49320B14"/>
    <w:rsid w:val="495D0C0B"/>
    <w:rsid w:val="49934C35"/>
    <w:rsid w:val="49C7690D"/>
    <w:rsid w:val="4A94523F"/>
    <w:rsid w:val="4B1F0774"/>
    <w:rsid w:val="4BFB917F"/>
    <w:rsid w:val="4C5D1457"/>
    <w:rsid w:val="4D5B7279"/>
    <w:rsid w:val="4F246DA6"/>
    <w:rsid w:val="4F396F64"/>
    <w:rsid w:val="4FDFE6E2"/>
    <w:rsid w:val="4FEF1EF4"/>
    <w:rsid w:val="504408C3"/>
    <w:rsid w:val="510272EB"/>
    <w:rsid w:val="51D14B0D"/>
    <w:rsid w:val="5201701E"/>
    <w:rsid w:val="53611449"/>
    <w:rsid w:val="53FB680A"/>
    <w:rsid w:val="54FBF61C"/>
    <w:rsid w:val="554B14FE"/>
    <w:rsid w:val="559257E0"/>
    <w:rsid w:val="55B44430"/>
    <w:rsid w:val="55D3188C"/>
    <w:rsid w:val="56FDF02B"/>
    <w:rsid w:val="56FF7E0A"/>
    <w:rsid w:val="57BD0D4D"/>
    <w:rsid w:val="583C06AA"/>
    <w:rsid w:val="58411F2C"/>
    <w:rsid w:val="587301D5"/>
    <w:rsid w:val="592F7A5F"/>
    <w:rsid w:val="59643810"/>
    <w:rsid w:val="5983353A"/>
    <w:rsid w:val="59DF2DA6"/>
    <w:rsid w:val="5B73EBCB"/>
    <w:rsid w:val="5C2821B0"/>
    <w:rsid w:val="5C757DEE"/>
    <w:rsid w:val="5CD124CA"/>
    <w:rsid w:val="5DBB1FEB"/>
    <w:rsid w:val="5DDE3802"/>
    <w:rsid w:val="5DEB527D"/>
    <w:rsid w:val="5DF3200D"/>
    <w:rsid w:val="5DF961C3"/>
    <w:rsid w:val="5E6FB05C"/>
    <w:rsid w:val="5EBB0F36"/>
    <w:rsid w:val="5EEFC9CF"/>
    <w:rsid w:val="5F312F85"/>
    <w:rsid w:val="5F532C19"/>
    <w:rsid w:val="5F773B25"/>
    <w:rsid w:val="5FA4FD01"/>
    <w:rsid w:val="5FBF81B7"/>
    <w:rsid w:val="61575670"/>
    <w:rsid w:val="6359130C"/>
    <w:rsid w:val="63A66E59"/>
    <w:rsid w:val="63D649C8"/>
    <w:rsid w:val="63DF2F3C"/>
    <w:rsid w:val="667A09D8"/>
    <w:rsid w:val="66821E96"/>
    <w:rsid w:val="676381A0"/>
    <w:rsid w:val="67D41F4E"/>
    <w:rsid w:val="68273BC5"/>
    <w:rsid w:val="685D806B"/>
    <w:rsid w:val="69255B47"/>
    <w:rsid w:val="69A2478A"/>
    <w:rsid w:val="6A3A2954"/>
    <w:rsid w:val="6A667630"/>
    <w:rsid w:val="6AE81B70"/>
    <w:rsid w:val="6B1E064D"/>
    <w:rsid w:val="6B323394"/>
    <w:rsid w:val="6D6F7082"/>
    <w:rsid w:val="6DFFB067"/>
    <w:rsid w:val="6E343C25"/>
    <w:rsid w:val="6E7A30BD"/>
    <w:rsid w:val="6E7B0305"/>
    <w:rsid w:val="6ECFBB55"/>
    <w:rsid w:val="6EFF292B"/>
    <w:rsid w:val="6F097A84"/>
    <w:rsid w:val="6F9BFDFF"/>
    <w:rsid w:val="6FAF47E6"/>
    <w:rsid w:val="6FDFF340"/>
    <w:rsid w:val="6FF7F3D0"/>
    <w:rsid w:val="6FFE80E9"/>
    <w:rsid w:val="6FFEC51C"/>
    <w:rsid w:val="703A15D8"/>
    <w:rsid w:val="7170313A"/>
    <w:rsid w:val="71BA6E3A"/>
    <w:rsid w:val="72A991FF"/>
    <w:rsid w:val="72C538B4"/>
    <w:rsid w:val="72F31EA3"/>
    <w:rsid w:val="732A3BAD"/>
    <w:rsid w:val="737B4784"/>
    <w:rsid w:val="73976895"/>
    <w:rsid w:val="73BC707A"/>
    <w:rsid w:val="73ED5214"/>
    <w:rsid w:val="743D08BD"/>
    <w:rsid w:val="76AB297A"/>
    <w:rsid w:val="76FB6366"/>
    <w:rsid w:val="77341121"/>
    <w:rsid w:val="77BF4B3F"/>
    <w:rsid w:val="77DD0BB3"/>
    <w:rsid w:val="78163837"/>
    <w:rsid w:val="78692E80"/>
    <w:rsid w:val="78A3591C"/>
    <w:rsid w:val="792A3D4C"/>
    <w:rsid w:val="792B6639"/>
    <w:rsid w:val="797EF3A7"/>
    <w:rsid w:val="797F3B9F"/>
    <w:rsid w:val="79A98065"/>
    <w:rsid w:val="79DC060F"/>
    <w:rsid w:val="79DFD42E"/>
    <w:rsid w:val="7A312B48"/>
    <w:rsid w:val="7A5C0A44"/>
    <w:rsid w:val="7A6B235E"/>
    <w:rsid w:val="7AF11454"/>
    <w:rsid w:val="7AFBE540"/>
    <w:rsid w:val="7AFC250F"/>
    <w:rsid w:val="7B6DFC48"/>
    <w:rsid w:val="7B8C2F15"/>
    <w:rsid w:val="7BD1583C"/>
    <w:rsid w:val="7BE83FE5"/>
    <w:rsid w:val="7BF7BA37"/>
    <w:rsid w:val="7C1909DE"/>
    <w:rsid w:val="7C1F078E"/>
    <w:rsid w:val="7CD0040D"/>
    <w:rsid w:val="7CDDAE8F"/>
    <w:rsid w:val="7CE30426"/>
    <w:rsid w:val="7CFD4944"/>
    <w:rsid w:val="7D114D5F"/>
    <w:rsid w:val="7D3D6E80"/>
    <w:rsid w:val="7DB92E53"/>
    <w:rsid w:val="7DED1AFB"/>
    <w:rsid w:val="7DF7B231"/>
    <w:rsid w:val="7DFFAC11"/>
    <w:rsid w:val="7E6251D3"/>
    <w:rsid w:val="7E6A4486"/>
    <w:rsid w:val="7E6EDDB1"/>
    <w:rsid w:val="7E78D407"/>
    <w:rsid w:val="7E7B4927"/>
    <w:rsid w:val="7EEF6F84"/>
    <w:rsid w:val="7F6F1019"/>
    <w:rsid w:val="7F7FC612"/>
    <w:rsid w:val="7F9FBA65"/>
    <w:rsid w:val="7FBB030D"/>
    <w:rsid w:val="7FDE2A8C"/>
    <w:rsid w:val="7FE724BC"/>
    <w:rsid w:val="7FE7C916"/>
    <w:rsid w:val="7FEDCB73"/>
    <w:rsid w:val="7FEEBF51"/>
    <w:rsid w:val="7FEF68DC"/>
    <w:rsid w:val="7FF95943"/>
    <w:rsid w:val="7FFDE8E2"/>
    <w:rsid w:val="95B0969E"/>
    <w:rsid w:val="9BF72AB3"/>
    <w:rsid w:val="9FF91E56"/>
    <w:rsid w:val="A6F7CD3D"/>
    <w:rsid w:val="A74F7463"/>
    <w:rsid w:val="A7BC6929"/>
    <w:rsid w:val="A7FA45BF"/>
    <w:rsid w:val="A7FF3BC5"/>
    <w:rsid w:val="A9FBDA7A"/>
    <w:rsid w:val="ABD1EEB5"/>
    <w:rsid w:val="AEFF3DD2"/>
    <w:rsid w:val="AF4FFC75"/>
    <w:rsid w:val="AFFE0AAE"/>
    <w:rsid w:val="AFFF8FA4"/>
    <w:rsid w:val="B6996E48"/>
    <w:rsid w:val="B6CDF221"/>
    <w:rsid w:val="B7BFDB7B"/>
    <w:rsid w:val="BAA39007"/>
    <w:rsid w:val="BBF3BA89"/>
    <w:rsid w:val="BDEAF08A"/>
    <w:rsid w:val="BFB74742"/>
    <w:rsid w:val="BFB9A687"/>
    <w:rsid w:val="BFDF9ACA"/>
    <w:rsid w:val="C4DF8A4B"/>
    <w:rsid w:val="C9DB19B5"/>
    <w:rsid w:val="CBBBFE3F"/>
    <w:rsid w:val="CBE4EFA9"/>
    <w:rsid w:val="CCEFDE13"/>
    <w:rsid w:val="CFAB8C07"/>
    <w:rsid w:val="CFCB536B"/>
    <w:rsid w:val="CFF7EEED"/>
    <w:rsid w:val="D1F78426"/>
    <w:rsid w:val="D59B7C9A"/>
    <w:rsid w:val="D7DF129C"/>
    <w:rsid w:val="D9BF125C"/>
    <w:rsid w:val="DD8D539C"/>
    <w:rsid w:val="DDFEADCB"/>
    <w:rsid w:val="DDFF22C4"/>
    <w:rsid w:val="DEFD3314"/>
    <w:rsid w:val="DF16A426"/>
    <w:rsid w:val="DF68E71D"/>
    <w:rsid w:val="DF7E26B2"/>
    <w:rsid w:val="DFB7D580"/>
    <w:rsid w:val="DFDD2DB1"/>
    <w:rsid w:val="DFFFFB08"/>
    <w:rsid w:val="E5E7AB34"/>
    <w:rsid w:val="E81BC2BF"/>
    <w:rsid w:val="E8367348"/>
    <w:rsid w:val="EBBAAD9D"/>
    <w:rsid w:val="EBEDC480"/>
    <w:rsid w:val="EBFBEC1E"/>
    <w:rsid w:val="EBFFD973"/>
    <w:rsid w:val="EDD7372D"/>
    <w:rsid w:val="EDD7749C"/>
    <w:rsid w:val="EDF376FA"/>
    <w:rsid w:val="EDF54AD1"/>
    <w:rsid w:val="EDF7F811"/>
    <w:rsid w:val="EDFA9DAA"/>
    <w:rsid w:val="EEB351CB"/>
    <w:rsid w:val="EEBCF9AF"/>
    <w:rsid w:val="EEBF8BD6"/>
    <w:rsid w:val="EEDFCD32"/>
    <w:rsid w:val="EFDF9FCE"/>
    <w:rsid w:val="EFFE8C5C"/>
    <w:rsid w:val="F1ADF8EC"/>
    <w:rsid w:val="F5B7F74C"/>
    <w:rsid w:val="F64BC7BB"/>
    <w:rsid w:val="F6AE20D0"/>
    <w:rsid w:val="F76B5814"/>
    <w:rsid w:val="F9DFE070"/>
    <w:rsid w:val="F9FFEBD5"/>
    <w:rsid w:val="FA152C0D"/>
    <w:rsid w:val="FA3ED957"/>
    <w:rsid w:val="FAFF318A"/>
    <w:rsid w:val="FB7F5F8C"/>
    <w:rsid w:val="FBDBF854"/>
    <w:rsid w:val="FBDE8405"/>
    <w:rsid w:val="FBEE468F"/>
    <w:rsid w:val="FC6C9061"/>
    <w:rsid w:val="FD7D1224"/>
    <w:rsid w:val="FD7E79F3"/>
    <w:rsid w:val="FDBFAE21"/>
    <w:rsid w:val="FDF66CEC"/>
    <w:rsid w:val="FE3F70B4"/>
    <w:rsid w:val="FE5B5DDF"/>
    <w:rsid w:val="FECAC484"/>
    <w:rsid w:val="FEFF686F"/>
    <w:rsid w:val="FF2F92A6"/>
    <w:rsid w:val="FF6DA872"/>
    <w:rsid w:val="FF6F849F"/>
    <w:rsid w:val="FF6FBC8D"/>
    <w:rsid w:val="FF70AB39"/>
    <w:rsid w:val="FF77037A"/>
    <w:rsid w:val="FF7F6CE8"/>
    <w:rsid w:val="FFB6F2F7"/>
    <w:rsid w:val="FFBD4B4C"/>
    <w:rsid w:val="FFDFE374"/>
    <w:rsid w:val="FFF362FB"/>
    <w:rsid w:val="FFFFCA78"/>
  </w:rsids>
  <m:mathPr>
    <m:mathFont m:val="Cambria Math"/>
    <m:brkBin m:val="before"/>
    <m:brkBinSub m:val="--"/>
    <m:smallFrac m:val="1"/>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ocked="1"/>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autoRedefine/>
    <w:qFormat/>
    <w:uiPriority w:val="0"/>
    <w:pPr>
      <w:jc w:val="left"/>
    </w:pPr>
  </w:style>
  <w:style w:type="paragraph" w:styleId="3">
    <w:name w:val="Plain Text"/>
    <w:basedOn w:val="1"/>
    <w:link w:val="10"/>
    <w:autoRedefine/>
    <w:qFormat/>
    <w:uiPriority w:val="0"/>
    <w:rPr>
      <w:rFonts w:ascii="宋体" w:hAnsi="Courier New"/>
      <w:kern w:val="0"/>
      <w:szCs w:val="21"/>
    </w:rPr>
  </w:style>
  <w:style w:type="paragraph" w:styleId="4">
    <w:name w:val="Balloon Text"/>
    <w:basedOn w:val="1"/>
    <w:autoRedefine/>
    <w:semiHidden/>
    <w:qFormat/>
    <w:uiPriority w:val="0"/>
    <w:rPr>
      <w:sz w:val="18"/>
      <w:szCs w:val="18"/>
    </w:rPr>
  </w:style>
  <w:style w:type="paragraph" w:styleId="5">
    <w:name w:val="footer"/>
    <w:basedOn w:val="1"/>
    <w:link w:val="11"/>
    <w:autoRedefine/>
    <w:semiHidden/>
    <w:qFormat/>
    <w:uiPriority w:val="0"/>
    <w:pPr>
      <w:tabs>
        <w:tab w:val="center" w:pos="4153"/>
        <w:tab w:val="right" w:pos="8306"/>
      </w:tabs>
      <w:snapToGrid w:val="0"/>
      <w:jc w:val="left"/>
    </w:pPr>
    <w:rPr>
      <w:rFonts w:ascii="Calibri" w:hAnsi="Calibri"/>
      <w:kern w:val="0"/>
      <w:sz w:val="18"/>
      <w:szCs w:val="18"/>
    </w:rPr>
  </w:style>
  <w:style w:type="paragraph" w:styleId="6">
    <w:name w:val="header"/>
    <w:basedOn w:val="1"/>
    <w:link w:val="12"/>
    <w:autoRedefine/>
    <w:semiHidden/>
    <w:qFormat/>
    <w:uiPriority w:val="0"/>
    <w:pPr>
      <w:pBdr>
        <w:bottom w:val="single" w:color="auto" w:sz="6" w:space="1"/>
      </w:pBdr>
      <w:tabs>
        <w:tab w:val="center" w:pos="4153"/>
        <w:tab w:val="right" w:pos="8306"/>
      </w:tabs>
      <w:snapToGrid w:val="0"/>
      <w:jc w:val="center"/>
    </w:pPr>
    <w:rPr>
      <w:rFonts w:ascii="Calibri" w:hAnsi="Calibri"/>
      <w:kern w:val="0"/>
      <w:sz w:val="18"/>
      <w:szCs w:val="18"/>
    </w:rPr>
  </w:style>
  <w:style w:type="table" w:styleId="8">
    <w:name w:val="Table Grid"/>
    <w:basedOn w:val="7"/>
    <w:autoRedefine/>
    <w:qFormat/>
    <w:locke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纯文本 Char"/>
    <w:link w:val="3"/>
    <w:autoRedefine/>
    <w:qFormat/>
    <w:locked/>
    <w:uiPriority w:val="0"/>
    <w:rPr>
      <w:rFonts w:ascii="宋体" w:hAnsi="Courier New" w:eastAsia="宋体" w:cs="Courier New"/>
      <w:sz w:val="21"/>
      <w:szCs w:val="21"/>
    </w:rPr>
  </w:style>
  <w:style w:type="character" w:customStyle="1" w:styleId="11">
    <w:name w:val="页脚 Char"/>
    <w:link w:val="5"/>
    <w:autoRedefine/>
    <w:semiHidden/>
    <w:qFormat/>
    <w:locked/>
    <w:uiPriority w:val="0"/>
    <w:rPr>
      <w:rFonts w:ascii="Calibri" w:hAnsi="Calibri" w:eastAsia="宋体" w:cs="Times New Roman"/>
      <w:sz w:val="18"/>
      <w:szCs w:val="18"/>
    </w:rPr>
  </w:style>
  <w:style w:type="character" w:customStyle="1" w:styleId="12">
    <w:name w:val="页眉 Char"/>
    <w:link w:val="6"/>
    <w:autoRedefine/>
    <w:semiHidden/>
    <w:qFormat/>
    <w:locked/>
    <w:uiPriority w:val="0"/>
    <w:rPr>
      <w:rFonts w:ascii="Calibri" w:hAnsi="Calibri" w:eastAsia="宋体" w:cs="Times New Roman"/>
      <w:sz w:val="18"/>
      <w:szCs w:val="18"/>
    </w:rPr>
  </w:style>
  <w:style w:type="character" w:customStyle="1" w:styleId="13">
    <w:name w:val="15"/>
    <w:autoRedefine/>
    <w:qFormat/>
    <w:uiPriority w:val="0"/>
    <w:rPr>
      <w:rFonts w:hint="eastAsia" w:ascii="宋体" w:hAnsi="宋体" w:eastAsia="宋体"/>
      <w:color w:val="000000"/>
      <w:sz w:val="22"/>
      <w:szCs w:val="22"/>
    </w:rPr>
  </w:style>
  <w:style w:type="paragraph" w:customStyle="1" w:styleId="14">
    <w:name w:val="p0"/>
    <w:basedOn w:val="1"/>
    <w:autoRedefine/>
    <w:qFormat/>
    <w:uiPriority w:val="0"/>
    <w:pPr>
      <w:widowControl/>
    </w:pPr>
    <w:rPr>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21</Pages>
  <Words>1544</Words>
  <Characters>8803</Characters>
  <Lines>73</Lines>
  <Paragraphs>20</Paragraphs>
  <TotalTime>25</TotalTime>
  <ScaleCrop>false</ScaleCrop>
  <LinksUpToDate>false</LinksUpToDate>
  <CharactersWithSpaces>10327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2019-12-15T06:56:00Z</dcterms:created>
  <dc:creator>郭斌    </dc:creator>
  <cp:lastModifiedBy>微信用户</cp:lastModifiedBy>
  <cp:lastPrinted>2024-02-12T19:50:00Z</cp:lastPrinted>
  <dcterms:modified xsi:type="dcterms:W3CDTF">2024-04-18T08:56:31Z</dcterms:modified>
  <dc:title>温州市洞头区财政局</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F3FFCAFD247B4C7B9CE394ED6F54D5AA</vt:lpwstr>
  </property>
  <property fmtid="{D5CDD505-2E9C-101B-9397-08002B2CF9AE}" pid="4" name="woTemplateTypoMode">
    <vt:lpwstr>web</vt:lpwstr>
  </property>
  <property fmtid="{D5CDD505-2E9C-101B-9397-08002B2CF9AE}" pid="5" name="woTemplate">
    <vt:r8>1</vt:r8>
  </property>
</Properties>
</file>