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舟山市定海区人民政府盐仓街道办事处综合行政执法改革实施方案</w:t>
      </w: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为贯彻落实《中共中央办公厅国务院办公厅关于推进基层整合审批服务执法力量的实施意见》（中办发【</w:t>
      </w:r>
      <w:r>
        <w:rPr>
          <w:rFonts w:hint="eastAsia" w:ascii="仿宋_GB2312" w:hAnsi="仿宋_GB2312" w:eastAsia="仿宋_GB2312" w:cs="仿宋_GB2312"/>
          <w:sz w:val="32"/>
          <w:szCs w:val="32"/>
          <w:lang w:val="en-US" w:eastAsia="zh-CN"/>
        </w:rPr>
        <w:t>2019</w:t>
      </w:r>
      <w:r>
        <w:rPr>
          <w:rFonts w:hint="eastAsia" w:ascii="仿宋_GB2312" w:hAnsi="仿宋_GB2312" w:eastAsia="仿宋_GB2312" w:cs="仿宋_GB2312"/>
          <w:sz w:val="32"/>
          <w:szCs w:val="32"/>
        </w:rPr>
        <w:t>】5 号）《中共浙江省委办公厅浙江省人民政府办公厅关于深化综合行政执法改革的实施意见》（浙委办发【</w:t>
      </w:r>
      <w:r>
        <w:rPr>
          <w:rFonts w:hint="eastAsia" w:ascii="仿宋_GB2312" w:hAnsi="仿宋_GB2312" w:eastAsia="仿宋_GB2312" w:cs="仿宋_GB2312"/>
          <w:sz w:val="32"/>
          <w:szCs w:val="32"/>
          <w:lang w:val="en-US" w:eastAsia="zh-CN"/>
        </w:rPr>
        <w:t>2019</w:t>
      </w:r>
      <w:r>
        <w:rPr>
          <w:rFonts w:hint="eastAsia" w:ascii="仿宋_GB2312" w:hAnsi="仿宋_GB2312" w:eastAsia="仿宋_GB2312" w:cs="仿宋_GB2312"/>
          <w:sz w:val="32"/>
          <w:szCs w:val="32"/>
        </w:rPr>
        <w:t>】46号）《中共浙江省委全面深化改革委员会关于在衢州等地开展“县乡一体、条抓块统”县域整体智治改革试点的指导意见》（浙委改发【</w:t>
      </w:r>
      <w:r>
        <w:rPr>
          <w:rFonts w:hint="eastAsia" w:ascii="仿宋_GB2312" w:hAnsi="仿宋_GB2312" w:eastAsia="仿宋_GB2312" w:cs="仿宋_GB2312"/>
          <w:sz w:val="32"/>
          <w:szCs w:val="32"/>
          <w:lang w:val="en-US" w:eastAsia="zh-CN"/>
        </w:rPr>
        <w:t>2021</w:t>
      </w:r>
      <w:r>
        <w:rPr>
          <w:rFonts w:hint="eastAsia" w:ascii="仿宋_GB2312" w:hAnsi="仿宋_GB2312" w:eastAsia="仿宋_GB2312" w:cs="仿宋_GB2312"/>
          <w:sz w:val="32"/>
          <w:szCs w:val="32"/>
        </w:rPr>
        <w:t>】6 号）等文件精神，进一步强化基层一线执法力量，创新和完善综合行政执法体制机制，高效推动“大综合一体化”行政执法改革走向深入，结合盐仓街道实际，就盐仓街道综合行政执法改革工作，制定本实施方案。</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一、总体目标</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以习近平新时代中国特色社会主义思想为指导，全面贯彻落实习近平法治思想、党的十九届四中、五中全会、省委十四届八、九次会议部署要求，深入贯彻省第十四次党代会、省委十四届八次全会精神，围绕忠实践行“八八战略”、锚定打造“重要 窗口”主题主线，以推进行政执法权限和力量向基层延伸和下沉、强化街道的统一指挥和统筹协调为目标，充分立足盐仓街道实际，聚焦海陆联动高效治理，大力推进行政执法体制、机制创新，更大范围整合执法职责，优化配置执法资源，健全执法协同机制，构建职责更清晰、队伍更精简、协同更高效、机制更健全、行为更规范、监督更有效的“大综合一体化”行政执法体系，切实增强基层政府治理能力和社会管理水平。并加快基层治理从“事”向“制”“治”“智”转变，推动形成“县乡一体、条块抓统”整体智治格局。</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二、主要任务</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（一）综合行政执法的实施范围</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根据《中华人民共和国行政处罚法》《浙江省人民政府办公厅关于推进乡镇（街道）综合行政执法工作的通知》（浙政办发【</w:t>
      </w:r>
      <w:r>
        <w:rPr>
          <w:rFonts w:hint="eastAsia" w:ascii="仿宋_GB2312" w:hAnsi="仿宋_GB2312" w:eastAsia="仿宋_GB2312" w:cs="仿宋_GB2312"/>
          <w:sz w:val="32"/>
          <w:szCs w:val="32"/>
          <w:lang w:val="en-US" w:eastAsia="zh-CN"/>
        </w:rPr>
        <w:t>2021</w:t>
      </w:r>
      <w:r>
        <w:rPr>
          <w:rFonts w:hint="eastAsia" w:ascii="仿宋_GB2312" w:hAnsi="仿宋_GB2312" w:eastAsia="仿宋_GB2312" w:cs="仿宋_GB2312"/>
          <w:sz w:val="32"/>
          <w:szCs w:val="32"/>
        </w:rPr>
        <w:t>】51号），按照“依法下放、宜放则放”和“成熟一批、赋予一批”、确保“接得住、管得好、有监督”的原则，将自然 资源、生态环境、消防救援等方面法律、法规、规章规定的全部或部分行政处罚权及与之相关的行政强制权下放到盐仓街道办事处，在盐仓街道行政区域内，以盐仓街道办事处名义行使行政处罚权。具体事项见《舟山市定海区人民政府盐仓街道办事处综合行政执法事项目录（202</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年）》，具体内容包括：</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1.行使</w:t>
      </w:r>
      <w:r>
        <w:rPr>
          <w:rFonts w:hint="eastAsia" w:ascii="仿宋_GB2312" w:hAnsi="仿宋_GB2312" w:eastAsia="仿宋_GB2312" w:cs="仿宋_GB2312"/>
          <w:sz w:val="32"/>
          <w:szCs w:val="32"/>
          <w:lang w:eastAsia="zh-CN"/>
        </w:rPr>
        <w:t>发改</w:t>
      </w:r>
      <w:r>
        <w:rPr>
          <w:rFonts w:hint="eastAsia" w:ascii="仿宋_GB2312" w:hAnsi="仿宋_GB2312" w:eastAsia="仿宋_GB2312" w:cs="仿宋_GB2312"/>
          <w:sz w:val="32"/>
          <w:szCs w:val="32"/>
        </w:rPr>
        <w:t>方面法律、法规、规章规定的行政处罚权及与之相关的行政强制权；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2.行使</w:t>
      </w:r>
      <w:r>
        <w:rPr>
          <w:rFonts w:hint="eastAsia" w:ascii="仿宋_GB2312" w:hAnsi="仿宋_GB2312" w:eastAsia="仿宋_GB2312" w:cs="仿宋_GB2312"/>
          <w:sz w:val="32"/>
          <w:szCs w:val="32"/>
          <w:lang w:eastAsia="zh-CN"/>
        </w:rPr>
        <w:t>经信</w:t>
      </w:r>
      <w:r>
        <w:rPr>
          <w:rFonts w:hint="eastAsia" w:ascii="仿宋_GB2312" w:hAnsi="仿宋_GB2312" w:eastAsia="仿宋_GB2312" w:cs="仿宋_GB2312"/>
          <w:sz w:val="32"/>
          <w:szCs w:val="32"/>
        </w:rPr>
        <w:t>方面法律、法规、规章规定的行政处罚权及与之相关的行政强制权；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3.行使</w:t>
      </w:r>
      <w:r>
        <w:rPr>
          <w:rFonts w:hint="eastAsia" w:ascii="仿宋_GB2312" w:hAnsi="仿宋_GB2312" w:eastAsia="仿宋_GB2312" w:cs="仿宋_GB2312"/>
          <w:sz w:val="32"/>
          <w:szCs w:val="32"/>
          <w:lang w:eastAsia="zh-CN"/>
        </w:rPr>
        <w:t>教育</w:t>
      </w:r>
      <w:r>
        <w:rPr>
          <w:rFonts w:hint="eastAsia" w:ascii="仿宋_GB2312" w:hAnsi="仿宋_GB2312" w:eastAsia="仿宋_GB2312" w:cs="仿宋_GB2312"/>
          <w:sz w:val="32"/>
          <w:szCs w:val="32"/>
        </w:rPr>
        <w:t>方面法律、法规、规章规定的行政处罚权及与之相关的行政强制权；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4.行使</w:t>
      </w:r>
      <w:r>
        <w:rPr>
          <w:rFonts w:hint="eastAsia" w:ascii="仿宋_GB2312" w:hAnsi="仿宋_GB2312" w:eastAsia="仿宋_GB2312" w:cs="仿宋_GB2312"/>
          <w:sz w:val="32"/>
          <w:szCs w:val="32"/>
          <w:lang w:eastAsia="zh-CN"/>
        </w:rPr>
        <w:t>公安</w:t>
      </w:r>
      <w:r>
        <w:rPr>
          <w:rFonts w:hint="eastAsia" w:ascii="仿宋_GB2312" w:hAnsi="仿宋_GB2312" w:eastAsia="仿宋_GB2312" w:cs="仿宋_GB2312"/>
          <w:sz w:val="32"/>
          <w:szCs w:val="32"/>
        </w:rPr>
        <w:t>方面法律、法规、规章规定的行政处罚权及与之相关的行政强制权；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5.行使</w:t>
      </w:r>
      <w:r>
        <w:rPr>
          <w:rFonts w:hint="eastAsia" w:ascii="仿宋_GB2312" w:hAnsi="仿宋_GB2312" w:eastAsia="仿宋_GB2312" w:cs="仿宋_GB2312"/>
          <w:sz w:val="32"/>
          <w:szCs w:val="32"/>
          <w:lang w:eastAsia="zh-CN"/>
        </w:rPr>
        <w:t>民宗</w:t>
      </w:r>
      <w:r>
        <w:rPr>
          <w:rFonts w:hint="eastAsia" w:ascii="仿宋_GB2312" w:hAnsi="仿宋_GB2312" w:eastAsia="仿宋_GB2312" w:cs="仿宋_GB2312"/>
          <w:sz w:val="32"/>
          <w:szCs w:val="32"/>
        </w:rPr>
        <w:t>方面法律、法规、规章规定的行政处罚权及与之相关的行政强制权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自然资源</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生态环境</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住房城乡建设</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民政</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人力社保</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11.</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水利</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12.</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退役军人事务</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13.</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消防救援</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14.</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应急管理</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15.</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市场监管</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16.</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人防</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17.</w:t>
      </w:r>
      <w:r>
        <w:rPr>
          <w:rFonts w:hint="eastAsia" w:ascii="仿宋_GB2312" w:hAnsi="仿宋_GB2312" w:eastAsia="仿宋_GB2312" w:cs="仿宋_GB2312"/>
          <w:sz w:val="32"/>
          <w:szCs w:val="32"/>
        </w:rPr>
        <w:t>行使</w:t>
      </w:r>
      <w:r>
        <w:rPr>
          <w:rFonts w:hint="eastAsia" w:ascii="仿宋_GB2312" w:hAnsi="仿宋_GB2312" w:eastAsia="仿宋_GB2312" w:cs="仿宋_GB2312"/>
          <w:sz w:val="32"/>
          <w:szCs w:val="32"/>
          <w:lang w:val="en-US" w:eastAsia="zh-CN"/>
        </w:rPr>
        <w:t>农村环境卫生</w:t>
      </w:r>
      <w:r>
        <w:rPr>
          <w:rFonts w:hint="eastAsia" w:ascii="仿宋_GB2312" w:hAnsi="仿宋_GB2312" w:eastAsia="仿宋_GB2312" w:cs="仿宋_GB2312"/>
          <w:sz w:val="32"/>
          <w:szCs w:val="32"/>
        </w:rPr>
        <w:t>方面法律、法规、规章规定的行政处罚权及与之相关的行政强制权</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行政处罚权下放给盐仓街道办事处后（具体以区政府公告实施日期为准），相关业务主管部门不再在该区域内行使已下放的行政处罚权，跨区域跨部门的案件除外。涉及作出没收较大数额违法所得、没收较大价值非法财物、降低资质等级、吊销许可证件、责令停产停业、责令关闭、限制从业等重大行政处罚决定的案件，仍由原行政机关依法管辖，街道应及时移送。</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（二）综合行政执法的机构设置</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盐仓街道办事处成立街道综合行政执法队，与定海区综合行政执法局派驻机构实行“一套班子、两块牌子”，采用“1+N” 模式，统筹推进大综合执法。其中“1”指盐仓街道综合行政执法队；“N”指纳入生态环境、市场监管、自然资源与规划、交通运输、应急管理、卫生健康等职能部门的执法队伍，依托“场地统一、人员集中、信息共享、处置联动”，进一步强化行政执法属地管理，推动解决基层“权力有限、责任无限”“资源虽有、调度困难”“看得见管不着”等方面的问题，通过执法力量下沉和事权下放，进一步压实执法属地责任。</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（三）综合行政执法的人员配置</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宋体" w:hAnsi="宋体" w:eastAsia="宋体" w:cs="宋体"/>
          <w:sz w:val="28"/>
          <w:szCs w:val="36"/>
        </w:rPr>
      </w:pPr>
      <w:r>
        <w:rPr>
          <w:rFonts w:hint="eastAsia" w:ascii="仿宋_GB2312" w:hAnsi="仿宋_GB2312" w:eastAsia="仿宋_GB2312" w:cs="仿宋_GB2312"/>
          <w:sz w:val="32"/>
          <w:szCs w:val="32"/>
        </w:rPr>
        <w:t>整合盐仓街道现有队所及“四个平台”执法人员力量，按照责任权利相统一，由属地主管、部门协管；盐仓街道综合行政执法队人员身份性质不变，编制保留在原单位，工资关系、党（团） 员组织关系、工会会员组织关系等均转入盐仓街道，队员的日常管理、年度考核由盐仓街道负责实施。配备必要的法制审核和开展听证工作等相关人员，强化街道对属地执法派驻人员的协调指挥权，提升街道统筹能力。构建派驻人员多维考评体系，对派驻干部在业务绩效、考勤纪律、规范服务、工作作风等方面进行综合评价。在盐仓街道设有队所的行政执法单位，要确保队所人员整合到盐仓街道综合行政执法队，其他行政执法单位要按照人随事走的原则，视情</w:t>
      </w:r>
      <w:r>
        <w:rPr>
          <w:rFonts w:hint="eastAsia" w:ascii="宋体" w:hAnsi="宋体" w:eastAsia="宋体" w:cs="宋体"/>
          <w:sz w:val="28"/>
          <w:szCs w:val="36"/>
        </w:rPr>
        <w:t>整合到位。</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（四）综合行政执法的管理体制</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进一步理顺区街道两级行政执法职责关系，强化行政执法属地管理，按照减少层次、整合队伍、提高效率的原则，合理配备执法力量，避免多层执法和重复执法。盐仓街道综合行政执法队在盐仓街道党工委、办事处的领导下，以盐仓街道办事处名义开展综合行政执法工作，并接受区综合行政执法局和相关业务主管部门的指导监督，按照有关法律规定行使行政处罚权及与之相关的行政强制权，承担起相应的法律责任。其中，具体行政行为的复议受理机关为区人民政府，区综合行政执法局和相关业务主管部门不再行使本方案确定下放的相关行政执法权。</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（五）综合行政执法的工作机制</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1.建立协调配合机制。</w:t>
      </w:r>
      <w:r>
        <w:rPr>
          <w:rFonts w:hint="eastAsia" w:ascii="仿宋_GB2312" w:hAnsi="仿宋_GB2312" w:eastAsia="仿宋_GB2312" w:cs="仿宋_GB2312"/>
          <w:sz w:val="32"/>
          <w:szCs w:val="32"/>
        </w:rPr>
        <w:t>明确业务主管部门与盐仓街道办事处的协同责任，业务主管部门要按照“谁审批谁监管、谁主管谁监管”的原则，落实主体监管责任，同时要加强对盐仓街道综合行政执法的业务指导。采取“常态入驻+按需入驻”相结合的模式，开展综合行政执法队伍集中办公，实现信息、职能、人员力量的融合联动，进一步加强在信息共享、执法协助、技术支持、举报受理、业务培训和案件移送等方面的协作配合责任。盐仓街道办事处在行使相关执法权时，需要相关业务主管部门提供检测、检验、认定、鉴定等协助配合的，相关业务主管部门应当及时提供。盐仓街道办事处与相关部门对违法案件处理发生争议时，由区综合执法协调办组织协调，协调不成的，报区综合执法协调委决定。协调期间，不得影响法定职责履行。</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2.建立执法保障机制。</w:t>
      </w:r>
      <w:r>
        <w:rPr>
          <w:rFonts w:hint="eastAsia" w:ascii="仿宋_GB2312" w:hAnsi="仿宋_GB2312" w:eastAsia="仿宋_GB2312" w:cs="仿宋_GB2312"/>
          <w:sz w:val="32"/>
          <w:szCs w:val="32"/>
        </w:rPr>
        <w:t>一是加强基础保障。根据省、市综合行政执法工作规范化建设要求，按标准配备和落实盐仓街道办事处综合执法队伍的办公场所、执法车辆和各类执法技术装备， 统一执法文书、标志标识和执法服装，推进执法规范化建设。二是完善公安保障机制。由公安机关落实必要警力即时保障大综合行政执法活动，对用暴力等手段阻碍执法人员依法执行公务的行为，依照《中华人民共和国治安管理处罚法》严肃查处，构成犯罪的，依法追究刑事责任。</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3.加强综合行政执法监督。</w:t>
      </w:r>
      <w:r>
        <w:rPr>
          <w:rFonts w:hint="eastAsia" w:ascii="仿宋_GB2312" w:hAnsi="仿宋_GB2312" w:eastAsia="仿宋_GB2312" w:cs="仿宋_GB2312"/>
          <w:sz w:val="32"/>
          <w:szCs w:val="32"/>
        </w:rPr>
        <w:t>严格落实行政执法公示制度，全面公开盐仓街道办事处及其综合执法队伍名称、执法职权和依据、执法程序和标准、执法人员信息，细化、量化行政裁量权；严格落实行政执法全过程记录制度，通过文字、音像等记录形式，对行政执法启动、调查取证、审核决定、送达执行等实行全过程记录，实现全面系统保存；推行重大执法决定法制审核制度，确保执法合法、规范。积极开展执法评议考核和案卷评查工作，确保大综合行政执法队高效、规范履行职责。完善社会监督机制，畅通监督渠道，接受社会公众监督。</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三、组织实施</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（一）统一思想认识。</w:t>
      </w:r>
      <w:r>
        <w:rPr>
          <w:rFonts w:hint="eastAsia" w:ascii="仿宋_GB2312" w:hAnsi="仿宋_GB2312" w:eastAsia="仿宋_GB2312" w:cs="仿宋_GB2312"/>
          <w:sz w:val="32"/>
          <w:szCs w:val="32"/>
        </w:rPr>
        <w:t>要充分认识开展综合行政执法改革试点工作的重要意义，站在讲政治、顾大局的高度，把大综合行政执法改革试点工作纳入街道中心工作，统筹谋划、一体推进，以上下同欲的决心推进改革。</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（二）加强组织领导。</w:t>
      </w:r>
      <w:r>
        <w:rPr>
          <w:rFonts w:hint="eastAsia" w:ascii="仿宋_GB2312" w:hAnsi="仿宋_GB2312" w:eastAsia="仿宋_GB2312" w:cs="仿宋_GB2312"/>
          <w:sz w:val="32"/>
          <w:szCs w:val="32"/>
        </w:rPr>
        <w:t>成立盐仓街道综合行政执法改革工作专班，由街道党工委书记任组长，强化组织领导和统筹协调，及时研究解决改革试点工作推进中的重大问题。明确专人负责工作 对接和落地推进，精心组织实施，确保改革取得实实在在的成效。</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（三）狠抓工作落实。</w:t>
      </w:r>
      <w:r>
        <w:rPr>
          <w:rFonts w:hint="eastAsia" w:ascii="仿宋_GB2312" w:hAnsi="仿宋_GB2312" w:eastAsia="仿宋_GB2312" w:cs="仿宋_GB2312"/>
          <w:sz w:val="32"/>
          <w:szCs w:val="32"/>
        </w:rPr>
        <w:t>压紧压实改革主体责任，强化专班的统一指挥和部门间的协同合作，及时研究制定改革实施方案，明确试点工作的目标任务、工作安排、责任分工等，突出试点工作重点，探索解决关键问题。</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60" w:firstLineChars="20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（四）严肃工作纪律。</w:t>
      </w:r>
      <w:r>
        <w:rPr>
          <w:rFonts w:hint="eastAsia" w:ascii="仿宋_GB2312" w:hAnsi="仿宋_GB2312" w:eastAsia="仿宋_GB2312" w:cs="仿宋_GB2312"/>
          <w:sz w:val="32"/>
          <w:szCs w:val="32"/>
        </w:rPr>
        <w:t>改革期间，各相关部门要按照现有的职责分工，认真履行职责，切实做好干部职工的思想政治工作，确保各项工作上下贯通、运转顺畅，严禁出现思想混乱、队伍涣散、工作断档现象；严格执行机构编制、组织人事和财务工作纪律。对违反规定的，严肃查处，追究责任。</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附件：舟山市定海区人民政府盐仓街道办事处综合行政执法事项目录（202</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年）</w:t>
      </w:r>
    </w:p>
    <w:p>
      <w:pPr>
        <w:pStyle w:val="3"/>
        <w:keepNext w:val="0"/>
        <w:keepLines w:val="0"/>
        <w:pageBreakBefore w:val="0"/>
        <w:kinsoku/>
        <w:wordWrap/>
        <w:overflowPunct/>
        <w:topLinePunct w:val="0"/>
        <w:autoSpaceDE w:val="0"/>
        <w:autoSpaceDN w:val="0"/>
        <w:bidi w:val="0"/>
        <w:adjustRightInd/>
        <w:snapToGrid/>
        <w:spacing w:line="560" w:lineRule="exact"/>
        <w:jc w:val="left"/>
        <w:outlineLvl w:val="9"/>
        <w:rPr>
          <w:sz w:val="19"/>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hint="eastAsia" w:ascii="黑体" w:hAnsi="黑体" w:eastAsia="黑体" w:cs="黑体"/>
          <w:sz w:val="32"/>
          <w:szCs w:val="32"/>
        </w:rPr>
      </w:pPr>
    </w:p>
    <w:p>
      <w:pPr>
        <w:pStyle w:val="2"/>
        <w:keepNext w:val="0"/>
        <w:keepLines w:val="0"/>
        <w:pageBreakBefore w:val="0"/>
        <w:kinsoku/>
        <w:wordWrap/>
        <w:overflowPunct/>
        <w:topLinePunct w:val="0"/>
        <w:bidi w:val="0"/>
        <w:adjustRightInd/>
        <w:snapToGrid/>
        <w:spacing w:line="560" w:lineRule="exact"/>
        <w:ind w:firstLine="0" w:firstLineChars="0"/>
        <w:outlineLvl w:val="9"/>
        <w:rPr>
          <w:rFonts w:ascii="黑体" w:hAnsi="黑体" w:eastAsia="黑体" w:cs="黑体"/>
          <w:sz w:val="32"/>
          <w:szCs w:val="32"/>
        </w:rPr>
      </w:pPr>
      <w:r>
        <w:rPr>
          <w:rFonts w:hint="eastAsia" w:ascii="黑体" w:hAnsi="黑体" w:eastAsia="黑体" w:cs="黑体"/>
          <w:sz w:val="32"/>
          <w:szCs w:val="32"/>
        </w:rPr>
        <w:t>附件</w:t>
      </w:r>
    </w:p>
    <w:p>
      <w:pPr>
        <w:pStyle w:val="2"/>
        <w:keepNext w:val="0"/>
        <w:keepLines w:val="0"/>
        <w:pageBreakBefore w:val="0"/>
        <w:kinsoku/>
        <w:wordWrap/>
        <w:overflowPunct/>
        <w:topLinePunct w:val="0"/>
        <w:bidi w:val="0"/>
        <w:adjustRightInd/>
        <w:snapToGrid/>
        <w:spacing w:line="560" w:lineRule="exact"/>
        <w:ind w:firstLine="0" w:firstLineChars="0"/>
        <w:outlineLvl w:val="9"/>
        <w:rPr>
          <w:rFonts w:eastAsia="宋体"/>
        </w:rPr>
      </w:pPr>
    </w:p>
    <w:p>
      <w:pPr>
        <w:pStyle w:val="2"/>
        <w:keepNext w:val="0"/>
        <w:keepLines w:val="0"/>
        <w:pageBreakBefore w:val="0"/>
        <w:kinsoku/>
        <w:wordWrap/>
        <w:overflowPunct/>
        <w:topLinePunct w:val="0"/>
        <w:bidi w:val="0"/>
        <w:adjustRightInd/>
        <w:snapToGrid/>
        <w:spacing w:line="560" w:lineRule="exact"/>
        <w:ind w:firstLine="0" w:firstLineChars="0"/>
        <w:jc w:val="center"/>
        <w:outlineLvl w:val="9"/>
        <w:rPr>
          <w:rFonts w:hint="eastAsia" w:ascii="方正小标宋简体" w:eastAsia="方正小标宋简体"/>
          <w:sz w:val="44"/>
          <w:szCs w:val="44"/>
        </w:rPr>
      </w:pPr>
      <w:r>
        <w:rPr>
          <w:rFonts w:hint="eastAsia" w:ascii="方正小标宋简体" w:eastAsia="方正小标宋简体"/>
          <w:sz w:val="44"/>
          <w:szCs w:val="44"/>
          <w:lang w:eastAsia="zh-CN"/>
        </w:rPr>
        <w:t>舟山市</w:t>
      </w:r>
      <w:r>
        <w:rPr>
          <w:rFonts w:hint="eastAsia" w:ascii="方正小标宋简体" w:eastAsia="方正小标宋简体"/>
          <w:sz w:val="44"/>
          <w:szCs w:val="44"/>
        </w:rPr>
        <w:t>定海区</w:t>
      </w:r>
      <w:r>
        <w:rPr>
          <w:rFonts w:hint="eastAsia" w:ascii="方正小标宋简体" w:eastAsia="方正小标宋简体"/>
          <w:sz w:val="44"/>
          <w:szCs w:val="44"/>
          <w:lang w:eastAsia="zh-CN"/>
        </w:rPr>
        <w:t>人民政府盐仓</w:t>
      </w:r>
      <w:r>
        <w:rPr>
          <w:rFonts w:hint="eastAsia" w:ascii="方正小标宋简体" w:eastAsia="方正小标宋简体"/>
          <w:sz w:val="44"/>
          <w:szCs w:val="44"/>
        </w:rPr>
        <w:t>街道</w:t>
      </w:r>
      <w:r>
        <w:rPr>
          <w:rFonts w:hint="eastAsia" w:ascii="方正小标宋简体" w:eastAsia="方正小标宋简体"/>
          <w:sz w:val="44"/>
          <w:szCs w:val="44"/>
          <w:lang w:eastAsia="zh-CN"/>
        </w:rPr>
        <w:t>办事处</w:t>
      </w:r>
      <w:r>
        <w:rPr>
          <w:rFonts w:hint="eastAsia" w:ascii="方正小标宋简体" w:eastAsia="方正小标宋简体"/>
          <w:sz w:val="44"/>
          <w:szCs w:val="44"/>
        </w:rPr>
        <w:t>综合行政执法事项目录</w:t>
      </w:r>
      <w:r>
        <w:rPr>
          <w:rFonts w:hint="eastAsia" w:ascii="方正小标宋简体" w:eastAsia="方正小标宋简体"/>
          <w:sz w:val="44"/>
          <w:szCs w:val="44"/>
          <w:lang w:eastAsia="zh-CN"/>
        </w:rPr>
        <w:t>（</w:t>
      </w:r>
      <w:r>
        <w:rPr>
          <w:rFonts w:hint="eastAsia" w:ascii="方正小标宋简体" w:eastAsia="方正小标宋简体"/>
          <w:sz w:val="44"/>
          <w:szCs w:val="44"/>
          <w:lang w:val="en-US" w:eastAsia="zh-CN"/>
        </w:rPr>
        <w:t>2022年</w:t>
      </w:r>
      <w:r>
        <w:rPr>
          <w:rFonts w:hint="eastAsia" w:ascii="方正小标宋简体" w:eastAsia="方正小标宋简体"/>
          <w:sz w:val="44"/>
          <w:szCs w:val="44"/>
          <w:lang w:eastAsia="zh-CN"/>
        </w:rPr>
        <w:t>）</w:t>
      </w:r>
    </w:p>
    <w:tbl>
      <w:tblPr>
        <w:tblStyle w:val="7"/>
        <w:tblpPr w:leftFromText="180" w:rightFromText="180" w:vertAnchor="text" w:horzAnchor="page" w:tblpX="1095" w:tblpY="885"/>
        <w:tblOverlap w:val="never"/>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2384"/>
        <w:gridCol w:w="3871"/>
        <w:gridCol w:w="1605"/>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序号</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事项代码</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事项名称</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具体划转执法事项</w:t>
            </w:r>
          </w:p>
        </w:tc>
        <w:tc>
          <w:tcPr>
            <w:tcW w:w="142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lang w:eastAsia="zh-CN"/>
              </w:rPr>
              <w:t>划出部门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一、发改（共3项）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330204007000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对电力建设项目使用国家明令淘汰的电力设备和技术的行政处罚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330204009000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对危害发电设施、变电设施和电力线路设施的行政处罚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330204008000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对电网设施所有人或管理人未按规定设立电网设施安全警示标志的行政处罚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二、经信（共2项）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330207001008</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对城市规划区内违法销售空心粘土砖的行政处罚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330207001007</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对违法销售实心粘土砖（烧结普通砖）的行政处罚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三、教育（共1项）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330205003000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对违反国家教育法或民办教育促进法，违规举办学校或者其他教育机构的处罚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四、公安（共3项）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330209028001</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对在</w:t>
            </w:r>
            <w:r>
              <w:rPr>
                <w:rFonts w:hint="eastAsia" w:ascii="仿宋" w:hAnsi="仿宋" w:eastAsia="仿宋" w:cs="仿宋"/>
                <w:sz w:val="20"/>
                <w:szCs w:val="20"/>
              </w:rPr>
              <w:t>人行道违法停</w:t>
            </w:r>
            <w:r>
              <w:rPr>
                <w:rFonts w:hint="eastAsia" w:ascii="仿宋" w:hAnsi="仿宋" w:eastAsia="仿宋" w:cs="仿宋"/>
                <w:sz w:val="20"/>
                <w:szCs w:val="20"/>
                <w:lang w:eastAsia="zh-CN"/>
              </w:rPr>
              <w:t>放机动</w:t>
            </w:r>
            <w:r>
              <w:rPr>
                <w:rFonts w:hint="eastAsia" w:ascii="仿宋" w:hAnsi="仿宋" w:eastAsia="仿宋" w:cs="仿宋"/>
                <w:sz w:val="20"/>
                <w:szCs w:val="20"/>
              </w:rPr>
              <w:t>车的</w:t>
            </w:r>
            <w:r>
              <w:rPr>
                <w:rFonts w:hint="eastAsia" w:ascii="仿宋" w:hAnsi="仿宋" w:eastAsia="仿宋" w:cs="仿宋"/>
                <w:sz w:val="20"/>
                <w:szCs w:val="20"/>
                <w:lang w:eastAsia="zh-CN"/>
              </w:rPr>
              <w:t>行政</w:t>
            </w:r>
            <w:r>
              <w:rPr>
                <w:rFonts w:hint="eastAsia" w:ascii="仿宋" w:hAnsi="仿宋" w:eastAsia="仿宋" w:cs="仿宋"/>
                <w:sz w:val="20"/>
                <w:szCs w:val="20"/>
              </w:rPr>
              <w:t>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val="en-US" w:eastAsia="zh-CN"/>
              </w:rPr>
            </w:pPr>
            <w:r>
              <w:rPr>
                <w:rFonts w:hint="eastAsia" w:ascii="仿宋" w:hAnsi="仿宋" w:eastAsia="仿宋" w:cs="仿宋"/>
                <w:sz w:val="20"/>
                <w:szCs w:val="20"/>
              </w:rPr>
              <w:t>33020982</w:t>
            </w:r>
            <w:r>
              <w:rPr>
                <w:rFonts w:hint="eastAsia" w:ascii="仿宋" w:hAnsi="仿宋" w:eastAsia="仿宋" w:cs="仿宋"/>
                <w:sz w:val="20"/>
                <w:szCs w:val="20"/>
                <w:lang w:val="en-US" w:eastAsia="zh-CN"/>
              </w:rPr>
              <w:t>8002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对在人行道违法停放非机动车的行政处罚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330209896000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对擅自在人行道设置、占用、撤除</w:t>
            </w:r>
            <w:r>
              <w:rPr>
                <w:rFonts w:hint="eastAsia" w:ascii="仿宋" w:hAnsi="仿宋" w:eastAsia="仿宋" w:cs="仿宋"/>
                <w:sz w:val="20"/>
                <w:szCs w:val="20"/>
                <w:lang w:eastAsia="zh-CN"/>
              </w:rPr>
              <w:t>道路</w:t>
            </w:r>
            <w:r>
              <w:rPr>
                <w:rFonts w:hint="eastAsia" w:ascii="仿宋" w:hAnsi="仿宋" w:eastAsia="仿宋" w:cs="仿宋"/>
                <w:sz w:val="20"/>
                <w:szCs w:val="20"/>
              </w:rPr>
              <w:t>停车泊位的行政处罚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五、民宗（共10项）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330241022000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对擅自举行非通常宗教活动的行政处罚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部分（撤换主管人员除外）</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330241010000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对擅自举行大型宗教活动的行政处罚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部分（撤换主要负责人或主管人员、吊销登记证书除外）</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330241007000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对临时活动地点的宗教活动违反规定的行政处罚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330241023000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对为违法宗教活动提供条件的行政处罚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330241004000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对擅自设立宗教活动场所的行政处罚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330241011000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对非宗教团体、非宗教院校、非宗教活动场所、非指定的临时活动地点组织、举行宗教活动，接受宗教性捐赠的行政处罚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330241021000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对在广场、公园、旅游景点、车站、码头、机场、医院、学校、体育场馆等公共场所散发宗教类出版物、印刷品或音像制品等进行传教的行政处罚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330241009000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对擅自编印、发送宗教内部资料性出版物或印刷其他宗教用品的行政处罚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330241003000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对擅自开展宗教教育培训的行政处罚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330241012000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对假冒宗教教职人员的行政处罚</w:t>
            </w:r>
          </w:p>
        </w:tc>
        <w:tc>
          <w:tcPr>
            <w:tcW w:w="1605"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top"/>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六、自然资源（8项）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330215069000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在燃气设施保护范围内建设占压地下燃气管线的建筑物、构筑物或者其他设施的</w:t>
            </w:r>
            <w:r>
              <w:rPr>
                <w:rFonts w:hint="eastAsia" w:ascii="仿宋" w:hAnsi="仿宋" w:eastAsia="仿宋" w:cs="仿宋"/>
                <w:sz w:val="20"/>
                <w:szCs w:val="20"/>
                <w:lang w:eastAsia="zh-CN"/>
              </w:rPr>
              <w:t>行政</w:t>
            </w:r>
            <w:r>
              <w:rPr>
                <w:rFonts w:hint="eastAsia" w:ascii="仿宋" w:hAnsi="仿宋" w:eastAsia="仿宋" w:cs="仿宋"/>
                <w:sz w:val="20"/>
                <w:szCs w:val="20"/>
              </w:rPr>
              <w:t>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330215041001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lang w:eastAsia="zh-CN"/>
              </w:rPr>
              <w:t>对</w:t>
            </w:r>
            <w:r>
              <w:rPr>
                <w:rFonts w:hint="eastAsia" w:ascii="仿宋" w:hAnsi="仿宋" w:eastAsia="仿宋" w:cs="仿宋"/>
                <w:sz w:val="20"/>
                <w:szCs w:val="20"/>
              </w:rPr>
              <w:t>未取得建设工程规划许可证进行建设</w:t>
            </w:r>
            <w:r>
              <w:rPr>
                <w:rFonts w:hint="eastAsia" w:ascii="仿宋" w:hAnsi="仿宋" w:eastAsia="仿宋" w:cs="仿宋"/>
                <w:sz w:val="20"/>
                <w:szCs w:val="20"/>
                <w:lang w:eastAsia="zh-CN"/>
              </w:rPr>
              <w:t>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330215041002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rPr>
              <w:t>未按照建设工程规划许可证的规定进行建设</w:t>
            </w:r>
            <w:r>
              <w:rPr>
                <w:rFonts w:hint="eastAsia" w:ascii="仿宋" w:hAnsi="仿宋" w:eastAsia="仿宋" w:cs="仿宋"/>
                <w:sz w:val="20"/>
                <w:szCs w:val="20"/>
                <w:lang w:eastAsia="zh-CN"/>
              </w:rPr>
              <w:t>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330215040001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w:t>
            </w:r>
            <w:r>
              <w:rPr>
                <w:rFonts w:hint="eastAsia" w:ascii="仿宋" w:hAnsi="仿宋" w:eastAsia="仿宋" w:cs="仿宋"/>
                <w:sz w:val="20"/>
                <w:szCs w:val="20"/>
              </w:rPr>
              <w:t>建设单位或者个人未经批准进行临时建设的行政处罚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330215040002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w:t>
            </w:r>
            <w:r>
              <w:rPr>
                <w:rFonts w:hint="eastAsia" w:ascii="仿宋" w:hAnsi="仿宋" w:eastAsia="仿宋" w:cs="仿宋"/>
                <w:sz w:val="20"/>
                <w:szCs w:val="20"/>
              </w:rPr>
              <w:t>建设单位或者个人未按照批准内容进行临时建设的行政处罚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330215040003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w:t>
            </w:r>
            <w:r>
              <w:rPr>
                <w:rFonts w:hint="eastAsia" w:ascii="仿宋" w:hAnsi="仿宋" w:eastAsia="仿宋" w:cs="仿宋"/>
                <w:sz w:val="20"/>
                <w:szCs w:val="20"/>
              </w:rPr>
              <w:t>临时建筑物、构筑物超过批准期限不拆除的行政处罚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330215073000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w:t>
            </w:r>
            <w:r>
              <w:rPr>
                <w:rFonts w:hint="eastAsia" w:ascii="仿宋" w:hAnsi="仿宋" w:eastAsia="仿宋" w:cs="仿宋"/>
                <w:sz w:val="20"/>
                <w:szCs w:val="20"/>
              </w:rPr>
              <w:t>房屋使用人擅自改变建设工程规划许可证确定的房屋用途的</w:t>
            </w:r>
            <w:r>
              <w:rPr>
                <w:rFonts w:hint="eastAsia" w:ascii="仿宋" w:hAnsi="仿宋" w:eastAsia="仿宋" w:cs="仿宋"/>
                <w:sz w:val="20"/>
                <w:szCs w:val="20"/>
                <w:lang w:eastAsia="zh-CN"/>
              </w:rPr>
              <w:t>行政</w:t>
            </w:r>
            <w:r>
              <w:rPr>
                <w:rFonts w:hint="eastAsia" w:ascii="仿宋" w:hAnsi="仿宋" w:eastAsia="仿宋" w:cs="仿宋"/>
                <w:sz w:val="20"/>
                <w:szCs w:val="20"/>
              </w:rPr>
              <w:t>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330215067000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对</w:t>
            </w:r>
            <w:r>
              <w:rPr>
                <w:rFonts w:hint="eastAsia" w:ascii="仿宋" w:hAnsi="仿宋" w:eastAsia="仿宋" w:cs="仿宋"/>
                <w:sz w:val="20"/>
                <w:szCs w:val="20"/>
              </w:rPr>
              <w:t>建设单位或者个人改变临时规划许可确定的建筑用途的</w:t>
            </w:r>
            <w:r>
              <w:rPr>
                <w:rFonts w:hint="eastAsia" w:ascii="仿宋" w:hAnsi="仿宋" w:eastAsia="仿宋" w:cs="仿宋"/>
                <w:sz w:val="20"/>
                <w:szCs w:val="20"/>
                <w:lang w:eastAsia="zh-CN"/>
              </w:rPr>
              <w:t>行政</w:t>
            </w:r>
            <w:r>
              <w:rPr>
                <w:rFonts w:hint="eastAsia" w:ascii="仿宋" w:hAnsi="仿宋" w:eastAsia="仿宋" w:cs="仿宋"/>
                <w:sz w:val="20"/>
                <w:szCs w:val="20"/>
              </w:rPr>
              <w:t>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七、生态环境（共16项）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330216132002</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57"/>
              <w:jc w:val="left"/>
              <w:outlineLvl w:val="9"/>
              <w:rPr>
                <w:rFonts w:hint="eastAsia" w:ascii="仿宋" w:hAnsi="仿宋" w:eastAsia="仿宋" w:cs="仿宋"/>
                <w:sz w:val="20"/>
                <w:szCs w:val="20"/>
              </w:rPr>
            </w:pPr>
            <w:r>
              <w:rPr>
                <w:rFonts w:hint="eastAsia" w:ascii="仿宋" w:hAnsi="仿宋" w:eastAsia="仿宋" w:cs="仿宋"/>
                <w:spacing w:val="-11"/>
                <w:sz w:val="20"/>
                <w:szCs w:val="20"/>
              </w:rPr>
              <w:t>对向水体排放、倾倒工业废渣、城镇</w:t>
            </w:r>
            <w:r>
              <w:rPr>
                <w:rFonts w:hint="eastAsia" w:ascii="仿宋" w:hAnsi="仿宋" w:eastAsia="仿宋" w:cs="仿宋"/>
                <w:sz w:val="20"/>
                <w:szCs w:val="20"/>
              </w:rPr>
              <w:t>垃圾或者其他废弃物等违法行为的行政处罚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kern w:val="0"/>
                <w:sz w:val="20"/>
                <w:szCs w:val="20"/>
              </w:rPr>
            </w:pPr>
            <w:r>
              <w:rPr>
                <w:rFonts w:hint="eastAsia" w:ascii="仿宋" w:hAnsi="仿宋" w:eastAsia="仿宋" w:cs="仿宋"/>
                <w:kern w:val="0"/>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kern w:val="0"/>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330216227000</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82"/>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对饮用水水源一级保护区从事可能污染水体的活动以及个人从事可能污染水体活动的行政处罚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330216090001</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对个人存放 煤炭、煤矸石、煤渣、煤灰等物料，未采取 防燃措施的行政处罚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left="66" w:right="82"/>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330216107002</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kern w:val="0"/>
                <w:sz w:val="20"/>
                <w:szCs w:val="20"/>
              </w:rPr>
            </w:pPr>
            <w:r>
              <w:rPr>
                <w:rFonts w:hint="eastAsia" w:ascii="仿宋" w:hAnsi="仿宋" w:eastAsia="仿宋" w:cs="仿宋"/>
                <w:kern w:val="0"/>
                <w:sz w:val="20"/>
                <w:szCs w:val="20"/>
              </w:rPr>
              <w:t>对个人未按照规定停止燃用高污染燃料的行政处罚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left="68" w:right="79"/>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330216310004</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对运输过程中沿途丢弃、遗撒工业固体废物行为的行政处罚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left="68" w:right="79"/>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330216203000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对将秸秆、食用菌菌糠和菌渣、废农膜随意倾倒或弃留的行政处罚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330216182000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对从事畜禽规模养殖未及时收集、贮存、利用或者处置养殖过程中产生的畜禽粪污等固体废物的行政处罚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330216317000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对在禁止养殖区域内建设畜禽养殖场、养殖小区的行政处罚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330216239000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对未经处理直接向环境排放畜禽养殖废弃物或者未采取有效措施，导致畜禽养殖废弃物渗出、泄漏</w:t>
            </w:r>
            <w:r>
              <w:rPr>
                <w:rFonts w:hint="eastAsia" w:ascii="仿宋" w:hAnsi="仿宋" w:eastAsia="仿宋" w:cs="仿宋"/>
                <w:sz w:val="20"/>
                <w:szCs w:val="20"/>
                <w:lang w:eastAsia="zh-CN"/>
              </w:rPr>
              <w:t>等行为</w:t>
            </w:r>
            <w:r>
              <w:rPr>
                <w:rFonts w:hint="eastAsia" w:ascii="仿宋" w:hAnsi="仿宋" w:eastAsia="仿宋" w:cs="仿宋"/>
                <w:sz w:val="20"/>
                <w:szCs w:val="20"/>
              </w:rPr>
              <w:t>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330216282000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对违法在人口集中和其他需特殊保护区域焚烧产生有毒有害烟尘和恶臭气体的行政处罚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330216277002</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对露天焚烧秸秆、落叶等产生烟尘污染物质的行政处罚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left="68" w:right="79"/>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330216279001</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对经营者未安装净化设施、不正常使用净化设施的行政处罚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left="68" w:right="79"/>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330216281000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对在居民住宅楼、未配套设立专用烟道的商住综合楼、商住综合楼内与居住层相邻的商业楼层内新改扩建产生油烟、异味、废气的餐饮服务项目的行政处罚</w:t>
            </w:r>
          </w:p>
        </w:tc>
        <w:tc>
          <w:tcPr>
            <w:tcW w:w="1605" w:type="dxa"/>
            <w:vAlign w:val="center"/>
          </w:tcPr>
          <w:p>
            <w:pPr>
              <w:pStyle w:val="8"/>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330216280000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对在当地人民政府禁止的时段和区域内露天烧烤食品或者为露天烧烤食品提供场地的行政处罚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330216098000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对在城市市区噪声敏感建筑物集中区域内夜间进行产生环境噪声污染的建筑施工作业的行政处罚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330216272000</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对文化娱乐场所等商业经营活动造成环境噪声污染的行政处罚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八、住房城乡建设（共114项）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330217B22001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对在公厕内乱丢垃圾或污物、随地吐痰、乱涂乱画的行政处罚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330217B22002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对破坏公厕设施、设备的行政处罚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330217B22003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对擅自占用公厕或改变公厕使用性质的行政处罚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330217454000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对擅自在街道两侧和公共场地堆放物料，搭建建筑物、构筑物或其他设施的行政处罚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330217453000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对损坏环境卫生设施或其附属设施的行政处罚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330217E14000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对随意倾倒、抛洒、堆放、焚烧生活垃圾的行政处罚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330217116000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对违法改变绿化规划、绿化用地使用性质的行政处罚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对未经同意擅自占用城市绿地及占用超过批准时间的行政处罚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对在公园绿地范围内从事商业服务摊点或广告经营等业务的单位和个人违反公园绿地有关规定的行政处罚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330217138001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对依树盖房、搭棚、架设天线的行政处罚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330217138002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对在绿地内放牧、堆物、倾倒废弃物的行政处罚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330217138003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对进入设有明示禁止标志的绿地的行政处罚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330217138004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对破坏草坪、绿篱、花卉、树木、植被的行政处罚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330217138005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对其他损坏城市绿地和绿化设施的行为的行政处罚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对未经城市规划行政主管部门批准，在住宅室内装饰装修活动中搭建建筑物、构筑物的，或者擅自改变住宅外立面、在非承重外墙上开门、窗的行政处罚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对出租危险房屋或者将危险房屋用于生产经营、公益事业活动的行政处罚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330217240001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对施工工地未设置硬质密闭围挡，或者未采取有效防尘降尘措施的行政处罚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330217240002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对建筑土方、工程渣土、建筑垃圾未及时清运，或者未采用密闭式防尘网遮盖的行政处罚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对作业单位未及时清理因栽培或者修剪树木、花草等产生的树枝、树叶等废弃物的行政处罚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对作业单位</w:t>
            </w:r>
            <w:r>
              <w:rPr>
                <w:rFonts w:hint="eastAsia" w:ascii="仿宋" w:hAnsi="仿宋" w:eastAsia="仿宋" w:cs="仿宋"/>
                <w:sz w:val="20"/>
                <w:szCs w:val="20"/>
                <w:lang w:eastAsia="zh-CN"/>
              </w:rPr>
              <w:t>未及时清运、处理</w:t>
            </w:r>
            <w:r>
              <w:rPr>
                <w:rFonts w:hint="eastAsia" w:ascii="仿宋" w:hAnsi="仿宋" w:eastAsia="仿宋" w:cs="仿宋"/>
                <w:sz w:val="20"/>
                <w:szCs w:val="20"/>
              </w:rPr>
              <w:t>清理窨井淤泥产生的废弃物并随意堆放</w:t>
            </w:r>
            <w:r>
              <w:rPr>
                <w:rFonts w:hint="eastAsia" w:ascii="仿宋" w:hAnsi="仿宋" w:eastAsia="仿宋" w:cs="仿宋"/>
                <w:sz w:val="20"/>
                <w:szCs w:val="20"/>
                <w:lang w:eastAsia="zh-CN"/>
              </w:rPr>
              <w:t>、</w:t>
            </w:r>
            <w:r>
              <w:rPr>
                <w:rFonts w:hint="eastAsia" w:ascii="仿宋" w:hAnsi="仿宋" w:eastAsia="仿宋" w:cs="仿宋"/>
                <w:sz w:val="20"/>
                <w:szCs w:val="20"/>
              </w:rPr>
              <w:t>未清洗作业场地的行政处罚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对未在施工前制定古树名木保护方案或者未按照古树名木保护方案施工的行政处罚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330217140000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对损毁或者擅自移动古树名木保护标志、保护设施的行政处罚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330217171000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对未经批准擅自砍伐城市树木的行政处罚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对未经批准在城市绿地范围内进行拦河截溪、取土采石、设置垃圾堆场、排放污水以及其他对城市生态环境造成破坏活动的行政处罚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330217D62000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对工程施工单位未编制建筑垃圾处理方案或未将方案备案的行政处罚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330217D59000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对工程施工单位未及时清运施工产生的固体废物的行政处罚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330217D61000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对工程施工单位未按规定利用或处置施工产生的固体废物的行政处罚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330217D63000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对产生、收集厨余垃圾的单位和其他生产经营者未将厨余垃圾交由具备相应资质条件的单位进行无害化处理的行政处罚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29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330217D65000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对畜禽养殖场、养殖小区利用未经无害化处理的厨余垃圾饲喂畜禽的行政处罚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330217E16000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对在运输过程中沿途丢弃、遗撒生活垃圾的行政处罚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对将没有防水要求的房间或者阳台改为卫生间、厨房间的行政处罚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对拆除连接阳台的砖、混凝土墙体的行政处罚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对损坏房屋原有节能设施或者降低节能效果的行政处罚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对擅自拆改供暖管道和设施的行政处罚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对擅自拆改燃气管道和设施的行政处罚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330217228006</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对未经原设计单位或者具有相应资质等级的设计单位提出设计方案，擅自超过设计标准或者规范增加楼面荷载的行政处罚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color w:val="000000"/>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color w:val="000000"/>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330217141000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对房屋使用安全责任人和房屋装修经营者违法进行房屋装修的行政处罚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color w:val="000000"/>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color w:val="000000"/>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对未经市容环境卫生主管部门依法许可从事餐厨垃圾收运、处置的行政处罚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330217177001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对餐厨垃圾产生单位自行就地处置餐厨垃圾未报送备案的行政处罚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330217275000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对餐厨垃圾产生单位将餐厨垃圾交由规定以外单位、个人处理的行政处罚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330217207000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对餐厨垃圾产生单位将餐厨垃圾与其他生活垃圾混合投放的行政处罚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对单位和个人未</w:t>
            </w:r>
            <w:r>
              <w:rPr>
                <w:rFonts w:hint="eastAsia" w:ascii="仿宋" w:hAnsi="仿宋" w:eastAsia="仿宋" w:cs="仿宋"/>
                <w:sz w:val="20"/>
                <w:szCs w:val="20"/>
                <w:lang w:eastAsia="zh-CN"/>
              </w:rPr>
              <w:t>按规定</w:t>
            </w:r>
            <w:r>
              <w:rPr>
                <w:rFonts w:hint="eastAsia" w:ascii="仿宋" w:hAnsi="仿宋" w:eastAsia="仿宋" w:cs="仿宋"/>
                <w:sz w:val="20"/>
                <w:szCs w:val="20"/>
              </w:rPr>
              <w:t>分类投放生活垃圾的行政处罚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对生活垃圾分类投放管理责任人未履行生活垃圾分类投放管理责任的行政处罚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对主要街道和重点地区临街建筑物阳台外、窗外、屋顶吊挂或者堆放有关物品的行政处罚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对主要街道和重点地区临街建筑物外立面安装窗栏、空调外机、遮阳篷等不符合有关规范要求的行政处罚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对在树木、地面、电杆、建筑物、构筑物或者其他设施上任意刻画、涂写、张贴的行政处罚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对随地吐痰、便溺的行政处罚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对乱扔果皮、纸屑、烟蒂、饮料罐、口香糖、塑料袋等废弃物的行政处罚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49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330217197006</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对乱倒生活垃圾、污水、粪便的行政处罚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330217175000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对未经城市人民政府市容环境卫生行政主管部门同意擅自设置大型户外广告影响市容的行政处罚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330217248002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对单位和个人在城市道路、公园绿地和其他公共场所公共设施上晾晒、吊挂衣物的行政处罚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对擅自占用城市人行道、桥梁、地下通道以及其他公共场所设摊经营、兜售物品的行政处罚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对沿街和广场周边的经营者擅自超出门、窗进行店外经营、作业或者展示商品的行政处罚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对从事车辆清洗或者维修、废品收购、废弃物接纳作业的单位和个人未采取有效措施防止污水外流或者将废弃物向外洒落的行政处罚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330217260000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对户外广告设施以及非广告的户外设施不符合城市容貌标准的行政处罚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330217265000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对户外设施的设置单位未做好日常维护保养等管理工作的行政处罚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对饮食业经营者和其他单位产生的餐厨垃圾未单独收集、处置或者委托环境卫生专业服务单位收集和处置进行无害化处理的行政处罚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330217179000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对不按照规定路线、时间清运建筑垃圾，沿途丢弃、遗撒、随意倾倒的行政处罚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59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330217258000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对居民装修房屋产生的建筑垃圾未堆放到指定地点的行政处罚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330217224002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对建设工程的施工现场未设置临时厕所和生活垃圾收集容器，保持整洁、完好，或未采取有效措施防止污水流溢的行政处罚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330217159000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对建设工程竣工验收后施工单位未及时清除剩余建筑垃圾、平整场地的行政处罚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对饲养人未及时清理宠物在城市道路和其他公共场地排放的粪便，饲养宠物和信鸽污染环境的行政处罚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330217255001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对侵占、损坏、拆除、关闭环境卫生设施，擅自改变环境卫生设施的使用性质的行政处罚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330217156000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对在露天场所和垃圾收集容器内焚烧树叶、垃圾或者其他废弃物的行政处罚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330217154000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对公共场所经营管理单位未按标准设置厕所、垃圾容器、废物箱以及其他配套的环境卫生设施的行政处罚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color w:val="000000"/>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color w:val="000000"/>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330217E13000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对擅自关闭、闲置、拆除生活垃圾处理设施、场所的行政处罚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330217204000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对饲养家畜家禽和食用鸽影响市容和环境卫生的行政处罚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对随意倾倒、抛洒、堆放城市生活垃圾的行政处罚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69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330217167002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对将危险废物混入建筑垃圾的行政处罚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330217167003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对擅自设立弃置场受纳建筑垃圾的行政处罚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330217167004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对将建筑垃圾混入生活垃圾的行政处罚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330217655000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对施工单位未及时清运工程施工过程中产生的建筑垃圾造成环境污染的行政处罚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330217874000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对施工单位将建筑垃圾交给个人或者未经核准从事建筑垃圾运输的单位处置的行政处罚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对涂改、倒卖、出租、出借或者以其他形式非法转让城市建筑垃圾处置核准文件的行政处罚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330217438000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对未经核准擅自处置建筑垃圾或者处置超出核准范围的建筑垃圾的行政处罚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330217014000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对随意倾倒、抛撒或者堆放建筑垃圾的行政处罚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330217238008</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对擅自占用或者挖掘城市道路、修筑出入口、搭建建筑物或者构筑物、明火作业、设置路障的行政处罚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330217238009</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对在道路上打砸硬物，碾压、晾晒农作物和其他物品的行政处罚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79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对车辆载物拖刮路面，履带车、铁轮车以及超重超长超高车辆擅自在道路上行驶的行为的行政处罚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对在道路上排放污水，倾倒垃圾和其他废弃物，以及堆放、焚烧、洒漏各类腐蚀性物质的行政处罚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对在道路上搅拌水泥、砂浆、混凝土，以及从事生产、加工、冲洗等可能损坏道路的各种作业的行政处罚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对机动车在非指定的城市道路上试刹车、停放以及在人行道上行驶的行政处罚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对在道路、路肩和道路两侧挖掘取土的行政处罚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330217238015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对偷盗、收购、挪动、损毁管线和窨井盖等道路附属设施的行政处罚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330217219001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对未经批准擅自通过消防专用供水设施用水行为的行政处罚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330217148002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对擅自倾倒、堆放、丢弃、遗撒污泥的行政处罚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330217213001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对未对设在城市道路上的各种管线的检查井、箱盖或者城市道路附属设施的缺损及时补缺或者修复的行为的行政处罚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330217213002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对未在城市道路施工现场设置明显标志和安全防围设施的行为的行政处罚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89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330217213008</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对未按照批准的位置、面积、期限占用或者挖掘城市道路，或者未按规定提前办理变更审批手续的行为的行政处罚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330217213009</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对未建立巡查制度，未及时补缺、修复或者采取有效的安全防护措施修复管线及窨井盖等附属设施的行为的行政处罚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330217213004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对占用城市道路期满或者挖掘城市道路后，不及时清理现场的行为的行政处罚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330217149003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对向城镇排水与污水处理设施排放、倾倒剧毒、易燃易爆、腐蚀性废液和废渣的行政处罚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330217149004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对向城镇排水与污水处理设施倾倒垃圾、渣土、施工泥浆等废弃物的行政处罚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330217166001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对向城镇排水设施排放、倾倒剧毒、易燃易爆物质、腐蚀性废液和废渣、有害气体和烹饪油烟等的行政处罚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330217166002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对堵塞城镇排水设施或者向城镇排水设施内排放、倾倒垃圾、渣土、施工泥浆、油脂、污泥等易堵塞物的行政处罚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330217166003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对擅自拆卸、移动和穿凿城镇排水设施的行政处罚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330217256000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对在雨水、污水分流地区建设单位、施工单位将雨水管网、污水管网相互混接行为的行政处罚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330217B07000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对城镇排水与污水处理设施覆盖范围内的排水单位</w:t>
            </w:r>
            <w:r>
              <w:rPr>
                <w:rFonts w:hint="eastAsia" w:ascii="仿宋" w:hAnsi="仿宋" w:eastAsia="仿宋" w:cs="仿宋"/>
                <w:sz w:val="20"/>
                <w:szCs w:val="20"/>
                <w:lang w:eastAsia="zh-CN"/>
              </w:rPr>
              <w:t>、</w:t>
            </w:r>
            <w:r>
              <w:rPr>
                <w:rFonts w:hint="eastAsia" w:ascii="仿宋" w:hAnsi="仿宋" w:eastAsia="仿宋" w:cs="仿宋"/>
                <w:sz w:val="20"/>
                <w:szCs w:val="20"/>
              </w:rPr>
              <w:t>个人，未按照国家有关规定将污水排入城镇排水设施，或者在雨水、污水分流地区将污水排入雨水管网</w:t>
            </w:r>
            <w:r>
              <w:rPr>
                <w:rFonts w:hint="eastAsia" w:ascii="仿宋" w:hAnsi="仿宋" w:eastAsia="仿宋" w:cs="仿宋"/>
                <w:sz w:val="20"/>
                <w:szCs w:val="20"/>
                <w:lang w:eastAsia="zh-CN"/>
              </w:rPr>
              <w:t>等行为</w:t>
            </w:r>
            <w:r>
              <w:rPr>
                <w:rFonts w:hint="eastAsia" w:ascii="仿宋" w:hAnsi="仿宋" w:eastAsia="仿宋" w:cs="仿宋"/>
                <w:sz w:val="20"/>
                <w:szCs w:val="20"/>
              </w:rPr>
              <w:t>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99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330217253000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对物业服务企业将一个物业管理区域内的全部物业管理一并委托给他人的行政处罚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330217814000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对挪用住宅专项维修资金的行政处罚（吊销资质证书的处罚除外）</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对未经业主大会同意，物业服务企业擅自改变物业管理用房的用途的行政处罚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330217217001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对擅自占用、挖掘物业管理区域内道路、场地，损害业主共同利益的行政处罚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330217217002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对擅自利用物业共用部位、共用设施设备进行经营的行政处罚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330217217003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br w:type="textWrapping"/>
            </w:r>
            <w:r>
              <w:rPr>
                <w:rFonts w:hint="eastAsia" w:ascii="仿宋" w:hAnsi="仿宋" w:eastAsia="仿宋" w:cs="仿宋"/>
                <w:sz w:val="20"/>
                <w:szCs w:val="20"/>
              </w:rPr>
              <w:t>对擅自改变物业管理区域内按照规划建设的公共建筑和共用设施用途的行政处罚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330217144000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对物业管理单位发现装修人或者装饰装修企业有违反规定行为不及时向有关部门报告的行政处罚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330217158000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对装修人未申报登记进行住宅室内装饰装修活动的行政处罚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330217185000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对装修人将住宅室内装饰装修工程委托给不具有相应资质等级企业的行政处罚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330217195000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对建设单位在物业管理区域内不按规定配置物业管理用房或者不按规定支付不足部分相应价款的行政处罚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color w:val="000000"/>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color w:val="000000"/>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109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330217281000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对排水户未取得污水排入排水管网许可证向城镇排水设施排放污水的行政处罚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110</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330217126001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对排水户不按照污水排入排水管网许可证要求排放污水行为的行政处罚（吊销排水许可证的处罚除外）</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330217126002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对排水户未按照排水许可证的要求，向城镇排水设施排放污水行为的行政处罚（吊销排水许可证的处罚除外）</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330217250000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对排水户名称、法定代表人等其他事项变更，未按本办法规定及时向城镇排水主管部门申请办理变更的行政处罚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330217170000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对排水户以欺骗、贿赂等不正当手段取得排水许可行为的行政处罚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color w:val="000000"/>
                <w:sz w:val="20"/>
                <w:szCs w:val="20"/>
              </w:rPr>
            </w:pPr>
            <w:r>
              <w:rPr>
                <w:rFonts w:hint="eastAsia" w:ascii="仿宋" w:hAnsi="仿宋" w:eastAsia="仿宋" w:cs="仿宋"/>
                <w:color w:val="000000"/>
                <w:sz w:val="20"/>
                <w:szCs w:val="20"/>
              </w:rPr>
              <w:t>114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330217439000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对建房村民未按规定组织竣工验收等的行政处罚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九、民政（共5项）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330211017001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对公墓、乡村公益性墓地接纳土葬或骨灰装棺土葬的行政处罚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330211006000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对擅自开办公墓、乡村骨灰存放处和乡村公益性墓地的行政处罚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330211038001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对擅自命名或更名住宅小区（楼）、建筑物名称的行政处罚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330211038003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对擅自编制或更改门（楼）牌号码的行政处罚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330211013000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对故意损毁或擅自移动界桩</w:t>
            </w:r>
            <w:r>
              <w:rPr>
                <w:rFonts w:hint="eastAsia" w:ascii="仿宋" w:hAnsi="仿宋" w:eastAsia="仿宋" w:cs="仿宋"/>
                <w:sz w:val="20"/>
                <w:szCs w:val="20"/>
                <w:lang w:eastAsia="zh-CN"/>
              </w:rPr>
              <w:t>或其他</w:t>
            </w:r>
            <w:r>
              <w:rPr>
                <w:rFonts w:hint="eastAsia" w:ascii="仿宋" w:hAnsi="仿宋" w:eastAsia="仿宋" w:cs="仿宋"/>
                <w:sz w:val="20"/>
                <w:szCs w:val="20"/>
              </w:rPr>
              <w:t>行政区域界线标志物的行政处罚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十</w:t>
            </w:r>
            <w:r>
              <w:rPr>
                <w:rFonts w:hint="eastAsia" w:ascii="仿宋" w:hAnsi="仿宋" w:eastAsia="仿宋" w:cs="仿宋"/>
                <w:sz w:val="20"/>
                <w:szCs w:val="20"/>
              </w:rPr>
              <w:t>、人力社保（4项）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330214044000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对娱乐场所招用未成年人的行政处罚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330214069001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对用人单位安排未成年工从事禁忌从事的劳动的行政处罚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330214007000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对用人单位违法使用童工的行政处罚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330214076000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对用人单位逾期不将童工送交监护人的行政处罚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十一</w:t>
            </w:r>
            <w:r>
              <w:rPr>
                <w:rFonts w:hint="eastAsia" w:ascii="仿宋" w:hAnsi="仿宋" w:eastAsia="仿宋" w:cs="仿宋"/>
                <w:sz w:val="20"/>
                <w:szCs w:val="20"/>
              </w:rPr>
              <w:t>、水利（共9项）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330219090000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对河道管理范围内从事妨害行洪活动的处罚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330219157001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对未经批准或未按批准要求取水的处罚（不含吊销取水许可证）</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330219161000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对侵占、毁坏水工程及有关设施的处罚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330219064000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对在林区采伐林木造成水土流失的处罚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330219162000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对在河道管理范围内从事禁止行为的处罚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330219097000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对在海塘上擅自破塘开缺或者新建闸门、违法行驶机动车的处罚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330219100000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对机动车在未兼作道路的水利工程上通行的处罚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330219106000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对在大坝管理范围和保护范围内从事禁止性行为的处罚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9</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330219068000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对擅自移动、损毁河道管理范围的界桩或者公告牌的处罚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lang w:eastAsia="zh-CN"/>
              </w:rPr>
              <w:t>十二</w:t>
            </w:r>
            <w:r>
              <w:rPr>
                <w:rFonts w:hint="eastAsia" w:ascii="仿宋" w:hAnsi="仿宋" w:eastAsia="仿宋" w:cs="仿宋"/>
                <w:sz w:val="20"/>
                <w:szCs w:val="20"/>
              </w:rPr>
              <w:t>、退役军人事务（共8项）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330224001001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对抚恤优待对象虚报病情骗取医药费的行政处罚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330224001003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对抚恤</w:t>
            </w:r>
            <w:r>
              <w:rPr>
                <w:rFonts w:hint="eastAsia" w:ascii="仿宋" w:hAnsi="仿宋" w:eastAsia="仿宋" w:cs="仿宋"/>
                <w:sz w:val="20"/>
                <w:szCs w:val="20"/>
                <w:lang w:eastAsia="zh-CN"/>
              </w:rPr>
              <w:t>优待</w:t>
            </w:r>
            <w:r>
              <w:rPr>
                <w:rFonts w:hint="eastAsia" w:ascii="仿宋" w:hAnsi="仿宋" w:eastAsia="仿宋" w:cs="仿宋"/>
                <w:sz w:val="20"/>
                <w:szCs w:val="20"/>
              </w:rPr>
              <w:t>对象出具假证明、伪造证件或印章骗取抚恤金、优待金、补助金的行政处罚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330224001005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对抚恤优待对象冒领抚恤金、优待金、补助金的行政处罚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330224002003</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对负有军人优待义务的单位不履行优待义务的行政处罚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330224002001</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对负有接收安置义务的单位未依法与退役士兵签订劳动合同、聘用合同的行政处罚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330224002002</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对负有接收安置义务的单位</w:t>
            </w:r>
            <w:r>
              <w:rPr>
                <w:rFonts w:hint="eastAsia" w:ascii="仿宋" w:hAnsi="仿宋" w:eastAsia="仿宋" w:cs="仿宋"/>
                <w:sz w:val="20"/>
                <w:szCs w:val="20"/>
                <w:lang w:eastAsia="zh-CN"/>
              </w:rPr>
              <w:t>违规</w:t>
            </w:r>
            <w:r>
              <w:rPr>
                <w:rFonts w:hint="eastAsia" w:ascii="仿宋" w:hAnsi="仿宋" w:eastAsia="仿宋" w:cs="仿宋"/>
                <w:sz w:val="20"/>
                <w:szCs w:val="20"/>
              </w:rPr>
              <w:t>与残疾退役士兵解除劳动关系或人事关系的行政处罚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7</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330224002005</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对负有接收安置义务的单位拒绝或无故拖延执行</w:t>
            </w:r>
            <w:r>
              <w:rPr>
                <w:rFonts w:hint="eastAsia" w:ascii="仿宋" w:hAnsi="仿宋" w:eastAsia="仿宋" w:cs="仿宋"/>
                <w:sz w:val="20"/>
                <w:szCs w:val="20"/>
                <w:lang w:eastAsia="zh-CN"/>
              </w:rPr>
              <w:t>所在地</w:t>
            </w:r>
            <w:r>
              <w:rPr>
                <w:rFonts w:hint="eastAsia" w:ascii="仿宋" w:hAnsi="仿宋" w:eastAsia="仿宋" w:cs="仿宋"/>
                <w:sz w:val="20"/>
                <w:szCs w:val="20"/>
              </w:rPr>
              <w:t>政府下达的安排退役士兵工作任务的行政处罚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8</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330224002004</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对负有烈士遗属优待义务的单位不履行优待义务的行政处罚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十</w:t>
            </w:r>
            <w:r>
              <w:rPr>
                <w:rFonts w:hint="eastAsia" w:ascii="仿宋" w:hAnsi="仿宋" w:eastAsia="仿宋" w:cs="仿宋"/>
                <w:sz w:val="20"/>
                <w:szCs w:val="20"/>
                <w:lang w:eastAsia="zh-CN"/>
              </w:rPr>
              <w:t>三</w:t>
            </w:r>
            <w:r>
              <w:rPr>
                <w:rFonts w:hint="eastAsia" w:ascii="仿宋" w:hAnsi="仿宋" w:eastAsia="仿宋" w:cs="仿宋"/>
                <w:sz w:val="20"/>
                <w:szCs w:val="20"/>
              </w:rPr>
              <w:t>、消防救援（共6项）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330295046000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对埋压、圈占、遮挡消火栓的行政处罚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部分（划转对埋压、圈占、遮挡城市道路上的消火栓的行政处罚事项）</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330295022000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对占用、堵塞、封闭消防车通道的行政处罚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部分（划转对占用、堵塞、封闭城市道路上的消防车通道的行政处罚事项）</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330295024000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对人员密集场所门窗设置影响逃生、灭火救援的障碍物的行政处罚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部分（划转对沿城市道路的门窗设置影响逃生、灭火救援的障碍物的行政处罚事项）</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330295018000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对建筑物外墙装修装饰、建筑屋面使用及广告牌的设置影响防火、逃生的行政处罚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330295060000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对私拉电线和插座给电动车充电的行政处罚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部分（划转对在城市道路上私拉电线和插座给电动车充电的行政处罚事项）</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330295016000</w:t>
            </w:r>
          </w:p>
        </w:tc>
        <w:tc>
          <w:tcPr>
            <w:tcW w:w="387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对占用、堵塞、封闭消防登高场地的行政处罚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部分（划转对占用、堵塞、封闭城市道路上的消防登高场地的行政处罚事项）</w:t>
            </w:r>
          </w:p>
        </w:tc>
        <w:tc>
          <w:tcPr>
            <w:tcW w:w="142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5" w:hRule="atLeast"/>
        </w:trPr>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十</w:t>
            </w:r>
            <w:r>
              <w:rPr>
                <w:rFonts w:hint="eastAsia" w:ascii="仿宋" w:hAnsi="仿宋" w:eastAsia="仿宋" w:cs="仿宋"/>
                <w:sz w:val="20"/>
                <w:szCs w:val="20"/>
                <w:lang w:eastAsia="zh-CN"/>
              </w:rPr>
              <w:t>四</w:t>
            </w:r>
            <w:r>
              <w:rPr>
                <w:rFonts w:hint="eastAsia" w:ascii="仿宋" w:hAnsi="仿宋" w:eastAsia="仿宋" w:cs="仿宋"/>
                <w:sz w:val="20"/>
                <w:szCs w:val="20"/>
              </w:rPr>
              <w:t>、应急管理（共6项）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330225023001</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对未取得烟花爆竹零售经营许可证经营的行政处罚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330225023002</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160"/>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对烟花爆竹零售单位未按规定重新申领零售许可证的行政处罚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330225023007</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160"/>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对烟花爆竹零售单位未按规定落实存放管理的行政处罚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4</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330225023003</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对烟花爆竹零售单位出租、出借、转让、买卖、假冒、冒用许可证或者伪造、变造许可证的行政处罚（不包含撤销烟花爆竹经营许可证的处罚）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5</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330225023009</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对烟花爆竹零售单位未在核准的地点经营，或销售经营所在地县级以上人民政府规定禁止燃放的烟花爆竹的行政处罚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8" w:leftChars="0" w:right="79"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6</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330225023008</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对烟花爆竹零售单位拒绝、阻碍负有安全生产监督管理职责的部门依法实施监督检查的行政处罚（划转综合行政执法部门）</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部分（划转综合行政执法部门在其依法实施安全生产监督检查过程 中，烟花爆竹经营单位拒绝、阻碍其监督检查的处罚）</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十</w:t>
            </w:r>
            <w:r>
              <w:rPr>
                <w:rFonts w:hint="eastAsia" w:ascii="仿宋" w:hAnsi="仿宋" w:eastAsia="仿宋" w:cs="仿宋"/>
                <w:sz w:val="20"/>
                <w:szCs w:val="20"/>
                <w:lang w:eastAsia="zh-CN"/>
              </w:rPr>
              <w:t>五</w:t>
            </w:r>
            <w:r>
              <w:rPr>
                <w:rFonts w:hint="eastAsia" w:ascii="仿宋" w:hAnsi="仿宋" w:eastAsia="仿宋" w:cs="仿宋"/>
                <w:sz w:val="20"/>
                <w:szCs w:val="20"/>
              </w:rPr>
              <w:t>、市场监管（共1项）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330231076001</w:t>
            </w:r>
          </w:p>
        </w:tc>
        <w:tc>
          <w:tcPr>
            <w:tcW w:w="3871" w:type="dxa"/>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对室外公共场所无照经营的处罚（划归综合执法）</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部分（划转室外公共场所无照经营的处罚）</w:t>
            </w:r>
          </w:p>
        </w:tc>
        <w:tc>
          <w:tcPr>
            <w:tcW w:w="142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0" w:hRule="atLeast"/>
        </w:trPr>
        <w:tc>
          <w:tcPr>
            <w:tcW w:w="9921" w:type="dxa"/>
            <w:gridSpan w:val="5"/>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十</w:t>
            </w:r>
            <w:r>
              <w:rPr>
                <w:rFonts w:hint="eastAsia" w:ascii="仿宋" w:hAnsi="仿宋" w:eastAsia="仿宋" w:cs="仿宋"/>
                <w:sz w:val="20"/>
                <w:szCs w:val="20"/>
                <w:lang w:eastAsia="zh-CN"/>
              </w:rPr>
              <w:t>六</w:t>
            </w:r>
            <w:r>
              <w:rPr>
                <w:rFonts w:hint="eastAsia" w:ascii="仿宋" w:hAnsi="仿宋" w:eastAsia="仿宋" w:cs="仿宋"/>
                <w:sz w:val="20"/>
                <w:szCs w:val="20"/>
              </w:rPr>
              <w:t>、人防（共3项）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right="683"/>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330280003001</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160"/>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对擅自施工造成人防警报设施损坏的行政处罚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2</w:t>
            </w:r>
          </w:p>
        </w:tc>
        <w:tc>
          <w:tcPr>
            <w:tcW w:w="2384"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right="583"/>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330280003002</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160"/>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对擅自迁移人防警报设施的行政处罚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bidi w:val="0"/>
              <w:adjustRightInd/>
              <w:snapToGrid/>
              <w:spacing w:line="560" w:lineRule="exact"/>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w:t>
            </w:r>
          </w:p>
        </w:tc>
        <w:tc>
          <w:tcPr>
            <w:tcW w:w="2384" w:type="dxa"/>
            <w:vAlign w:val="center"/>
          </w:tcPr>
          <w:p>
            <w:pPr>
              <w:pStyle w:val="8"/>
              <w:keepNext w:val="0"/>
              <w:keepLines w:val="0"/>
              <w:pageBreakBefore w:val="0"/>
              <w:kinsoku/>
              <w:wordWrap/>
              <w:overflowPunct/>
              <w:topLinePunct w:val="0"/>
              <w:autoSpaceDE w:val="0"/>
              <w:autoSpaceDN w:val="0"/>
              <w:bidi w:val="0"/>
              <w:adjustRightInd/>
              <w:snapToGrid/>
              <w:spacing w:line="560" w:lineRule="exact"/>
              <w:ind w:right="583"/>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330280003003</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right="57"/>
              <w:jc w:val="left"/>
              <w:outlineLvl w:val="9"/>
              <w:rPr>
                <w:rFonts w:hint="eastAsia" w:ascii="仿宋" w:hAnsi="仿宋" w:eastAsia="仿宋" w:cs="仿宋"/>
                <w:kern w:val="2"/>
                <w:sz w:val="20"/>
                <w:szCs w:val="20"/>
              </w:rPr>
            </w:pPr>
            <w:r>
              <w:rPr>
                <w:rFonts w:hint="eastAsia" w:ascii="仿宋" w:hAnsi="仿宋" w:eastAsia="仿宋" w:cs="仿宋"/>
                <w:kern w:val="2"/>
                <w:sz w:val="20"/>
                <w:szCs w:val="20"/>
              </w:rPr>
              <w:t>对擅自拆除人防通信、警报设备设施的行政处罚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pStyle w:val="8"/>
              <w:keepNext w:val="0"/>
              <w:keepLines w:val="0"/>
              <w:pageBreakBefore w:val="0"/>
              <w:kinsoku/>
              <w:wordWrap/>
              <w:overflowPunct/>
              <w:topLinePunct w:val="0"/>
              <w:bidi w:val="0"/>
              <w:adjustRightInd/>
              <w:snapToGrid/>
              <w:spacing w:line="560" w:lineRule="exact"/>
              <w:ind w:left="66" w:leftChars="0" w:right="82" w:rightChars="0"/>
              <w:jc w:val="center"/>
              <w:outlineLvl w:val="9"/>
              <w:rPr>
                <w:rFonts w:hint="eastAsia" w:ascii="仿宋" w:hAnsi="仿宋" w:eastAsia="仿宋" w:cs="仿宋"/>
                <w:sz w:val="20"/>
                <w:szCs w:val="20"/>
              </w:rPr>
            </w:pPr>
            <w:r>
              <w:rPr>
                <w:rFonts w:hint="eastAsia" w:ascii="仿宋" w:hAnsi="仿宋" w:eastAsia="仿宋" w:cs="仿宋"/>
                <w:kern w:val="2"/>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0" w:hRule="atLeast"/>
        </w:trPr>
        <w:tc>
          <w:tcPr>
            <w:tcW w:w="9921" w:type="dxa"/>
            <w:gridSpan w:val="5"/>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十</w:t>
            </w:r>
            <w:r>
              <w:rPr>
                <w:rFonts w:hint="eastAsia" w:ascii="仿宋" w:hAnsi="仿宋" w:eastAsia="仿宋" w:cs="仿宋"/>
                <w:sz w:val="20"/>
                <w:szCs w:val="20"/>
                <w:lang w:eastAsia="zh-CN"/>
              </w:rPr>
              <w:t>七</w:t>
            </w:r>
            <w:r>
              <w:rPr>
                <w:rFonts w:hint="eastAsia" w:ascii="仿宋" w:hAnsi="仿宋" w:eastAsia="仿宋" w:cs="仿宋"/>
                <w:sz w:val="20"/>
                <w:szCs w:val="20"/>
              </w:rPr>
              <w:t>、农村环境卫生（共1项）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0"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1</w:t>
            </w:r>
          </w:p>
        </w:tc>
        <w:tc>
          <w:tcPr>
            <w:tcW w:w="2384"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330220049000</w:t>
            </w:r>
          </w:p>
        </w:tc>
        <w:tc>
          <w:tcPr>
            <w:tcW w:w="3871" w:type="dxa"/>
          </w:tcPr>
          <w:p>
            <w:pPr>
              <w:pStyle w:val="8"/>
              <w:keepNext w:val="0"/>
              <w:keepLines w:val="0"/>
              <w:pageBreakBefore w:val="0"/>
              <w:kinsoku/>
              <w:wordWrap/>
              <w:overflowPunct/>
              <w:topLinePunct w:val="0"/>
              <w:autoSpaceDE w:val="0"/>
              <w:autoSpaceDN w:val="0"/>
              <w:bidi w:val="0"/>
              <w:adjustRightInd/>
              <w:snapToGrid/>
              <w:spacing w:line="560" w:lineRule="exact"/>
              <w:ind w:left="66" w:right="82"/>
              <w:jc w:val="left"/>
              <w:outlineLvl w:val="9"/>
              <w:rPr>
                <w:rFonts w:hint="eastAsia" w:ascii="仿宋" w:hAnsi="仿宋" w:eastAsia="仿宋" w:cs="仿宋"/>
                <w:sz w:val="20"/>
                <w:szCs w:val="20"/>
              </w:rPr>
            </w:pPr>
            <w:r>
              <w:rPr>
                <w:rFonts w:hint="eastAsia" w:ascii="仿宋" w:hAnsi="仿宋" w:eastAsia="仿宋" w:cs="仿宋"/>
                <w:sz w:val="20"/>
                <w:szCs w:val="20"/>
              </w:rPr>
              <w:t>对在实行城市市容和环境卫生管理的区域外，随意倾倒或者堆放生活垃圾、餐厨垃圾、建筑垃圾等废弃物或者废旧物品的行政处罚</w:t>
            </w:r>
          </w:p>
        </w:tc>
        <w:tc>
          <w:tcPr>
            <w:tcW w:w="1605"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rPr>
            </w:pPr>
            <w:r>
              <w:rPr>
                <w:rFonts w:hint="eastAsia" w:ascii="仿宋" w:hAnsi="仿宋" w:eastAsia="仿宋" w:cs="仿宋"/>
                <w:sz w:val="20"/>
                <w:szCs w:val="20"/>
              </w:rPr>
              <w:t>全部</w:t>
            </w:r>
          </w:p>
        </w:tc>
        <w:tc>
          <w:tcPr>
            <w:tcW w:w="1421" w:type="dxa"/>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eastAsia="zh-CN"/>
              </w:rPr>
            </w:pPr>
            <w:r>
              <w:rPr>
                <w:rFonts w:hint="eastAsia" w:ascii="仿宋" w:hAnsi="仿宋" w:eastAsia="仿宋" w:cs="仿宋"/>
                <w:sz w:val="20"/>
                <w:szCs w:val="20"/>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921" w:type="dxa"/>
            <w:gridSpan w:val="5"/>
            <w:tcBorders/>
            <w:vAlign w:val="center"/>
          </w:tcPr>
          <w:p>
            <w:pPr>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十八、自然资源（共3项）</w:t>
            </w:r>
          </w:p>
        </w:tc>
      </w:tr>
    </w:tbl>
    <w:tbl>
      <w:tblPr>
        <w:tblStyle w:val="6"/>
        <w:tblW w:w="9922" w:type="dxa"/>
        <w:jc w:val="center"/>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66"/>
        <w:gridCol w:w="53"/>
        <w:gridCol w:w="1727"/>
        <w:gridCol w:w="703"/>
        <w:gridCol w:w="3825"/>
        <w:gridCol w:w="15"/>
        <w:gridCol w:w="15"/>
        <w:gridCol w:w="1605"/>
        <w:gridCol w:w="30"/>
        <w:gridCol w:w="138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619"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1"/>
              </w:numPr>
              <w:tabs>
                <w:tab w:val="left" w:pos="0"/>
              </w:tabs>
              <w:kinsoku/>
              <w:wordWrap/>
              <w:overflowPunct/>
              <w:topLinePunct w:val="0"/>
              <w:autoSpaceDE w:val="0"/>
              <w:autoSpaceDN w:val="0"/>
              <w:bidi w:val="0"/>
              <w:adjustRightInd/>
              <w:snapToGrid/>
              <w:spacing w:line="560" w:lineRule="exact"/>
              <w:ind w:left="0" w:leftChars="0" w:right="105" w:rightChars="50" w:firstLineChars="0"/>
              <w:jc w:val="left"/>
              <w:outlineLvl w:val="9"/>
              <w:rPr>
                <w:rFonts w:ascii="宋体" w:cs="宋体"/>
                <w:color w:val="auto"/>
              </w:rPr>
            </w:pPr>
          </w:p>
        </w:tc>
        <w:tc>
          <w:tcPr>
            <w:tcW w:w="2430"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left="105" w:leftChars="50" w:right="105" w:rightChars="50"/>
              <w:jc w:val="left"/>
              <w:outlineLvl w:val="9"/>
              <w:rPr>
                <w:rFonts w:ascii="宋体" w:cs="宋体"/>
                <w:color w:val="auto"/>
                <w:kern w:val="0"/>
              </w:rPr>
            </w:pPr>
            <w:r>
              <w:rPr>
                <w:rFonts w:ascii="宋体" w:hAnsi="宋体" w:cs="宋体"/>
                <w:color w:val="auto"/>
                <w:kern w:val="0"/>
              </w:rPr>
              <w:t>330215094000</w:t>
            </w:r>
          </w:p>
        </w:tc>
        <w:tc>
          <w:tcPr>
            <w:tcW w:w="3855" w:type="dxa"/>
            <w:gridSpan w:val="3"/>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right="105" w:rightChars="50"/>
              <w:jc w:val="left"/>
              <w:outlineLvl w:val="9"/>
              <w:rPr>
                <w:rFonts w:ascii="宋体" w:cs="宋体"/>
                <w:color w:val="auto"/>
                <w:kern w:val="0"/>
              </w:rPr>
            </w:pPr>
            <w:r>
              <w:rPr>
                <w:rFonts w:hint="eastAsia" w:ascii="宋体" w:hAnsi="宋体" w:cs="宋体"/>
                <w:color w:val="auto"/>
                <w:kern w:val="0"/>
                <w:lang w:eastAsia="zh-CN"/>
              </w:rPr>
              <w:t>对</w:t>
            </w:r>
            <w:r>
              <w:rPr>
                <w:rFonts w:hint="eastAsia" w:ascii="宋体" w:hAnsi="宋体" w:cs="宋体"/>
                <w:color w:val="auto"/>
                <w:kern w:val="0"/>
              </w:rPr>
              <w:t>在耕地上发展林果业、养殖业，导致粮食种植条件毁坏的行政处罚</w:t>
            </w:r>
          </w:p>
        </w:tc>
        <w:tc>
          <w:tcPr>
            <w:tcW w:w="1605" w:type="dxa"/>
            <w:tcBorders>
              <w:top w:val="single" w:color="auto" w:sz="8" w:space="0"/>
              <w:left w:val="single" w:color="auto" w:sz="8" w:space="0"/>
              <w:bottom w:val="single" w:color="auto" w:sz="8" w:space="0"/>
              <w:right w:val="single" w:color="auto" w:sz="4"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left="105" w:leftChars="50" w:right="105" w:rightChars="50"/>
              <w:jc w:val="left"/>
              <w:textAlignment w:val="center"/>
              <w:outlineLvl w:val="9"/>
              <w:rPr>
                <w:rFonts w:ascii="宋体" w:cs="宋体"/>
                <w:color w:val="auto"/>
                <w:kern w:val="0"/>
              </w:rPr>
            </w:pPr>
            <w:r>
              <w:rPr>
                <w:rFonts w:hint="eastAsia" w:ascii="宋体" w:hAnsi="宋体" w:cs="宋体"/>
                <w:color w:val="auto"/>
                <w:kern w:val="0"/>
              </w:rPr>
              <w:t>全部</w:t>
            </w:r>
          </w:p>
        </w:tc>
        <w:tc>
          <w:tcPr>
            <w:tcW w:w="1413" w:type="dxa"/>
            <w:gridSpan w:val="2"/>
            <w:tcBorders>
              <w:top w:val="single" w:color="auto" w:sz="8" w:space="0"/>
              <w:left w:val="single" w:color="auto" w:sz="4" w:space="0"/>
              <w:bottom w:val="single" w:color="auto" w:sz="8" w:space="0"/>
              <w:right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eastAsiaTheme="minorEastAsia"/>
                <w:color w:val="auto"/>
                <w:kern w:val="0"/>
                <w:lang w:eastAsia="zh-CN"/>
              </w:rPr>
            </w:pPr>
            <w:r>
              <w:rPr>
                <w:rFonts w:hint="eastAsia" w:ascii="宋体" w:hAnsi="宋体" w:cs="宋体"/>
                <w:color w:val="auto"/>
                <w:kern w:val="0"/>
                <w:lang w:eastAsia="zh-CN"/>
              </w:rPr>
              <w:t>舟山市自然资源和规划局定海分局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619"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1"/>
              </w:numPr>
              <w:tabs>
                <w:tab w:val="left" w:pos="0"/>
              </w:tabs>
              <w:kinsoku/>
              <w:wordWrap/>
              <w:overflowPunct/>
              <w:topLinePunct w:val="0"/>
              <w:autoSpaceDE w:val="0"/>
              <w:autoSpaceDN w:val="0"/>
              <w:bidi w:val="0"/>
              <w:adjustRightInd/>
              <w:snapToGrid/>
              <w:spacing w:line="560" w:lineRule="exact"/>
              <w:ind w:left="0" w:leftChars="0" w:right="105" w:rightChars="50" w:firstLineChars="0"/>
              <w:jc w:val="left"/>
              <w:outlineLvl w:val="9"/>
              <w:rPr>
                <w:rFonts w:ascii="宋体" w:cs="宋体"/>
                <w:color w:val="auto"/>
              </w:rPr>
            </w:pPr>
          </w:p>
        </w:tc>
        <w:tc>
          <w:tcPr>
            <w:tcW w:w="2430"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left="105" w:leftChars="50" w:right="105" w:rightChars="50"/>
              <w:jc w:val="left"/>
              <w:outlineLvl w:val="9"/>
              <w:rPr>
                <w:rFonts w:ascii="宋体" w:cs="宋体"/>
                <w:color w:val="auto"/>
                <w:kern w:val="0"/>
              </w:rPr>
            </w:pPr>
            <w:r>
              <w:rPr>
                <w:rFonts w:ascii="宋体" w:hAnsi="宋体" w:cs="宋体"/>
                <w:color w:val="auto"/>
                <w:kern w:val="0"/>
              </w:rPr>
              <w:t>330215095000</w:t>
            </w:r>
          </w:p>
        </w:tc>
        <w:tc>
          <w:tcPr>
            <w:tcW w:w="3855" w:type="dxa"/>
            <w:gridSpan w:val="3"/>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right="105" w:rightChars="50"/>
              <w:jc w:val="left"/>
              <w:outlineLvl w:val="9"/>
              <w:rPr>
                <w:rFonts w:ascii="宋体" w:cs="宋体"/>
                <w:color w:val="auto"/>
                <w:kern w:val="0"/>
              </w:rPr>
            </w:pPr>
            <w:r>
              <w:rPr>
                <w:rFonts w:hint="eastAsia" w:ascii="宋体" w:hAnsi="宋体" w:cs="宋体"/>
                <w:color w:val="auto"/>
                <w:kern w:val="0"/>
                <w:lang w:eastAsia="zh-CN"/>
              </w:rPr>
              <w:t>对</w:t>
            </w:r>
            <w:r>
              <w:rPr>
                <w:rFonts w:hint="eastAsia" w:ascii="宋体" w:hAnsi="宋体" w:cs="宋体"/>
                <w:color w:val="auto"/>
                <w:kern w:val="0"/>
              </w:rPr>
              <w:t>非法占用基本农田建房、建窑、建坟、挖砂、采矿、取土、堆放固体废弃物或者从事其他活动破坏基本农田，毁坏种植条件的行政处罚</w:t>
            </w:r>
          </w:p>
        </w:tc>
        <w:tc>
          <w:tcPr>
            <w:tcW w:w="1605" w:type="dxa"/>
            <w:tcBorders>
              <w:top w:val="single" w:color="auto" w:sz="8" w:space="0"/>
              <w:left w:val="single" w:color="auto" w:sz="8" w:space="0"/>
              <w:bottom w:val="single" w:color="auto" w:sz="8" w:space="0"/>
              <w:right w:val="single" w:color="auto" w:sz="4"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left="105" w:leftChars="50" w:right="105" w:rightChars="50"/>
              <w:jc w:val="left"/>
              <w:textAlignment w:val="center"/>
              <w:outlineLvl w:val="9"/>
              <w:rPr>
                <w:rFonts w:ascii="宋体" w:cs="宋体"/>
                <w:color w:val="auto"/>
                <w:kern w:val="0"/>
              </w:rPr>
            </w:pPr>
            <w:r>
              <w:rPr>
                <w:rFonts w:hint="eastAsia" w:ascii="宋体" w:hAnsi="宋体" w:cs="宋体"/>
                <w:color w:val="auto"/>
                <w:kern w:val="0"/>
              </w:rPr>
              <w:t>全部</w:t>
            </w:r>
          </w:p>
        </w:tc>
        <w:tc>
          <w:tcPr>
            <w:tcW w:w="1413" w:type="dxa"/>
            <w:gridSpan w:val="2"/>
            <w:tcBorders>
              <w:top w:val="single" w:color="auto" w:sz="8" w:space="0"/>
              <w:left w:val="single" w:color="auto" w:sz="4" w:space="0"/>
              <w:bottom w:val="single" w:color="auto" w:sz="8" w:space="0"/>
              <w:right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color w:val="auto"/>
                <w:kern w:val="0"/>
              </w:rPr>
            </w:pPr>
            <w:r>
              <w:rPr>
                <w:rFonts w:hint="eastAsia" w:ascii="宋体" w:hAnsi="宋体" w:cs="宋体"/>
                <w:color w:val="auto"/>
                <w:kern w:val="0"/>
                <w:lang w:eastAsia="zh-CN"/>
              </w:rPr>
              <w:t>舟山市自然资源和规划局定海分局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619"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1"/>
              </w:numPr>
              <w:tabs>
                <w:tab w:val="left" w:pos="0"/>
              </w:tabs>
              <w:kinsoku/>
              <w:wordWrap/>
              <w:overflowPunct/>
              <w:topLinePunct w:val="0"/>
              <w:autoSpaceDE w:val="0"/>
              <w:autoSpaceDN w:val="0"/>
              <w:bidi w:val="0"/>
              <w:adjustRightInd/>
              <w:snapToGrid/>
              <w:spacing w:line="560" w:lineRule="exact"/>
              <w:ind w:left="0" w:leftChars="0" w:right="105" w:rightChars="50" w:firstLineChars="0"/>
              <w:jc w:val="left"/>
              <w:outlineLvl w:val="9"/>
              <w:rPr>
                <w:rFonts w:ascii="宋体" w:cs="宋体"/>
                <w:color w:val="auto"/>
              </w:rPr>
            </w:pPr>
          </w:p>
        </w:tc>
        <w:tc>
          <w:tcPr>
            <w:tcW w:w="2430"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left="105" w:leftChars="50" w:right="105" w:rightChars="50"/>
              <w:jc w:val="left"/>
              <w:outlineLvl w:val="9"/>
              <w:rPr>
                <w:rFonts w:ascii="宋体" w:cs="宋体"/>
                <w:color w:val="auto"/>
                <w:kern w:val="0"/>
              </w:rPr>
            </w:pPr>
            <w:r>
              <w:rPr>
                <w:rFonts w:ascii="宋体" w:hAnsi="宋体" w:cs="宋体"/>
                <w:color w:val="auto"/>
                <w:kern w:val="0"/>
              </w:rPr>
              <w:t>330215096000</w:t>
            </w:r>
          </w:p>
        </w:tc>
        <w:tc>
          <w:tcPr>
            <w:tcW w:w="3855" w:type="dxa"/>
            <w:gridSpan w:val="3"/>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right="105" w:rightChars="50"/>
              <w:jc w:val="left"/>
              <w:outlineLvl w:val="9"/>
              <w:rPr>
                <w:rFonts w:ascii="宋体" w:cs="宋体"/>
                <w:color w:val="auto"/>
                <w:kern w:val="0"/>
              </w:rPr>
            </w:pPr>
            <w:r>
              <w:rPr>
                <w:rFonts w:hint="eastAsia" w:ascii="宋体" w:hAnsi="宋体" w:cs="宋体"/>
                <w:color w:val="auto"/>
                <w:kern w:val="0"/>
                <w:lang w:eastAsia="zh-CN"/>
              </w:rPr>
              <w:t>对</w:t>
            </w:r>
            <w:r>
              <w:rPr>
                <w:rFonts w:hint="eastAsia" w:ascii="宋体" w:hAnsi="宋体" w:cs="宋体"/>
                <w:color w:val="auto"/>
                <w:kern w:val="0"/>
              </w:rPr>
              <w:t>占用耕地建窑、建坟或者擅自在耕地上建房、挖砂、采石、采矿、取土等，破坏种植条件的行政处罚</w:t>
            </w:r>
          </w:p>
        </w:tc>
        <w:tc>
          <w:tcPr>
            <w:tcW w:w="1605" w:type="dxa"/>
            <w:tcBorders>
              <w:top w:val="single" w:color="auto" w:sz="8" w:space="0"/>
              <w:left w:val="single" w:color="auto" w:sz="8" w:space="0"/>
              <w:bottom w:val="single" w:color="auto" w:sz="8" w:space="0"/>
              <w:right w:val="single" w:color="auto" w:sz="4"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left="105" w:leftChars="50" w:right="105" w:rightChars="50"/>
              <w:jc w:val="left"/>
              <w:textAlignment w:val="center"/>
              <w:outlineLvl w:val="9"/>
              <w:rPr>
                <w:rFonts w:ascii="宋体" w:cs="宋体"/>
                <w:color w:val="auto"/>
                <w:kern w:val="0"/>
              </w:rPr>
            </w:pPr>
            <w:r>
              <w:rPr>
                <w:rFonts w:hint="eastAsia" w:ascii="宋体" w:hAnsi="宋体" w:cs="宋体"/>
                <w:color w:val="auto"/>
                <w:kern w:val="0"/>
              </w:rPr>
              <w:t>全部</w:t>
            </w:r>
          </w:p>
        </w:tc>
        <w:tc>
          <w:tcPr>
            <w:tcW w:w="1413" w:type="dxa"/>
            <w:gridSpan w:val="2"/>
            <w:tcBorders>
              <w:top w:val="single" w:color="auto" w:sz="8" w:space="0"/>
              <w:left w:val="single" w:color="auto" w:sz="4" w:space="0"/>
              <w:bottom w:val="single" w:color="auto" w:sz="8" w:space="0"/>
              <w:right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color w:val="auto"/>
                <w:kern w:val="0"/>
              </w:rPr>
            </w:pPr>
            <w:r>
              <w:rPr>
                <w:rFonts w:hint="eastAsia" w:ascii="宋体" w:hAnsi="宋体" w:cs="宋体"/>
                <w:color w:val="auto"/>
                <w:kern w:val="0"/>
                <w:lang w:eastAsia="zh-CN"/>
              </w:rPr>
              <w:t>舟山市自然资源和规划局定海分局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9922" w:type="dxa"/>
            <w:gridSpan w:val="10"/>
            <w:tcBorders>
              <w:top w:val="single" w:color="auto" w:sz="8" w:space="0"/>
              <w:left w:val="single" w:color="auto" w:sz="8" w:space="0"/>
              <w:bottom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color w:val="auto"/>
                <w:kern w:val="0"/>
                <w:lang w:val="en-US" w:eastAsia="zh-CN"/>
              </w:rPr>
            </w:pPr>
            <w:r>
              <w:rPr>
                <w:rFonts w:hint="eastAsia" w:ascii="宋体" w:hAnsi="宋体" w:cs="宋体"/>
                <w:color w:val="auto"/>
                <w:kern w:val="0"/>
                <w:lang w:val="en-US" w:eastAsia="zh-CN"/>
              </w:rPr>
              <w:t>十九、林业（共1项）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619"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1"/>
              </w:numPr>
              <w:tabs>
                <w:tab w:val="left" w:pos="0"/>
              </w:tabs>
              <w:kinsoku/>
              <w:wordWrap/>
              <w:overflowPunct/>
              <w:topLinePunct w:val="0"/>
              <w:autoSpaceDE w:val="0"/>
              <w:autoSpaceDN w:val="0"/>
              <w:bidi w:val="0"/>
              <w:adjustRightInd/>
              <w:snapToGrid/>
              <w:spacing w:line="560" w:lineRule="exact"/>
              <w:ind w:left="0" w:leftChars="0" w:right="105" w:rightChars="50" w:firstLineChars="0"/>
              <w:jc w:val="left"/>
              <w:outlineLvl w:val="9"/>
              <w:rPr>
                <w:rFonts w:ascii="宋体" w:cs="宋体"/>
                <w:color w:val="auto"/>
              </w:rPr>
            </w:pPr>
          </w:p>
        </w:tc>
        <w:tc>
          <w:tcPr>
            <w:tcW w:w="2430" w:type="dxa"/>
            <w:gridSpan w:val="2"/>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left="105" w:leftChars="50" w:right="105" w:rightChars="50"/>
              <w:jc w:val="left"/>
              <w:outlineLvl w:val="9"/>
              <w:rPr>
                <w:rFonts w:ascii="宋体" w:hAnsi="宋体" w:cs="宋体"/>
                <w:color w:val="auto"/>
                <w:kern w:val="0"/>
              </w:rPr>
            </w:pPr>
            <w:r>
              <w:rPr>
                <w:rFonts w:hint="eastAsia" w:ascii="宋体" w:hAnsi="宋体" w:cs="宋体"/>
                <w:color w:val="auto"/>
                <w:kern w:val="0"/>
              </w:rPr>
              <w:t>330264037000</w:t>
            </w:r>
          </w:p>
        </w:tc>
        <w:tc>
          <w:tcPr>
            <w:tcW w:w="3855" w:type="dxa"/>
            <w:gridSpan w:val="3"/>
            <w:tcBorders>
              <w:top w:val="single" w:color="auto" w:sz="8" w:space="0"/>
              <w:left w:val="single" w:color="auto" w:sz="8" w:space="0"/>
              <w:bottom w:val="single" w:color="auto" w:sz="8" w:space="0"/>
              <w:right w:val="single" w:color="auto" w:sz="8" w:space="0"/>
            </w:tcBorders>
            <w:vAlign w:val="center"/>
          </w:tcPr>
          <w:p>
            <w:pPr>
              <w:keepNext w:val="0"/>
              <w:keepLines w:val="0"/>
              <w:pageBreakBefore w:val="0"/>
              <w:kinsoku/>
              <w:wordWrap/>
              <w:overflowPunct/>
              <w:topLinePunct w:val="0"/>
              <w:autoSpaceDE w:val="0"/>
              <w:autoSpaceDN w:val="0"/>
              <w:bidi w:val="0"/>
              <w:adjustRightInd/>
              <w:snapToGrid/>
              <w:spacing w:line="560" w:lineRule="exact"/>
              <w:ind w:left="0" w:leftChars="0" w:right="105" w:rightChars="50"/>
              <w:jc w:val="left"/>
              <w:outlineLvl w:val="9"/>
              <w:rPr>
                <w:rFonts w:hint="eastAsia" w:ascii="宋体" w:hAnsi="宋体" w:cs="宋体" w:eastAsiaTheme="minorEastAsia"/>
                <w:color w:val="auto"/>
                <w:kern w:val="0"/>
                <w:lang w:eastAsia="zh-CN"/>
              </w:rPr>
            </w:pPr>
            <w:r>
              <w:rPr>
                <w:rFonts w:hint="eastAsia" w:ascii="宋体" w:hAnsi="宋体" w:cs="宋体"/>
                <w:color w:val="auto"/>
                <w:kern w:val="0"/>
              </w:rPr>
              <w:t>对</w:t>
            </w:r>
            <w:r>
              <w:rPr>
                <w:rFonts w:hint="eastAsia" w:ascii="宋体" w:hAnsi="宋体" w:cs="宋体"/>
                <w:color w:val="auto"/>
                <w:kern w:val="0"/>
                <w:lang w:eastAsia="zh-CN"/>
              </w:rPr>
              <w:t>进行挖砂、取土、采石和开垦等活动，致使野生植物受到毁坏的行政处罚</w:t>
            </w:r>
          </w:p>
        </w:tc>
        <w:tc>
          <w:tcPr>
            <w:tcW w:w="1605" w:type="dxa"/>
            <w:tcBorders>
              <w:top w:val="single" w:color="auto" w:sz="8" w:space="0"/>
              <w:left w:val="single" w:color="auto" w:sz="8" w:space="0"/>
              <w:bottom w:val="single" w:color="auto" w:sz="8" w:space="0"/>
              <w:right w:val="single" w:color="auto" w:sz="4"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left="105" w:leftChars="50" w:right="105" w:rightChars="50"/>
              <w:jc w:val="left"/>
              <w:textAlignment w:val="center"/>
              <w:outlineLvl w:val="9"/>
              <w:rPr>
                <w:rFonts w:hint="eastAsia" w:ascii="宋体" w:hAnsi="宋体" w:cs="宋体"/>
                <w:color w:val="auto"/>
                <w:kern w:val="0"/>
              </w:rPr>
            </w:pPr>
            <w:r>
              <w:rPr>
                <w:rFonts w:hint="eastAsia" w:ascii="宋体" w:hAnsi="宋体" w:cs="宋体"/>
                <w:color w:val="auto"/>
                <w:kern w:val="0"/>
              </w:rPr>
              <w:t>全部</w:t>
            </w:r>
          </w:p>
        </w:tc>
        <w:tc>
          <w:tcPr>
            <w:tcW w:w="1413" w:type="dxa"/>
            <w:gridSpan w:val="2"/>
            <w:tcBorders>
              <w:top w:val="single" w:color="auto" w:sz="8" w:space="0"/>
              <w:left w:val="single" w:color="auto" w:sz="4" w:space="0"/>
              <w:bottom w:val="single" w:color="auto" w:sz="8" w:space="0"/>
              <w:right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color w:val="auto"/>
                <w:kern w:val="0"/>
              </w:rPr>
            </w:pPr>
            <w:r>
              <w:rPr>
                <w:rFonts w:hint="eastAsia" w:ascii="宋体" w:hAnsi="宋体" w:cs="宋体"/>
                <w:color w:val="auto"/>
                <w:kern w:val="0"/>
                <w:lang w:eastAsia="zh-CN"/>
              </w:rPr>
              <w:t>舟山市自然资源和规划局定海分局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9922" w:type="dxa"/>
            <w:gridSpan w:val="10"/>
            <w:tcBorders>
              <w:top w:val="single" w:color="auto" w:sz="8" w:space="0"/>
              <w:left w:val="single" w:color="auto" w:sz="8" w:space="0"/>
              <w:bottom w:val="single" w:color="auto" w:sz="8" w:space="0"/>
            </w:tcBorders>
            <w:vAlign w:val="center"/>
          </w:tcPr>
          <w:p>
            <w:pPr>
              <w:keepNext w:val="0"/>
              <w:keepLines w:val="0"/>
              <w:pageBreakBefore w:val="0"/>
              <w:widowControl/>
              <w:kinsoku/>
              <w:wordWrap/>
              <w:overflowPunct/>
              <w:topLinePunct w:val="0"/>
              <w:autoSpaceDE w:val="0"/>
              <w:autoSpaceDN w:val="0"/>
              <w:bidi w:val="0"/>
              <w:adjustRightInd/>
              <w:snapToGrid/>
              <w:spacing w:line="560" w:lineRule="exact"/>
              <w:ind w:right="105" w:rightChars="50"/>
              <w:jc w:val="left"/>
              <w:textAlignment w:val="center"/>
              <w:outlineLvl w:val="9"/>
              <w:rPr>
                <w:rFonts w:hint="eastAsia" w:ascii="宋体" w:hAnsi="宋体" w:cs="宋体"/>
                <w:color w:val="FF0000"/>
                <w:kern w:val="0"/>
                <w:lang w:val="en-US" w:eastAsia="zh-CN"/>
              </w:rPr>
            </w:pPr>
            <w:r>
              <w:rPr>
                <w:rFonts w:hint="eastAsia" w:ascii="宋体" w:hAnsi="宋体" w:cs="宋体"/>
                <w:color w:val="auto"/>
                <w:kern w:val="0"/>
                <w:lang w:val="en-US" w:eastAsia="zh-CN"/>
              </w:rPr>
              <w:t>二十、生态资源（共4项）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default" w:ascii="宋体" w:cs="宋体" w:eastAsiaTheme="minorEastAsia"/>
                <w:color w:val="auto"/>
                <w:lang w:val="en-US" w:eastAsia="zh-CN"/>
              </w:rPr>
            </w:pPr>
            <w:r>
              <w:rPr>
                <w:rFonts w:hint="eastAsia" w:ascii="宋体" w:cs="宋体"/>
                <w:color w:val="auto"/>
                <w:lang w:val="en-US" w:eastAsia="zh-CN"/>
              </w:rPr>
              <w:t>1</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firstLine="121" w:firstLineChars="0"/>
              <w:outlineLvl w:val="9"/>
              <w:rPr>
                <w:rFonts w:ascii="宋体" w:cs="宋体"/>
                <w:color w:val="auto"/>
                <w:kern w:val="0"/>
              </w:rPr>
            </w:pPr>
            <w:r>
              <w:rPr>
                <w:rFonts w:ascii="宋体" w:hAnsi="宋体" w:eastAsia="宋体" w:cs="宋体"/>
                <w:spacing w:val="-1"/>
                <w:sz w:val="20"/>
                <w:szCs w:val="20"/>
              </w:rPr>
              <w:t>330216151001</w:t>
            </w:r>
          </w:p>
        </w:tc>
        <w:tc>
          <w:tcPr>
            <w:tcW w:w="4543" w:type="dxa"/>
            <w:gridSpan w:val="3"/>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33" w:leftChars="0" w:right="117" w:rightChars="0"/>
              <w:outlineLvl w:val="9"/>
              <w:rPr>
                <w:rFonts w:ascii="宋体" w:cs="宋体"/>
                <w:color w:val="auto"/>
                <w:kern w:val="0"/>
              </w:rPr>
            </w:pPr>
            <w:r>
              <w:rPr>
                <w:rFonts w:ascii="宋体" w:hAnsi="宋体" w:eastAsia="宋体" w:cs="宋体"/>
                <w:spacing w:val="7"/>
                <w:sz w:val="20"/>
                <w:szCs w:val="20"/>
              </w:rPr>
              <w:t>对损毁、涂改或者擅自移动饮用水水源保护</w:t>
            </w:r>
            <w:r>
              <w:rPr>
                <w:rFonts w:ascii="宋体" w:hAnsi="宋体" w:eastAsia="宋体" w:cs="宋体"/>
                <w:spacing w:val="4"/>
                <w:sz w:val="20"/>
                <w:szCs w:val="20"/>
              </w:rPr>
              <w:t>区地理界标等设施的行政处罚</w:t>
            </w:r>
          </w:p>
        </w:tc>
        <w:tc>
          <w:tcPr>
            <w:tcW w:w="1620" w:type="dxa"/>
            <w:gridSpan w:val="2"/>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firstLine="528" w:firstLineChars="0"/>
              <w:outlineLvl w:val="9"/>
              <w:rPr>
                <w:rFonts w:ascii="宋体" w:cs="宋体"/>
                <w:color w:val="auto"/>
                <w:kern w:val="0"/>
              </w:rPr>
            </w:pPr>
            <w:r>
              <w:rPr>
                <w:rFonts w:ascii="宋体" w:hAnsi="宋体" w:eastAsia="宋体" w:cs="宋体"/>
                <w:spacing w:val="-2"/>
                <w:sz w:val="20"/>
                <w:szCs w:val="20"/>
              </w:rPr>
              <w:t>全部</w:t>
            </w:r>
          </w:p>
        </w:tc>
        <w:tc>
          <w:tcPr>
            <w:tcW w:w="1413" w:type="dxa"/>
            <w:gridSpan w:val="2"/>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hint="eastAsia" w:ascii="宋体" w:hAnsi="宋体" w:eastAsia="宋体" w:cs="宋体"/>
                <w:spacing w:val="-2"/>
                <w:sz w:val="20"/>
                <w:szCs w:val="20"/>
                <w:lang w:eastAsia="zh-CN"/>
              </w:rPr>
            </w:pPr>
            <w:r>
              <w:rPr>
                <w:rFonts w:hint="eastAsia" w:ascii="宋体" w:hAnsi="宋体" w:eastAsia="宋体" w:cs="宋体"/>
                <w:spacing w:val="-2"/>
                <w:sz w:val="20"/>
                <w:szCs w:val="20"/>
                <w:lang w:eastAsia="zh-CN"/>
              </w:rPr>
              <w:t>舟山市生态环境局定海分局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default" w:ascii="宋体" w:cs="宋体" w:eastAsiaTheme="minorEastAsia"/>
                <w:color w:val="auto"/>
                <w:lang w:val="en-US" w:eastAsia="zh-CN"/>
              </w:rPr>
            </w:pPr>
            <w:r>
              <w:rPr>
                <w:rFonts w:hint="eastAsia" w:ascii="宋体" w:cs="宋体"/>
                <w:color w:val="auto"/>
                <w:lang w:val="en-US" w:eastAsia="zh-CN"/>
              </w:rPr>
              <w:t>2</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121" w:firstLineChars="0"/>
              <w:outlineLvl w:val="9"/>
              <w:rPr>
                <w:rFonts w:ascii="宋体" w:hAnsi="宋体" w:cs="宋体"/>
                <w:color w:val="auto"/>
                <w:kern w:val="0"/>
              </w:rPr>
            </w:pPr>
            <w:r>
              <w:rPr>
                <w:rFonts w:ascii="宋体" w:hAnsi="宋体" w:eastAsia="宋体" w:cs="宋体"/>
                <w:spacing w:val="-1"/>
                <w:sz w:val="20"/>
                <w:szCs w:val="20"/>
              </w:rPr>
              <w:t>330216189000</w:t>
            </w:r>
          </w:p>
        </w:tc>
        <w:tc>
          <w:tcPr>
            <w:tcW w:w="4543" w:type="dxa"/>
            <w:gridSpan w:val="3"/>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33" w:leftChars="0" w:right="104" w:rightChars="0"/>
              <w:outlineLvl w:val="9"/>
              <w:rPr>
                <w:rFonts w:hint="eastAsia" w:ascii="宋体" w:hAnsi="宋体" w:cs="宋体"/>
                <w:color w:val="auto"/>
                <w:kern w:val="0"/>
              </w:rPr>
            </w:pPr>
            <w:r>
              <w:rPr>
                <w:rFonts w:ascii="宋体" w:hAnsi="宋体" w:eastAsia="宋体" w:cs="宋体"/>
                <w:spacing w:val="7"/>
                <w:sz w:val="20"/>
                <w:szCs w:val="20"/>
              </w:rPr>
              <w:t>对未按规定进行无害化处置直接向大气排放</w:t>
            </w:r>
            <w:r>
              <w:rPr>
                <w:rFonts w:ascii="宋体" w:hAnsi="宋体" w:eastAsia="宋体" w:cs="宋体"/>
                <w:spacing w:val="4"/>
                <w:sz w:val="20"/>
                <w:szCs w:val="20"/>
              </w:rPr>
              <w:t>的行政处罚</w:t>
            </w:r>
          </w:p>
        </w:tc>
        <w:tc>
          <w:tcPr>
            <w:tcW w:w="1620" w:type="dxa"/>
            <w:gridSpan w:val="2"/>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528" w:firstLineChars="0"/>
              <w:outlineLvl w:val="9"/>
              <w:rPr>
                <w:rFonts w:hint="eastAsia" w:ascii="宋体" w:hAnsi="宋体" w:cs="宋体"/>
                <w:color w:val="auto"/>
                <w:kern w:val="0"/>
              </w:rPr>
            </w:pPr>
            <w:r>
              <w:rPr>
                <w:rFonts w:ascii="宋体" w:hAnsi="宋体" w:eastAsia="宋体" w:cs="宋体"/>
                <w:spacing w:val="-2"/>
                <w:sz w:val="20"/>
                <w:szCs w:val="20"/>
              </w:rPr>
              <w:t>全部</w:t>
            </w:r>
          </w:p>
        </w:tc>
        <w:tc>
          <w:tcPr>
            <w:tcW w:w="1413" w:type="dxa"/>
            <w:gridSpan w:val="2"/>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宋体" w:hAnsi="宋体" w:eastAsia="宋体" w:cs="宋体"/>
                <w:spacing w:val="-2"/>
                <w:sz w:val="20"/>
                <w:szCs w:val="20"/>
              </w:rPr>
            </w:pPr>
            <w:r>
              <w:rPr>
                <w:rFonts w:hint="eastAsia" w:ascii="宋体" w:hAnsi="宋体" w:eastAsia="宋体" w:cs="宋体"/>
                <w:spacing w:val="-2"/>
                <w:sz w:val="20"/>
                <w:szCs w:val="20"/>
                <w:lang w:eastAsia="zh-CN"/>
              </w:rPr>
              <w:t>舟山市生态环境局定海分局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default" w:ascii="宋体" w:cs="宋体"/>
                <w:color w:val="auto"/>
                <w:lang w:val="en-US" w:eastAsia="zh-CN"/>
              </w:rPr>
            </w:pPr>
            <w:r>
              <w:rPr>
                <w:rFonts w:hint="eastAsia" w:ascii="宋体" w:cs="宋体"/>
                <w:color w:val="auto"/>
                <w:lang w:val="en-US" w:eastAsia="zh-CN"/>
              </w:rPr>
              <w:t>3</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firstLine="121" w:firstLineChars="0"/>
              <w:outlineLvl w:val="9"/>
              <w:rPr>
                <w:rFonts w:ascii="宋体" w:hAnsi="宋体" w:cs="宋体"/>
                <w:color w:val="auto"/>
                <w:kern w:val="0"/>
              </w:rPr>
            </w:pPr>
            <w:r>
              <w:rPr>
                <w:rFonts w:ascii="宋体" w:hAnsi="宋体" w:eastAsia="宋体" w:cs="宋体"/>
                <w:spacing w:val="-1"/>
                <w:sz w:val="20"/>
                <w:szCs w:val="20"/>
              </w:rPr>
              <w:t>330216205000</w:t>
            </w:r>
          </w:p>
        </w:tc>
        <w:tc>
          <w:tcPr>
            <w:tcW w:w="4543" w:type="dxa"/>
            <w:gridSpan w:val="3"/>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43" w:leftChars="0" w:right="106" w:rightChars="0"/>
              <w:outlineLvl w:val="9"/>
              <w:rPr>
                <w:rFonts w:hint="eastAsia" w:ascii="宋体" w:hAnsi="宋体" w:cs="宋体"/>
                <w:color w:val="auto"/>
                <w:kern w:val="0"/>
              </w:rPr>
            </w:pPr>
            <w:r>
              <w:rPr>
                <w:rFonts w:ascii="宋体" w:hAnsi="宋体" w:eastAsia="宋体" w:cs="宋体"/>
                <w:spacing w:val="7"/>
                <w:sz w:val="20"/>
                <w:szCs w:val="20"/>
              </w:rPr>
              <w:t>对回收利用废塑料、废布料造成环境污染的</w:t>
            </w:r>
            <w:r>
              <w:rPr>
                <w:rFonts w:ascii="宋体" w:hAnsi="宋体" w:eastAsia="宋体" w:cs="宋体"/>
                <w:spacing w:val="6"/>
                <w:sz w:val="20"/>
                <w:szCs w:val="20"/>
              </w:rPr>
              <w:t>行政处罚</w:t>
            </w:r>
          </w:p>
        </w:tc>
        <w:tc>
          <w:tcPr>
            <w:tcW w:w="1620" w:type="dxa"/>
            <w:gridSpan w:val="2"/>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firstLine="528" w:firstLineChars="0"/>
              <w:outlineLvl w:val="9"/>
              <w:rPr>
                <w:rFonts w:hint="eastAsia" w:ascii="宋体" w:hAnsi="宋体" w:cs="宋体"/>
                <w:color w:val="auto"/>
                <w:kern w:val="0"/>
              </w:rPr>
            </w:pPr>
            <w:r>
              <w:rPr>
                <w:rFonts w:ascii="宋体" w:hAnsi="宋体" w:eastAsia="宋体" w:cs="宋体"/>
                <w:spacing w:val="-2"/>
                <w:sz w:val="20"/>
                <w:szCs w:val="20"/>
              </w:rPr>
              <w:t>全部</w:t>
            </w:r>
          </w:p>
        </w:tc>
        <w:tc>
          <w:tcPr>
            <w:tcW w:w="1413" w:type="dxa"/>
            <w:gridSpan w:val="2"/>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宋体" w:hAnsi="宋体" w:eastAsia="宋体" w:cs="宋体"/>
                <w:spacing w:val="-2"/>
                <w:sz w:val="20"/>
                <w:szCs w:val="20"/>
              </w:rPr>
            </w:pPr>
            <w:r>
              <w:rPr>
                <w:rFonts w:hint="eastAsia" w:ascii="宋体" w:hAnsi="宋体" w:eastAsia="宋体" w:cs="宋体"/>
                <w:spacing w:val="-2"/>
                <w:sz w:val="20"/>
                <w:szCs w:val="20"/>
                <w:lang w:eastAsia="zh-CN"/>
              </w:rPr>
              <w:t>舟山市生态环境局定海分局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default" w:ascii="宋体" w:cs="宋体"/>
                <w:color w:val="auto"/>
                <w:lang w:val="en-US" w:eastAsia="zh-CN"/>
              </w:rPr>
            </w:pPr>
            <w:r>
              <w:rPr>
                <w:rFonts w:hint="eastAsia" w:ascii="宋体" w:cs="宋体"/>
                <w:color w:val="auto"/>
                <w:lang w:val="en-US" w:eastAsia="zh-CN"/>
              </w:rPr>
              <w:t>4</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firstLine="131" w:firstLineChars="0"/>
              <w:outlineLvl w:val="9"/>
              <w:rPr>
                <w:rFonts w:ascii="宋体" w:hAnsi="宋体" w:cs="宋体"/>
                <w:color w:val="auto"/>
                <w:kern w:val="0"/>
              </w:rPr>
            </w:pPr>
            <w:r>
              <w:rPr>
                <w:rFonts w:ascii="宋体" w:hAnsi="宋体" w:eastAsia="宋体" w:cs="宋体"/>
                <w:spacing w:val="-1"/>
                <w:sz w:val="20"/>
                <w:szCs w:val="20"/>
              </w:rPr>
              <w:t>330216352000</w:t>
            </w:r>
          </w:p>
        </w:tc>
        <w:tc>
          <w:tcPr>
            <w:tcW w:w="4543" w:type="dxa"/>
            <w:gridSpan w:val="3"/>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23" w:leftChars="0" w:right="103" w:rightChars="0"/>
              <w:outlineLvl w:val="9"/>
              <w:rPr>
                <w:rFonts w:hint="eastAsia" w:ascii="宋体" w:hAnsi="宋体" w:cs="宋体"/>
                <w:color w:val="auto"/>
                <w:kern w:val="0"/>
              </w:rPr>
            </w:pPr>
            <w:r>
              <w:rPr>
                <w:rFonts w:ascii="宋体" w:hAnsi="宋体" w:eastAsia="宋体" w:cs="宋体"/>
                <w:spacing w:val="7"/>
                <w:sz w:val="20"/>
                <w:szCs w:val="20"/>
              </w:rPr>
              <w:t>对产生固体废物的单位和个人不承担依法应</w:t>
            </w:r>
            <w:r>
              <w:rPr>
                <w:rFonts w:ascii="宋体" w:hAnsi="宋体" w:eastAsia="宋体" w:cs="宋体"/>
                <w:spacing w:val="3"/>
                <w:sz w:val="20"/>
                <w:szCs w:val="20"/>
              </w:rPr>
              <w:t>当承担的处置费用的行政处罚</w:t>
            </w:r>
          </w:p>
        </w:tc>
        <w:tc>
          <w:tcPr>
            <w:tcW w:w="1620" w:type="dxa"/>
            <w:gridSpan w:val="2"/>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firstLine="528" w:firstLineChars="0"/>
              <w:outlineLvl w:val="9"/>
              <w:rPr>
                <w:rFonts w:hint="eastAsia" w:ascii="宋体" w:hAnsi="宋体" w:cs="宋体"/>
                <w:color w:val="auto"/>
                <w:kern w:val="0"/>
              </w:rPr>
            </w:pPr>
            <w:r>
              <w:rPr>
                <w:rFonts w:ascii="宋体" w:hAnsi="宋体" w:eastAsia="宋体" w:cs="宋体"/>
                <w:spacing w:val="-2"/>
                <w:sz w:val="20"/>
                <w:szCs w:val="20"/>
              </w:rPr>
              <w:t>全部</w:t>
            </w:r>
          </w:p>
        </w:tc>
        <w:tc>
          <w:tcPr>
            <w:tcW w:w="1413" w:type="dxa"/>
            <w:gridSpan w:val="2"/>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宋体" w:hAnsi="宋体" w:eastAsia="宋体" w:cs="宋体"/>
                <w:spacing w:val="-2"/>
                <w:sz w:val="20"/>
                <w:szCs w:val="20"/>
              </w:rPr>
            </w:pPr>
            <w:r>
              <w:rPr>
                <w:rFonts w:hint="eastAsia" w:ascii="宋体" w:hAnsi="宋体" w:eastAsia="宋体" w:cs="宋体"/>
                <w:spacing w:val="-2"/>
                <w:sz w:val="20"/>
                <w:szCs w:val="20"/>
                <w:lang w:eastAsia="zh-CN"/>
              </w:rPr>
              <w:t>舟山市生态环境局定海分局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9922" w:type="dxa"/>
            <w:gridSpan w:val="10"/>
            <w:tcBorders>
              <w:top w:val="single" w:color="auto" w:sz="8" w:space="0"/>
              <w:left w:val="single" w:color="auto" w:sz="8" w:space="0"/>
              <w:bottom w:val="single" w:color="auto" w:sz="8" w:space="0"/>
            </w:tcBorders>
            <w:vAlign w:val="center"/>
          </w:tcPr>
          <w:p>
            <w:pPr>
              <w:keepNext w:val="0"/>
              <w:keepLines w:val="0"/>
              <w:pageBreakBefore w:val="0"/>
              <w:kinsoku/>
              <w:wordWrap/>
              <w:overflowPunct/>
              <w:topLinePunct w:val="0"/>
              <w:bidi w:val="0"/>
              <w:adjustRightInd/>
              <w:snapToGrid/>
              <w:spacing w:line="560" w:lineRule="exact"/>
              <w:outlineLvl w:val="9"/>
              <w:rPr>
                <w:rFonts w:hint="eastAsia" w:ascii="宋体" w:hAnsi="宋体" w:eastAsia="宋体" w:cs="宋体"/>
                <w:spacing w:val="-2"/>
                <w:sz w:val="20"/>
                <w:szCs w:val="20"/>
                <w:lang w:val="en-US" w:eastAsia="zh-CN"/>
              </w:rPr>
            </w:pPr>
            <w:r>
              <w:rPr>
                <w:rFonts w:hint="eastAsia" w:ascii="宋体" w:hAnsi="宋体" w:eastAsia="宋体" w:cs="宋体"/>
                <w:spacing w:val="-2"/>
                <w:sz w:val="20"/>
                <w:szCs w:val="20"/>
                <w:lang w:val="en-US" w:eastAsia="zh-CN"/>
              </w:rPr>
              <w:t>二十一、市场监管（共5项）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eastAsia" w:ascii="宋体" w:cs="宋体" w:eastAsiaTheme="minorEastAsia"/>
                <w:color w:val="auto"/>
                <w:lang w:val="en-US" w:eastAsia="zh-CN"/>
              </w:rPr>
            </w:pPr>
            <w:r>
              <w:rPr>
                <w:rFonts w:hint="eastAsia" w:ascii="宋体" w:cs="宋体"/>
                <w:color w:val="auto"/>
                <w:lang w:val="en-US" w:eastAsia="zh-CN"/>
              </w:rPr>
              <w:t>1</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131" w:firstLineChars="0"/>
              <w:outlineLvl w:val="9"/>
              <w:rPr>
                <w:rFonts w:ascii="宋体" w:cs="宋体"/>
                <w:color w:val="auto"/>
                <w:kern w:val="0"/>
              </w:rPr>
            </w:pPr>
            <w:r>
              <w:rPr>
                <w:rFonts w:ascii="宋体" w:hAnsi="宋体" w:eastAsia="宋体" w:cs="宋体"/>
                <w:spacing w:val="-1"/>
                <w:sz w:val="20"/>
                <w:szCs w:val="20"/>
              </w:rPr>
              <w:t>330231212000</w:t>
            </w:r>
          </w:p>
        </w:tc>
        <w:tc>
          <w:tcPr>
            <w:tcW w:w="4528"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13" w:leftChars="0" w:right="122" w:rightChars="0"/>
              <w:outlineLvl w:val="9"/>
              <w:rPr>
                <w:rFonts w:ascii="宋体" w:cs="宋体"/>
                <w:color w:val="auto"/>
                <w:kern w:val="0"/>
              </w:rPr>
            </w:pPr>
            <w:r>
              <w:rPr>
                <w:rFonts w:ascii="宋体" w:hAnsi="宋体" w:eastAsia="宋体" w:cs="宋体"/>
                <w:spacing w:val="-4"/>
                <w:sz w:val="20"/>
                <w:szCs w:val="20"/>
              </w:rPr>
              <w:t>对食品小作坊、小餐饮店、小食杂店使用超过</w:t>
            </w:r>
            <w:r>
              <w:rPr>
                <w:rFonts w:ascii="宋体" w:hAnsi="宋体" w:eastAsia="宋体" w:cs="宋体"/>
                <w:spacing w:val="17"/>
                <w:sz w:val="20"/>
                <w:szCs w:val="20"/>
              </w:rPr>
              <w:t xml:space="preserve"> </w:t>
            </w:r>
            <w:r>
              <w:rPr>
                <w:rFonts w:ascii="宋体" w:hAnsi="宋体" w:eastAsia="宋体" w:cs="宋体"/>
                <w:spacing w:val="-3"/>
                <w:sz w:val="20"/>
                <w:szCs w:val="20"/>
              </w:rPr>
              <w:t>保质期的食品原料、食品添加剂生产食品、食</w:t>
            </w:r>
            <w:r>
              <w:rPr>
                <w:rFonts w:ascii="宋体" w:hAnsi="宋体" w:eastAsia="宋体" w:cs="宋体"/>
                <w:spacing w:val="9"/>
                <w:sz w:val="20"/>
                <w:szCs w:val="20"/>
              </w:rPr>
              <w:t xml:space="preserve"> </w:t>
            </w:r>
            <w:r>
              <w:rPr>
                <w:rFonts w:ascii="宋体" w:hAnsi="宋体" w:eastAsia="宋体" w:cs="宋体"/>
                <w:spacing w:val="1"/>
                <w:sz w:val="20"/>
                <w:szCs w:val="20"/>
              </w:rPr>
              <w:t>品添加剂,或者经营上述食品、食品添加剂的</w:t>
            </w:r>
            <w:r>
              <w:rPr>
                <w:rFonts w:ascii="宋体" w:hAnsi="宋体" w:eastAsia="宋体" w:cs="宋体"/>
                <w:spacing w:val="15"/>
                <w:sz w:val="20"/>
                <w:szCs w:val="20"/>
              </w:rPr>
              <w:t xml:space="preserve"> </w:t>
            </w:r>
            <w:r>
              <w:rPr>
                <w:rFonts w:ascii="宋体" w:hAnsi="宋体" w:eastAsia="宋体" w:cs="宋体"/>
                <w:spacing w:val="3"/>
                <w:sz w:val="20"/>
                <w:szCs w:val="20"/>
              </w:rPr>
              <w:t>行政处罚</w:t>
            </w:r>
          </w:p>
        </w:tc>
        <w:tc>
          <w:tcPr>
            <w:tcW w:w="1665" w:type="dxa"/>
            <w:gridSpan w:val="4"/>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left="168" w:leftChars="0" w:right="163" w:rightChars="0"/>
              <w:outlineLvl w:val="9"/>
              <w:rPr>
                <w:rFonts w:ascii="宋体" w:cs="宋体"/>
                <w:color w:val="auto"/>
                <w:kern w:val="0"/>
              </w:rPr>
            </w:pPr>
            <w:r>
              <w:rPr>
                <w:rFonts w:ascii="宋体" w:hAnsi="宋体" w:eastAsia="宋体" w:cs="宋体"/>
                <w:spacing w:val="1"/>
                <w:sz w:val="20"/>
                <w:szCs w:val="20"/>
              </w:rPr>
              <w:t>部分(责令停</w:t>
            </w:r>
            <w:r>
              <w:rPr>
                <w:rFonts w:ascii="宋体" w:hAnsi="宋体" w:eastAsia="宋体" w:cs="宋体"/>
                <w:spacing w:val="4"/>
                <w:sz w:val="20"/>
                <w:szCs w:val="20"/>
              </w:rPr>
              <w:t xml:space="preserve"> </w:t>
            </w:r>
            <w:r>
              <w:rPr>
                <w:rFonts w:ascii="宋体" w:hAnsi="宋体" w:eastAsia="宋体" w:cs="宋体"/>
                <w:spacing w:val="-2"/>
                <w:sz w:val="20"/>
                <w:szCs w:val="20"/>
              </w:rPr>
              <w:t>产停业除外)</w:t>
            </w:r>
          </w:p>
        </w:tc>
        <w:tc>
          <w:tcPr>
            <w:tcW w:w="1383" w:type="dxa"/>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jc w:val="left"/>
              <w:outlineLvl w:val="9"/>
              <w:rPr>
                <w:lang w:val="en-US" w:eastAsia="zh-CN"/>
              </w:rPr>
            </w:pPr>
            <w:r>
              <w:rPr>
                <w:rFonts w:hint="eastAsia"/>
                <w:lang w:val="en-US" w:eastAsia="zh-CN"/>
              </w:rPr>
              <w:t>舟山市市场监督管理局定海分局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eastAsia" w:ascii="宋体" w:cs="宋体" w:eastAsiaTheme="minorEastAsia"/>
                <w:color w:val="auto"/>
                <w:lang w:val="en-US" w:eastAsia="zh-CN"/>
              </w:rPr>
            </w:pPr>
            <w:r>
              <w:rPr>
                <w:rFonts w:hint="eastAsia" w:ascii="宋体" w:cs="宋体"/>
                <w:color w:val="auto"/>
                <w:lang w:val="en-US" w:eastAsia="zh-CN"/>
              </w:rPr>
              <w:t>2</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131" w:firstLineChars="0"/>
              <w:outlineLvl w:val="9"/>
              <w:rPr>
                <w:rFonts w:ascii="宋体" w:cs="宋体"/>
                <w:color w:val="auto"/>
                <w:kern w:val="0"/>
              </w:rPr>
            </w:pPr>
            <w:r>
              <w:rPr>
                <w:rFonts w:ascii="宋体" w:hAnsi="宋体" w:eastAsia="宋体" w:cs="宋体"/>
                <w:spacing w:val="-1"/>
                <w:sz w:val="20"/>
                <w:szCs w:val="20"/>
              </w:rPr>
              <w:t>330231239000</w:t>
            </w:r>
          </w:p>
        </w:tc>
        <w:tc>
          <w:tcPr>
            <w:tcW w:w="4528"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13" w:leftChars="0" w:right="58" w:rightChars="0"/>
              <w:outlineLvl w:val="9"/>
              <w:rPr>
                <w:rFonts w:ascii="宋体" w:cs="宋体"/>
                <w:color w:val="auto"/>
                <w:kern w:val="0"/>
              </w:rPr>
            </w:pPr>
            <w:r>
              <w:rPr>
                <w:rFonts w:ascii="宋体" w:hAnsi="宋体" w:eastAsia="宋体" w:cs="宋体"/>
                <w:sz w:val="20"/>
                <w:szCs w:val="20"/>
              </w:rPr>
              <w:t>对食品小作坊、小餐饮店、小食杂店生产经营</w:t>
            </w:r>
            <w:r>
              <w:rPr>
                <w:rFonts w:ascii="宋体" w:hAnsi="宋体" w:eastAsia="宋体" w:cs="宋体"/>
                <w:spacing w:val="13"/>
                <w:sz w:val="20"/>
                <w:szCs w:val="20"/>
              </w:rPr>
              <w:t xml:space="preserve"> </w:t>
            </w:r>
            <w:r>
              <w:rPr>
                <w:rFonts w:ascii="宋体" w:hAnsi="宋体" w:eastAsia="宋体" w:cs="宋体"/>
                <w:spacing w:val="7"/>
                <w:sz w:val="20"/>
                <w:szCs w:val="20"/>
              </w:rPr>
              <w:t>标注虚假生产日期、保质期或者超过保质期</w:t>
            </w:r>
            <w:r>
              <w:rPr>
                <w:rFonts w:ascii="宋体" w:hAnsi="宋体" w:eastAsia="宋体" w:cs="宋体"/>
                <w:sz w:val="20"/>
                <w:szCs w:val="20"/>
              </w:rPr>
              <w:t xml:space="preserve"> </w:t>
            </w:r>
            <w:r>
              <w:rPr>
                <w:rFonts w:ascii="宋体" w:hAnsi="宋体" w:eastAsia="宋体" w:cs="宋体"/>
                <w:spacing w:val="-2"/>
                <w:sz w:val="20"/>
                <w:szCs w:val="20"/>
              </w:rPr>
              <w:t>的食品、食品添加剂的行政处罚</w:t>
            </w:r>
          </w:p>
        </w:tc>
        <w:tc>
          <w:tcPr>
            <w:tcW w:w="1665" w:type="dxa"/>
            <w:gridSpan w:val="4"/>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left="168" w:leftChars="0" w:right="131" w:rightChars="0"/>
              <w:outlineLvl w:val="9"/>
              <w:rPr>
                <w:rFonts w:ascii="宋体" w:cs="宋体"/>
                <w:color w:val="auto"/>
                <w:kern w:val="0"/>
              </w:rPr>
            </w:pPr>
            <w:r>
              <w:rPr>
                <w:rFonts w:ascii="宋体" w:hAnsi="宋体" w:eastAsia="宋体" w:cs="宋体"/>
                <w:spacing w:val="1"/>
                <w:sz w:val="20"/>
                <w:szCs w:val="20"/>
              </w:rPr>
              <w:t>部分(责令停</w:t>
            </w:r>
            <w:r>
              <w:rPr>
                <w:rFonts w:ascii="宋体" w:hAnsi="宋体" w:eastAsia="宋体" w:cs="宋体"/>
                <w:spacing w:val="4"/>
                <w:sz w:val="20"/>
                <w:szCs w:val="20"/>
              </w:rPr>
              <w:t xml:space="preserve"> </w:t>
            </w:r>
            <w:r>
              <w:rPr>
                <w:rFonts w:ascii="宋体" w:hAnsi="宋体" w:eastAsia="宋体" w:cs="宋体"/>
                <w:spacing w:val="7"/>
                <w:sz w:val="20"/>
                <w:szCs w:val="20"/>
              </w:rPr>
              <w:t>产停业除外)</w:t>
            </w:r>
          </w:p>
        </w:tc>
        <w:tc>
          <w:tcPr>
            <w:tcW w:w="1383" w:type="dxa"/>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right="131" w:rightChars="0"/>
              <w:outlineLvl w:val="9"/>
              <w:rPr>
                <w:rFonts w:ascii="宋体" w:hAnsi="宋体" w:eastAsia="宋体" w:cs="宋体"/>
                <w:spacing w:val="1"/>
                <w:sz w:val="20"/>
                <w:szCs w:val="20"/>
              </w:rPr>
            </w:pPr>
            <w:r>
              <w:rPr>
                <w:rFonts w:hint="eastAsia" w:ascii="宋体" w:hAnsi="宋体" w:eastAsia="宋体" w:cs="宋体"/>
                <w:spacing w:val="1"/>
                <w:sz w:val="20"/>
                <w:szCs w:val="20"/>
                <w:lang w:val="en-US" w:eastAsia="zh-CN"/>
              </w:rPr>
              <w:t>舟山市市场监督管理局定海分局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eastAsia" w:ascii="宋体" w:cs="宋体" w:eastAsiaTheme="minorEastAsia"/>
                <w:color w:val="auto"/>
                <w:lang w:val="en-US" w:eastAsia="zh-CN"/>
              </w:rPr>
            </w:pPr>
            <w:r>
              <w:rPr>
                <w:rFonts w:hint="eastAsia" w:ascii="宋体" w:cs="宋体"/>
                <w:color w:val="auto"/>
                <w:lang w:val="en-US" w:eastAsia="zh-CN"/>
              </w:rPr>
              <w:t>3</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131" w:firstLineChars="0"/>
              <w:outlineLvl w:val="9"/>
              <w:rPr>
                <w:rFonts w:ascii="宋体" w:cs="宋体"/>
                <w:color w:val="auto"/>
                <w:kern w:val="0"/>
              </w:rPr>
            </w:pPr>
            <w:r>
              <w:rPr>
                <w:rFonts w:ascii="宋体" w:hAnsi="宋体" w:eastAsia="宋体" w:cs="宋体"/>
                <w:spacing w:val="-1"/>
                <w:sz w:val="20"/>
                <w:szCs w:val="20"/>
              </w:rPr>
              <w:t>330231248000</w:t>
            </w:r>
          </w:p>
        </w:tc>
        <w:tc>
          <w:tcPr>
            <w:tcW w:w="4528"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13" w:leftChars="0" w:right="58" w:rightChars="0"/>
              <w:outlineLvl w:val="9"/>
              <w:rPr>
                <w:rFonts w:ascii="宋体" w:cs="宋体"/>
                <w:color w:val="auto"/>
                <w:kern w:val="0"/>
              </w:rPr>
            </w:pPr>
            <w:r>
              <w:rPr>
                <w:rFonts w:ascii="宋体" w:hAnsi="宋体" w:eastAsia="宋体" w:cs="宋体"/>
                <w:sz w:val="20"/>
                <w:szCs w:val="20"/>
              </w:rPr>
              <w:t>对食品小作坊、小餐饮店、小食杂店生产经营</w:t>
            </w:r>
            <w:r>
              <w:rPr>
                <w:rFonts w:ascii="宋体" w:hAnsi="宋体" w:eastAsia="宋体" w:cs="宋体"/>
                <w:spacing w:val="13"/>
                <w:sz w:val="20"/>
                <w:szCs w:val="20"/>
              </w:rPr>
              <w:t xml:space="preserve"> </w:t>
            </w:r>
            <w:r>
              <w:rPr>
                <w:rFonts w:ascii="宋体" w:hAnsi="宋体" w:eastAsia="宋体" w:cs="宋体"/>
                <w:spacing w:val="4"/>
                <w:sz w:val="20"/>
                <w:szCs w:val="20"/>
              </w:rPr>
              <w:t>超范围、超限量使用食品添加剂的食品的行</w:t>
            </w:r>
            <w:r>
              <w:rPr>
                <w:rFonts w:ascii="宋体" w:hAnsi="宋体" w:eastAsia="宋体" w:cs="宋体"/>
                <w:spacing w:val="2"/>
                <w:sz w:val="20"/>
                <w:szCs w:val="20"/>
              </w:rPr>
              <w:t xml:space="preserve">  </w:t>
            </w:r>
            <w:r>
              <w:rPr>
                <w:rFonts w:ascii="宋体" w:hAnsi="宋体" w:eastAsia="宋体" w:cs="宋体"/>
                <w:spacing w:val="8"/>
                <w:sz w:val="20"/>
                <w:szCs w:val="20"/>
              </w:rPr>
              <w:t>政处罚</w:t>
            </w:r>
          </w:p>
        </w:tc>
        <w:tc>
          <w:tcPr>
            <w:tcW w:w="1665" w:type="dxa"/>
            <w:gridSpan w:val="4"/>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left="168" w:leftChars="0" w:right="131" w:rightChars="0"/>
              <w:outlineLvl w:val="9"/>
              <w:rPr>
                <w:rFonts w:ascii="宋体" w:cs="宋体"/>
                <w:color w:val="auto"/>
                <w:kern w:val="0"/>
              </w:rPr>
            </w:pPr>
            <w:r>
              <w:rPr>
                <w:rFonts w:ascii="宋体" w:hAnsi="宋体" w:eastAsia="宋体" w:cs="宋体"/>
                <w:spacing w:val="1"/>
                <w:sz w:val="20"/>
                <w:szCs w:val="20"/>
              </w:rPr>
              <w:t>部分(责令停</w:t>
            </w:r>
            <w:r>
              <w:rPr>
                <w:rFonts w:ascii="宋体" w:hAnsi="宋体" w:eastAsia="宋体" w:cs="宋体"/>
                <w:spacing w:val="4"/>
                <w:sz w:val="20"/>
                <w:szCs w:val="20"/>
              </w:rPr>
              <w:t xml:space="preserve"> </w:t>
            </w:r>
            <w:r>
              <w:rPr>
                <w:rFonts w:ascii="宋体" w:hAnsi="宋体" w:eastAsia="宋体" w:cs="宋体"/>
                <w:spacing w:val="7"/>
                <w:sz w:val="20"/>
                <w:szCs w:val="20"/>
              </w:rPr>
              <w:t>产停业除外)</w:t>
            </w:r>
          </w:p>
        </w:tc>
        <w:tc>
          <w:tcPr>
            <w:tcW w:w="1383" w:type="dxa"/>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right="131" w:rightChars="0"/>
              <w:outlineLvl w:val="9"/>
              <w:rPr>
                <w:rFonts w:ascii="宋体" w:hAnsi="宋体" w:eastAsia="宋体" w:cs="宋体"/>
                <w:spacing w:val="1"/>
                <w:sz w:val="20"/>
                <w:szCs w:val="20"/>
              </w:rPr>
            </w:pPr>
            <w:r>
              <w:rPr>
                <w:rFonts w:hint="eastAsia" w:ascii="宋体" w:hAnsi="宋体" w:eastAsia="宋体" w:cs="宋体"/>
                <w:spacing w:val="1"/>
                <w:sz w:val="20"/>
                <w:szCs w:val="20"/>
                <w:lang w:val="en-US" w:eastAsia="zh-CN"/>
              </w:rPr>
              <w:t>舟山市市场监督管理局定海分局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eastAsia" w:ascii="宋体" w:cs="宋体" w:eastAsiaTheme="minorEastAsia"/>
                <w:color w:val="auto"/>
                <w:lang w:val="en-US" w:eastAsia="zh-CN"/>
              </w:rPr>
            </w:pPr>
            <w:r>
              <w:rPr>
                <w:rFonts w:hint="eastAsia" w:ascii="宋体" w:cs="宋体"/>
                <w:color w:val="auto"/>
                <w:lang w:val="en-US" w:eastAsia="zh-CN"/>
              </w:rPr>
              <w:t>4</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outlineLvl w:val="9"/>
              <w:rPr>
                <w:rFonts w:ascii="Arial"/>
                <w:sz w:val="21"/>
              </w:rPr>
            </w:pPr>
          </w:p>
          <w:p>
            <w:pPr>
              <w:keepNext w:val="0"/>
              <w:keepLines w:val="0"/>
              <w:pageBreakBefore w:val="0"/>
              <w:kinsoku/>
              <w:wordWrap/>
              <w:overflowPunct/>
              <w:topLinePunct w:val="0"/>
              <w:bidi w:val="0"/>
              <w:adjustRightInd/>
              <w:snapToGrid/>
              <w:spacing w:line="560" w:lineRule="exact"/>
              <w:ind w:firstLine="131" w:firstLineChars="0"/>
              <w:outlineLvl w:val="9"/>
              <w:rPr>
                <w:rFonts w:ascii="宋体" w:hAnsi="宋体" w:cs="宋体"/>
                <w:color w:val="auto"/>
                <w:kern w:val="0"/>
              </w:rPr>
            </w:pPr>
            <w:r>
              <w:rPr>
                <w:rFonts w:ascii="宋体" w:hAnsi="宋体" w:eastAsia="宋体" w:cs="宋体"/>
                <w:spacing w:val="-1"/>
                <w:sz w:val="20"/>
                <w:szCs w:val="20"/>
              </w:rPr>
              <w:t>330231276000</w:t>
            </w:r>
          </w:p>
        </w:tc>
        <w:tc>
          <w:tcPr>
            <w:tcW w:w="4528"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13" w:leftChars="0" w:right="78" w:rightChars="0"/>
              <w:outlineLvl w:val="9"/>
              <w:rPr>
                <w:rFonts w:hint="eastAsia" w:ascii="宋体" w:hAnsi="宋体" w:cs="宋体"/>
                <w:color w:val="auto"/>
                <w:kern w:val="0"/>
              </w:rPr>
            </w:pPr>
            <w:r>
              <w:rPr>
                <w:rFonts w:ascii="宋体" w:hAnsi="宋体" w:eastAsia="宋体" w:cs="宋体"/>
                <w:spacing w:val="-1"/>
                <w:sz w:val="20"/>
                <w:szCs w:val="20"/>
              </w:rPr>
              <w:t>对食品小作坊、小餐饮店、小食杂店和食品摊</w:t>
            </w:r>
            <w:r>
              <w:rPr>
                <w:rFonts w:ascii="宋体" w:hAnsi="宋体" w:eastAsia="宋体" w:cs="宋体"/>
                <w:spacing w:val="12"/>
                <w:sz w:val="20"/>
                <w:szCs w:val="20"/>
              </w:rPr>
              <w:t xml:space="preserve"> </w:t>
            </w:r>
            <w:r>
              <w:rPr>
                <w:rFonts w:ascii="宋体" w:hAnsi="宋体" w:eastAsia="宋体" w:cs="宋体"/>
                <w:spacing w:val="7"/>
                <w:sz w:val="20"/>
                <w:szCs w:val="20"/>
              </w:rPr>
              <w:t>贩从业人员未按规定取得健康证明的行政处</w:t>
            </w:r>
            <w:r>
              <w:rPr>
                <w:rFonts w:ascii="宋体" w:hAnsi="宋体" w:eastAsia="宋体" w:cs="宋体"/>
                <w:spacing w:val="15"/>
                <w:sz w:val="20"/>
                <w:szCs w:val="20"/>
              </w:rPr>
              <w:t xml:space="preserve"> </w:t>
            </w:r>
            <w:r>
              <w:rPr>
                <w:rFonts w:ascii="宋体" w:hAnsi="宋体" w:eastAsia="宋体" w:cs="宋体"/>
                <w:sz w:val="20"/>
                <w:szCs w:val="20"/>
              </w:rPr>
              <w:t>罚</w:t>
            </w:r>
          </w:p>
        </w:tc>
        <w:tc>
          <w:tcPr>
            <w:tcW w:w="1665" w:type="dxa"/>
            <w:gridSpan w:val="4"/>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left="168" w:leftChars="0" w:right="131" w:rightChars="0"/>
              <w:outlineLvl w:val="9"/>
              <w:rPr>
                <w:rFonts w:hint="eastAsia" w:ascii="宋体" w:hAnsi="宋体" w:cs="宋体"/>
                <w:color w:val="auto"/>
                <w:kern w:val="0"/>
              </w:rPr>
            </w:pPr>
            <w:r>
              <w:rPr>
                <w:rFonts w:ascii="宋体" w:hAnsi="宋体" w:eastAsia="宋体" w:cs="宋体"/>
                <w:spacing w:val="1"/>
                <w:sz w:val="20"/>
                <w:szCs w:val="20"/>
              </w:rPr>
              <w:t>部分(责令停</w:t>
            </w:r>
            <w:r>
              <w:rPr>
                <w:rFonts w:ascii="宋体" w:hAnsi="宋体" w:eastAsia="宋体" w:cs="宋体"/>
                <w:spacing w:val="4"/>
                <w:sz w:val="20"/>
                <w:szCs w:val="20"/>
              </w:rPr>
              <w:t xml:space="preserve"> </w:t>
            </w:r>
            <w:r>
              <w:rPr>
                <w:rFonts w:ascii="宋体" w:hAnsi="宋体" w:eastAsia="宋体" w:cs="宋体"/>
                <w:spacing w:val="7"/>
                <w:sz w:val="20"/>
                <w:szCs w:val="20"/>
              </w:rPr>
              <w:t>产停业除外)</w:t>
            </w:r>
          </w:p>
        </w:tc>
        <w:tc>
          <w:tcPr>
            <w:tcW w:w="1383" w:type="dxa"/>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right="131" w:rightChars="0"/>
              <w:outlineLvl w:val="9"/>
              <w:rPr>
                <w:rFonts w:ascii="宋体" w:hAnsi="宋体" w:eastAsia="宋体" w:cs="宋体"/>
                <w:spacing w:val="1"/>
                <w:sz w:val="20"/>
                <w:szCs w:val="20"/>
              </w:rPr>
            </w:pPr>
            <w:r>
              <w:rPr>
                <w:rFonts w:hint="eastAsia" w:ascii="宋体" w:hAnsi="宋体" w:eastAsia="宋体" w:cs="宋体"/>
                <w:spacing w:val="1"/>
                <w:sz w:val="20"/>
                <w:szCs w:val="20"/>
                <w:lang w:val="en-US" w:eastAsia="zh-CN"/>
              </w:rPr>
              <w:t>舟山市市场监督管理局定海分局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566" w:type="dxa"/>
            <w:tcBorders>
              <w:top w:val="single" w:color="auto" w:sz="8" w:space="0"/>
              <w:left w:val="single" w:color="auto" w:sz="8" w:space="0"/>
              <w:bottom w:val="single" w:color="auto" w:sz="8" w:space="0"/>
              <w:right w:val="single" w:color="auto" w:sz="8" w:space="0"/>
            </w:tcBorders>
            <w:vAlign w:val="center"/>
          </w:tcPr>
          <w:p>
            <w:pPr>
              <w:keepNext w:val="0"/>
              <w:keepLines w:val="0"/>
              <w:pageBreakBefore w:val="0"/>
              <w:numPr>
                <w:ilvl w:val="0"/>
                <w:numId w:val="0"/>
              </w:numPr>
              <w:kinsoku/>
              <w:wordWrap/>
              <w:overflowPunct/>
              <w:topLinePunct w:val="0"/>
              <w:autoSpaceDE w:val="0"/>
              <w:autoSpaceDN w:val="0"/>
              <w:bidi w:val="0"/>
              <w:adjustRightInd/>
              <w:snapToGrid/>
              <w:spacing w:line="560" w:lineRule="exact"/>
              <w:ind w:leftChars="0" w:right="105" w:rightChars="50"/>
              <w:jc w:val="left"/>
              <w:outlineLvl w:val="9"/>
              <w:rPr>
                <w:rFonts w:hint="eastAsia" w:ascii="宋体" w:cs="宋体" w:eastAsiaTheme="minorEastAsia"/>
                <w:color w:val="auto"/>
                <w:lang w:val="en-US" w:eastAsia="zh-CN"/>
              </w:rPr>
            </w:pPr>
            <w:r>
              <w:rPr>
                <w:rFonts w:hint="eastAsia" w:ascii="宋体" w:cs="宋体"/>
                <w:color w:val="auto"/>
                <w:lang w:val="en-US" w:eastAsia="zh-CN"/>
              </w:rPr>
              <w:t>5</w:t>
            </w:r>
          </w:p>
        </w:tc>
        <w:tc>
          <w:tcPr>
            <w:tcW w:w="1780"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firstLine="131" w:firstLineChars="0"/>
              <w:outlineLvl w:val="9"/>
              <w:rPr>
                <w:rFonts w:hint="eastAsia" w:ascii="宋体" w:hAnsi="宋体" w:cs="宋体"/>
                <w:color w:val="auto"/>
                <w:kern w:val="0"/>
              </w:rPr>
            </w:pPr>
            <w:r>
              <w:rPr>
                <w:rFonts w:ascii="宋体" w:hAnsi="宋体" w:eastAsia="宋体" w:cs="宋体"/>
                <w:spacing w:val="-1"/>
                <w:sz w:val="20"/>
                <w:szCs w:val="20"/>
              </w:rPr>
              <w:t>330231206000</w:t>
            </w:r>
          </w:p>
        </w:tc>
        <w:tc>
          <w:tcPr>
            <w:tcW w:w="4528" w:type="dxa"/>
            <w:gridSpan w:val="2"/>
            <w:tcBorders>
              <w:top w:val="single" w:color="auto" w:sz="8" w:space="0"/>
              <w:left w:val="single" w:color="auto" w:sz="8"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left="113" w:leftChars="0" w:right="143" w:rightChars="0"/>
              <w:outlineLvl w:val="9"/>
              <w:rPr>
                <w:rFonts w:hint="eastAsia" w:ascii="宋体" w:hAnsi="宋体" w:cs="宋体"/>
                <w:color w:val="auto"/>
                <w:kern w:val="0"/>
              </w:rPr>
            </w:pPr>
            <w:r>
              <w:rPr>
                <w:rFonts w:ascii="宋体" w:hAnsi="宋体" w:eastAsia="宋体" w:cs="宋体"/>
                <w:spacing w:val="6"/>
                <w:sz w:val="20"/>
                <w:szCs w:val="20"/>
              </w:rPr>
              <w:t>对食品小作坊、小餐饮店生产加工过程未遵</w:t>
            </w:r>
            <w:r>
              <w:rPr>
                <w:rFonts w:ascii="宋体" w:hAnsi="宋体" w:eastAsia="宋体" w:cs="宋体"/>
                <w:spacing w:val="14"/>
                <w:sz w:val="20"/>
                <w:szCs w:val="20"/>
              </w:rPr>
              <w:t xml:space="preserve"> </w:t>
            </w:r>
            <w:r>
              <w:rPr>
                <w:rFonts w:ascii="宋体" w:hAnsi="宋体" w:eastAsia="宋体" w:cs="宋体"/>
                <w:spacing w:val="6"/>
                <w:sz w:val="20"/>
                <w:szCs w:val="20"/>
              </w:rPr>
              <w:t>守相关规定的行政处罚</w:t>
            </w:r>
          </w:p>
        </w:tc>
        <w:tc>
          <w:tcPr>
            <w:tcW w:w="1665" w:type="dxa"/>
            <w:gridSpan w:val="4"/>
            <w:tcBorders>
              <w:top w:val="single" w:color="auto" w:sz="8" w:space="0"/>
              <w:left w:val="single" w:color="auto" w:sz="8" w:space="0"/>
              <w:bottom w:val="single" w:color="auto" w:sz="8" w:space="0"/>
              <w:right w:val="single" w:color="auto" w:sz="4" w:space="0"/>
            </w:tcBorders>
            <w:vAlign w:val="top"/>
          </w:tcPr>
          <w:p>
            <w:pPr>
              <w:keepNext w:val="0"/>
              <w:keepLines w:val="0"/>
              <w:pageBreakBefore w:val="0"/>
              <w:kinsoku/>
              <w:wordWrap/>
              <w:overflowPunct/>
              <w:topLinePunct w:val="0"/>
              <w:bidi w:val="0"/>
              <w:adjustRightInd/>
              <w:snapToGrid/>
              <w:spacing w:line="560" w:lineRule="exact"/>
              <w:ind w:left="168" w:leftChars="0" w:right="131" w:rightChars="0"/>
              <w:outlineLvl w:val="9"/>
              <w:rPr>
                <w:rFonts w:hint="eastAsia" w:ascii="宋体" w:hAnsi="宋体" w:cs="宋体"/>
                <w:color w:val="auto"/>
                <w:kern w:val="0"/>
              </w:rPr>
            </w:pPr>
            <w:r>
              <w:rPr>
                <w:rFonts w:ascii="宋体" w:hAnsi="宋体" w:eastAsia="宋体" w:cs="宋体"/>
                <w:spacing w:val="1"/>
                <w:sz w:val="20"/>
                <w:szCs w:val="20"/>
              </w:rPr>
              <w:t>部分(责令停</w:t>
            </w:r>
            <w:r>
              <w:rPr>
                <w:rFonts w:ascii="宋体" w:hAnsi="宋体" w:eastAsia="宋体" w:cs="宋体"/>
                <w:spacing w:val="4"/>
                <w:sz w:val="20"/>
                <w:szCs w:val="20"/>
              </w:rPr>
              <w:t xml:space="preserve"> </w:t>
            </w:r>
            <w:r>
              <w:rPr>
                <w:rFonts w:ascii="宋体" w:hAnsi="宋体" w:eastAsia="宋体" w:cs="宋体"/>
                <w:spacing w:val="7"/>
                <w:sz w:val="20"/>
                <w:szCs w:val="20"/>
              </w:rPr>
              <w:t>产停业除外)</w:t>
            </w:r>
          </w:p>
        </w:tc>
        <w:tc>
          <w:tcPr>
            <w:tcW w:w="1383" w:type="dxa"/>
            <w:tcBorders>
              <w:top w:val="single" w:color="auto" w:sz="8" w:space="0"/>
              <w:left w:val="single" w:color="auto" w:sz="4" w:space="0"/>
              <w:bottom w:val="single" w:color="auto" w:sz="8" w:space="0"/>
              <w:right w:val="single" w:color="auto" w:sz="8" w:space="0"/>
            </w:tcBorders>
            <w:vAlign w:val="top"/>
          </w:tcPr>
          <w:p>
            <w:pPr>
              <w:keepNext w:val="0"/>
              <w:keepLines w:val="0"/>
              <w:pageBreakBefore w:val="0"/>
              <w:kinsoku/>
              <w:wordWrap/>
              <w:overflowPunct/>
              <w:topLinePunct w:val="0"/>
              <w:bidi w:val="0"/>
              <w:adjustRightInd/>
              <w:snapToGrid/>
              <w:spacing w:line="560" w:lineRule="exact"/>
              <w:ind w:right="131" w:rightChars="0"/>
              <w:outlineLvl w:val="9"/>
              <w:rPr>
                <w:rFonts w:ascii="宋体" w:hAnsi="宋体" w:eastAsia="宋体" w:cs="宋体"/>
                <w:spacing w:val="1"/>
                <w:sz w:val="20"/>
                <w:szCs w:val="20"/>
              </w:rPr>
            </w:pPr>
            <w:r>
              <w:rPr>
                <w:rFonts w:hint="eastAsia" w:ascii="宋体" w:hAnsi="宋体" w:eastAsia="宋体" w:cs="宋体"/>
                <w:spacing w:val="1"/>
                <w:sz w:val="20"/>
                <w:szCs w:val="20"/>
                <w:lang w:val="en-US" w:eastAsia="zh-CN"/>
              </w:rPr>
              <w:t>舟山市市场监督管理局定海分局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23" w:hRule="atLeast"/>
          <w:jc w:val="center"/>
        </w:trPr>
        <w:tc>
          <w:tcPr>
            <w:tcW w:w="9922" w:type="dxa"/>
            <w:gridSpan w:val="10"/>
            <w:tcBorders>
              <w:top w:val="single" w:color="auto" w:sz="8" w:space="0"/>
              <w:left w:val="single" w:color="auto" w:sz="8" w:space="0"/>
              <w:bottom w:val="single" w:color="auto" w:sz="8" w:space="0"/>
            </w:tcBorders>
            <w:vAlign w:val="center"/>
          </w:tcPr>
          <w:p>
            <w:pPr>
              <w:keepNext w:val="0"/>
              <w:keepLines w:val="0"/>
              <w:pageBreakBefore w:val="0"/>
              <w:wordWrap/>
              <w:overflowPunct/>
              <w:topLinePunct w:val="0"/>
              <w:bidi w:val="0"/>
              <w:spacing w:line="560" w:lineRule="exact"/>
              <w:jc w:val="both"/>
              <w:rPr>
                <w:rFonts w:hint="eastAsia"/>
                <w:lang w:val="en-US" w:eastAsia="zh-CN"/>
              </w:rPr>
            </w:pPr>
            <w:r>
              <w:rPr>
                <w:rFonts w:hint="eastAsia"/>
                <w:lang w:val="en-US" w:eastAsia="zh-CN"/>
              </w:rPr>
              <w:t>注：1.本目录行政处罚事项共计213项</w:t>
            </w:r>
          </w:p>
          <w:p>
            <w:pPr>
              <w:keepNext w:val="0"/>
              <w:keepLines w:val="0"/>
              <w:pageBreakBefore w:val="0"/>
              <w:kinsoku/>
              <w:wordWrap/>
              <w:overflowPunct/>
              <w:topLinePunct w:val="0"/>
              <w:bidi w:val="0"/>
              <w:adjustRightInd/>
              <w:snapToGrid/>
              <w:spacing w:line="560" w:lineRule="exact"/>
              <w:ind w:right="131" w:rightChars="0"/>
              <w:outlineLvl w:val="9"/>
              <w:rPr>
                <w:rFonts w:hint="eastAsia" w:ascii="宋体" w:hAnsi="宋体" w:eastAsia="宋体" w:cs="宋体"/>
                <w:spacing w:val="1"/>
                <w:sz w:val="20"/>
                <w:szCs w:val="20"/>
                <w:lang w:val="en-US" w:eastAsia="zh-CN"/>
              </w:rPr>
            </w:pPr>
            <w:r>
              <w:rPr>
                <w:rFonts w:hint="eastAsia"/>
                <w:lang w:val="en-US" w:eastAsia="zh-CN"/>
              </w:rPr>
              <w:t xml:space="preserve">    2.本目录行政处罚事项根据浙江省权力事项库（监管库）动态调整</w:t>
            </w:r>
          </w:p>
        </w:tc>
      </w:tr>
    </w:tbl>
    <w:p>
      <w:pPr>
        <w:pStyle w:val="3"/>
        <w:keepNext w:val="0"/>
        <w:keepLines w:val="0"/>
        <w:pageBreakBefore w:val="0"/>
        <w:kinsoku/>
        <w:wordWrap/>
        <w:overflowPunct/>
        <w:topLinePunct w:val="0"/>
        <w:autoSpaceDE w:val="0"/>
        <w:autoSpaceDN w:val="0"/>
        <w:bidi w:val="0"/>
        <w:adjustRightInd/>
        <w:snapToGrid/>
        <w:spacing w:line="560" w:lineRule="exact"/>
        <w:jc w:val="left"/>
        <w:outlineLvl w:val="9"/>
        <w:rPr>
          <w:rFonts w:hint="eastAsia" w:ascii="Times New Roman"/>
          <w:sz w:val="20"/>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libri Light">
    <w:panose1 w:val="020F0302020204030204"/>
    <w:charset w:val="00"/>
    <w:family w:val="auto"/>
    <w:pitch w:val="default"/>
    <w:sig w:usb0="E0002AFF" w:usb1="C000247B" w:usb2="00000009" w:usb3="00000000" w:csb0="200001FF" w:csb1="0000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0002EFF" w:usb1="C000247B" w:usb2="00000009" w:usb3="00000000" w:csb0="200001FF" w:csb1="00000000"/>
  </w:font>
  <w:font w:name="Arial">
    <w:panose1 w:val="020B0604020202020204"/>
    <w:charset w:val="01"/>
    <w:family w:val="modern"/>
    <w:pitch w:val="default"/>
    <w:sig w:usb0="E0002EFF" w:usb1="C000785B"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_GB2312">
    <w:panose1 w:val="02010609030101010101"/>
    <w:charset w:val="86"/>
    <w:family w:val="roman"/>
    <w:pitch w:val="default"/>
    <w:sig w:usb0="00000001" w:usb1="080E0000" w:usb2="00000000" w:usb3="00000000" w:csb0="00040000" w:csb1="00000000"/>
  </w:font>
  <w:font w:name="楷体_GB2312">
    <w:panose1 w:val="02010609030101010101"/>
    <w:charset w:val="86"/>
    <w:family w:val="roma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798088054">
    <w:nsid w:val="A6C76F76"/>
    <w:multiLevelType w:val="singleLevel"/>
    <w:tmpl w:val="A6C76F76"/>
    <w:lvl w:ilvl="0" w:tentative="1">
      <w:start w:val="1"/>
      <w:numFmt w:val="decimal"/>
      <w:suff w:val="nothing"/>
      <w:lvlText w:val="%1"/>
      <w:lvlJc w:val="left"/>
      <w:pPr>
        <w:tabs>
          <w:tab w:val="left" w:pos="0"/>
        </w:tabs>
        <w:ind w:left="-105"/>
      </w:pPr>
      <w:rPr>
        <w:rFonts w:hint="default" w:cs="Times New Roman"/>
      </w:rPr>
    </w:lvl>
  </w:abstractNum>
  <w:num w:numId="1">
    <w:abstractNumId w:val="27980880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8D1D60"/>
    <w:rsid w:val="040A2C50"/>
    <w:rsid w:val="06FC0A7D"/>
    <w:rsid w:val="0D6E42F3"/>
    <w:rsid w:val="150D4099"/>
    <w:rsid w:val="17E51FF1"/>
    <w:rsid w:val="1DB83A1E"/>
    <w:rsid w:val="1E9C21DD"/>
    <w:rsid w:val="20196340"/>
    <w:rsid w:val="22F028ED"/>
    <w:rsid w:val="273B4FF4"/>
    <w:rsid w:val="29DD525B"/>
    <w:rsid w:val="2C6B37A9"/>
    <w:rsid w:val="2D7D3527"/>
    <w:rsid w:val="34D32B0A"/>
    <w:rsid w:val="3E282FF1"/>
    <w:rsid w:val="448853BD"/>
    <w:rsid w:val="56CC129F"/>
    <w:rsid w:val="5F8D1D60"/>
    <w:rsid w:val="610118CA"/>
    <w:rsid w:val="630B65F3"/>
    <w:rsid w:val="63745573"/>
    <w:rsid w:val="66996E60"/>
    <w:rsid w:val="6E530446"/>
    <w:rsid w:val="730A388F"/>
    <w:rsid w:val="77C46FF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Normal Indent"/>
    <w:basedOn w:val="1"/>
    <w:qFormat/>
    <w:uiPriority w:val="0"/>
    <w:pPr>
      <w:ind w:firstLine="200" w:firstLineChars="200"/>
    </w:pPr>
  </w:style>
  <w:style w:type="paragraph" w:styleId="3">
    <w:name w:val="Body Text"/>
    <w:basedOn w:val="1"/>
    <w:qFormat/>
    <w:uiPriority w:val="1"/>
    <w:rPr>
      <w:rFonts w:ascii="宋体" w:hAnsi="宋体" w:eastAsia="宋体" w:cs="宋体"/>
      <w:sz w:val="31"/>
      <w:szCs w:val="31"/>
      <w:lang w:val="zh-CN" w:eastAsia="zh-CN" w:bidi="zh-CN"/>
    </w:rPr>
  </w:style>
  <w:style w:type="paragraph" w:styleId="4">
    <w:name w:val="header"/>
    <w:basedOn w:val="1"/>
    <w:qFormat/>
    <w:uiPriority w:val="0"/>
    <w:pPr>
      <w:pBdr>
        <w:bottom w:val="single" w:color="auto" w:sz="6" w:space="1"/>
      </w:pBdr>
      <w:tabs>
        <w:tab w:val="center" w:pos="4153"/>
        <w:tab w:val="right" w:pos="8306"/>
      </w:tabs>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8">
    <w:name w:val="Table Paragraph"/>
    <w:basedOn w:val="1"/>
    <w:qFormat/>
    <w:uiPriority w:val="1"/>
    <w:rPr>
      <w:rFonts w:ascii="宋体" w:hAnsi="宋体" w:eastAsia="宋体" w:cs="宋体"/>
      <w:lang w:val="zh-CN" w:eastAsia="zh-CN" w:bidi="zh-CN"/>
    </w:rPr>
  </w:style>
  <w:style w:type="table" w:customStyle="1" w:styleId="9">
    <w:name w:val="Table Normal"/>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2022-04-12T07:29:00Z</dcterms:created>
  <dc:creator>在海边等你的我</dc:creator>
  <cp:lastModifiedBy>Administrator</cp:lastModifiedBy>
  <cp:lastPrinted>2022-04-12T07:40:00Z</cp:lastPrinted>
  <dcterms:modified xsi:type="dcterms:W3CDTF">2022-04-14T11:02:09Z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8CCB3480982C435998CDE98E75F73271</vt:lpwstr>
  </property>
</Properties>
</file>