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0" w:firstLineChars="0"/>
        <w:jc w:val="left"/>
        <w:textAlignment w:val="auto"/>
        <w:outlineLvl w:val="9"/>
        <w:rPr>
          <w:rFonts w:hint="eastAsia" w:eastAsia="黑体"/>
          <w:sz w:val="32"/>
        </w:rPr>
      </w:pP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0" w:firstLineChars="0"/>
        <w:jc w:val="left"/>
        <w:textAlignment w:val="auto"/>
        <w:outlineLvl w:val="9"/>
        <w:rPr>
          <w:rFonts w:hint="eastAsia" w:eastAsia="黑体"/>
          <w:sz w:val="32"/>
        </w:rPr>
      </w:pPr>
    </w:p>
    <w:p>
      <w:pPr>
        <w:pStyle w:val="4"/>
        <w:keepNext w:val="0"/>
        <w:keepLines w:val="0"/>
        <w:pageBreakBefore w:val="0"/>
        <w:widowControl w:val="0"/>
        <w:kinsoku/>
        <w:wordWrap/>
        <w:overflowPunct/>
        <w:topLinePunct w:val="0"/>
        <w:autoSpaceDE/>
        <w:autoSpaceDN/>
        <w:bidi w:val="0"/>
        <w:adjustRightInd/>
        <w:snapToGrid/>
        <w:spacing w:line="560" w:lineRule="exact"/>
        <w:ind w:right="0" w:rightChars="0"/>
        <w:textAlignment w:val="auto"/>
        <w:outlineLvl w:val="9"/>
        <w:rPr>
          <w:rFonts w:hint="eastAsia"/>
        </w:rPr>
      </w:pPr>
      <w:r>
        <w:rPr>
          <w:rFonts w:hint="eastAsia"/>
        </w:rPr>
        <w:t>隆阳区人民政府关于印发隆阳区公益性公墓（骨灰堂）建设管理办法的通知</w:t>
      </w:r>
    </w:p>
    <w:p>
      <w:pPr>
        <w:pStyle w:val="4"/>
        <w:keepNext w:val="0"/>
        <w:keepLines w:val="0"/>
        <w:pageBreakBefore w:val="0"/>
        <w:widowControl w:val="0"/>
        <w:kinsoku/>
        <w:wordWrap/>
        <w:overflowPunct/>
        <w:topLinePunct w:val="0"/>
        <w:autoSpaceDE/>
        <w:autoSpaceDN/>
        <w:bidi w:val="0"/>
        <w:adjustRightInd/>
        <w:snapToGrid/>
        <w:spacing w:line="560" w:lineRule="exact"/>
        <w:ind w:right="0" w:rightChars="0"/>
        <w:textAlignment w:val="auto"/>
        <w:outlineLvl w:val="9"/>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隆政规〔2023〕3号</w:t>
      </w:r>
    </w:p>
    <w:p>
      <w:pPr>
        <w:pStyle w:val="4"/>
        <w:keepNext w:val="0"/>
        <w:keepLines w:val="0"/>
        <w:pageBreakBefore w:val="0"/>
        <w:widowControl w:val="0"/>
        <w:kinsoku/>
        <w:wordWrap/>
        <w:overflowPunct/>
        <w:topLinePunct w:val="0"/>
        <w:autoSpaceDE/>
        <w:autoSpaceDN/>
        <w:bidi w:val="0"/>
        <w:adjustRightInd/>
        <w:snapToGrid/>
        <w:spacing w:line="560" w:lineRule="exact"/>
        <w:ind w:right="0" w:rightChars="0"/>
        <w:textAlignment w:val="auto"/>
        <w:outlineLvl w:val="9"/>
        <w:rPr>
          <w:rFonts w:hint="eastAsia" w:ascii="楷体_GB2312" w:hAnsi="楷体_GB2312" w:eastAsia="楷体_GB2312" w:cs="楷体_GB2312"/>
          <w:i w:val="0"/>
          <w:color w:val="000000"/>
          <w:kern w:val="0"/>
          <w:sz w:val="32"/>
          <w:szCs w:val="32"/>
          <w:u w:val="none"/>
          <w:lang w:val="en-US" w:eastAsia="zh-CN" w:bidi="ar"/>
        </w:rPr>
      </w:pPr>
    </w:p>
    <w:p>
      <w:pPr>
        <w:keepNext w:val="0"/>
        <w:keepLines w:val="0"/>
        <w:widowControl/>
        <w:suppressLineNumbers w:val="0"/>
        <w:spacing w:before="0" w:beforeAutospacing="0" w:after="0" w:afterAutospacing="0" w:line="570" w:lineRule="atLeast"/>
        <w:ind w:left="0" w:right="0" w:firstLine="0"/>
        <w:jc w:val="both"/>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各乡镇人民政府（街道</w:t>
      </w:r>
      <w:bookmarkStart w:id="0" w:name="_GoBack"/>
      <w:bookmarkEnd w:id="0"/>
      <w:r>
        <w:rPr>
          <w:rFonts w:hint="eastAsia" w:ascii="仿宋_GB2312" w:hAnsi="仿宋_GB2312" w:eastAsia="仿宋_GB2312" w:cs="仿宋_GB2312"/>
          <w:i w:val="0"/>
          <w:iCs w:val="0"/>
          <w:caps w:val="0"/>
          <w:color w:val="000000"/>
          <w:spacing w:val="0"/>
          <w:kern w:val="0"/>
          <w:sz w:val="32"/>
          <w:szCs w:val="32"/>
          <w:lang w:val="en-US" w:eastAsia="zh-CN" w:bidi="ar"/>
        </w:rPr>
        <w:t>办事处），区直各委、办、局：</w:t>
      </w:r>
    </w:p>
    <w:p>
      <w:pPr>
        <w:keepNext w:val="0"/>
        <w:keepLines w:val="0"/>
        <w:widowControl/>
        <w:suppressLineNumbers w:val="0"/>
        <w:spacing w:before="0" w:beforeAutospacing="0" w:after="0" w:afterAutospacing="0" w:line="570" w:lineRule="atLeast"/>
        <w:ind w:left="0" w:right="0" w:firstLine="640"/>
        <w:jc w:val="both"/>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现将《</w:t>
      </w:r>
      <w:r>
        <w:rPr>
          <w:rFonts w:hint="eastAsia" w:ascii="仿宋_GB2312" w:hAnsi="仿宋_GB2312" w:eastAsia="仿宋_GB2312" w:cs="仿宋_GB2312"/>
          <w:b w:val="0"/>
          <w:bCs w:val="0"/>
          <w:i w:val="0"/>
          <w:iCs w:val="0"/>
          <w:caps w:val="0"/>
          <w:color w:val="000000"/>
          <w:spacing w:val="0"/>
          <w:kern w:val="0"/>
          <w:sz w:val="32"/>
          <w:szCs w:val="32"/>
          <w:lang w:val="en-US" w:eastAsia="zh-CN" w:bidi="ar"/>
        </w:rPr>
        <w:t>隆阳区公益性公墓（骨灰堂）建设管理办法</w:t>
      </w:r>
      <w:r>
        <w:rPr>
          <w:rFonts w:hint="eastAsia" w:ascii="仿宋_GB2312" w:hAnsi="仿宋_GB2312" w:eastAsia="仿宋_GB2312" w:cs="仿宋_GB2312"/>
          <w:i w:val="0"/>
          <w:iCs w:val="0"/>
          <w:caps w:val="0"/>
          <w:color w:val="000000"/>
          <w:spacing w:val="0"/>
          <w:kern w:val="0"/>
          <w:sz w:val="32"/>
          <w:szCs w:val="32"/>
          <w:lang w:val="en-US" w:eastAsia="zh-CN" w:bidi="ar"/>
        </w:rPr>
        <w:t>》印发给你们，请认真遵照执行。</w:t>
      </w:r>
    </w:p>
    <w:p>
      <w:pPr>
        <w:keepNext w:val="0"/>
        <w:keepLines w:val="0"/>
        <w:widowControl/>
        <w:suppressLineNumbers w:val="0"/>
        <w:spacing w:before="0" w:beforeAutospacing="0" w:after="0" w:afterAutospacing="0" w:line="570" w:lineRule="atLeast"/>
        <w:ind w:left="0" w:right="0" w:firstLine="640"/>
        <w:jc w:val="both"/>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  </w:t>
      </w:r>
    </w:p>
    <w:p>
      <w:pPr>
        <w:pStyle w:val="9"/>
        <w:keepNext w:val="0"/>
        <w:keepLines w:val="0"/>
        <w:widowControl/>
        <w:suppressLineNumbers w:val="0"/>
        <w:spacing w:before="0" w:beforeAutospacing="0" w:after="0" w:afterAutospacing="0" w:line="570" w:lineRule="atLeast"/>
        <w:ind w:left="0" w:right="0" w:firstLine="0"/>
        <w:jc w:val="both"/>
        <w:rPr>
          <w:rFonts w:hint="eastAsia" w:ascii="仿宋_GB2312" w:hAnsi="仿宋_GB2312" w:eastAsia="仿宋_GB2312" w:cs="仿宋_GB2312"/>
          <w:i w:val="0"/>
          <w:iCs w:val="0"/>
          <w:caps w:val="0"/>
          <w:color w:val="000000"/>
          <w:spacing w:val="0"/>
          <w:sz w:val="21"/>
          <w:szCs w:val="21"/>
        </w:rPr>
      </w:pPr>
      <w:r>
        <w:rPr>
          <w:rFonts w:hint="eastAsia" w:ascii="仿宋_GB2312" w:hAnsi="仿宋_GB2312" w:eastAsia="仿宋_GB2312" w:cs="仿宋_GB2312"/>
          <w:i w:val="0"/>
          <w:iCs w:val="0"/>
          <w:caps w:val="0"/>
          <w:color w:val="000000"/>
          <w:spacing w:val="0"/>
          <w:sz w:val="32"/>
          <w:szCs w:val="32"/>
        </w:rPr>
        <w:t> </w:t>
      </w:r>
    </w:p>
    <w:p>
      <w:pPr>
        <w:keepNext w:val="0"/>
        <w:keepLines w:val="0"/>
        <w:widowControl/>
        <w:suppressLineNumbers w:val="0"/>
        <w:wordWrap w:val="0"/>
        <w:spacing w:before="0" w:beforeAutospacing="0" w:after="0" w:afterAutospacing="0" w:line="570" w:lineRule="atLeast"/>
        <w:ind w:left="0" w:right="0" w:firstLine="5120"/>
        <w:jc w:val="righ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隆阳区人民政府</w:t>
      </w:r>
    </w:p>
    <w:p>
      <w:pPr>
        <w:keepNext w:val="0"/>
        <w:keepLines w:val="0"/>
        <w:widowControl/>
        <w:suppressLineNumbers w:val="0"/>
        <w:wordWrap w:val="0"/>
        <w:spacing w:before="0" w:beforeAutospacing="0" w:after="0" w:afterAutospacing="0" w:line="570" w:lineRule="atLeast"/>
        <w:ind w:left="0" w:right="0" w:firstLine="0"/>
        <w:jc w:val="righ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2023年6月27日</w:t>
      </w:r>
    </w:p>
    <w:p>
      <w:pPr>
        <w:keepNext w:val="0"/>
        <w:keepLines w:val="0"/>
        <w:widowControl/>
        <w:suppressLineNumbers w:val="0"/>
        <w:spacing w:before="0" w:beforeAutospacing="0" w:after="0" w:afterAutospacing="0" w:line="570" w:lineRule="atLeast"/>
        <w:ind w:left="0" w:right="0" w:firstLine="640"/>
        <w:jc w:val="both"/>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（此件公开发布）</w:t>
      </w:r>
    </w:p>
    <w:p>
      <w:pPr>
        <w:pStyle w:val="9"/>
        <w:keepNext w:val="0"/>
        <w:keepLines w:val="0"/>
        <w:widowControl/>
        <w:suppressLineNumbers w:val="0"/>
        <w:spacing w:before="0" w:beforeAutospacing="0" w:after="0" w:afterAutospacing="0" w:line="570" w:lineRule="atLeast"/>
        <w:ind w:left="0" w:right="0" w:firstLine="0"/>
        <w:jc w:val="both"/>
        <w:rPr>
          <w:rFonts w:hint="eastAsia" w:ascii="仿宋_GB2312" w:hAnsi="仿宋_GB2312" w:eastAsia="仿宋_GB2312" w:cs="仿宋_GB2312"/>
          <w:i w:val="0"/>
          <w:iCs w:val="0"/>
          <w:caps w:val="0"/>
          <w:color w:val="000000"/>
          <w:spacing w:val="0"/>
          <w:sz w:val="32"/>
          <w:szCs w:val="32"/>
        </w:rPr>
      </w:pPr>
      <w:r>
        <w:rPr>
          <w:rFonts w:hint="eastAsia" w:ascii="仿宋_GB2312" w:hAnsi="仿宋_GB2312" w:eastAsia="仿宋_GB2312" w:cs="仿宋_GB2312"/>
          <w:i w:val="0"/>
          <w:iCs w:val="0"/>
          <w:caps w:val="0"/>
          <w:color w:val="000000"/>
          <w:spacing w:val="0"/>
          <w:sz w:val="32"/>
          <w:szCs w:val="32"/>
        </w:rPr>
        <w:t> </w:t>
      </w:r>
    </w:p>
    <w:p>
      <w:pPr>
        <w:rPr>
          <w:rFonts w:hint="eastAsia" w:ascii="仿宋_GB2312" w:hAnsi="仿宋_GB2312" w:eastAsia="仿宋_GB2312" w:cs="仿宋_GB2312"/>
          <w:i w:val="0"/>
          <w:iCs w:val="0"/>
          <w:caps w:val="0"/>
          <w:color w:val="000000"/>
          <w:spacing w:val="0"/>
          <w:sz w:val="32"/>
          <w:szCs w:val="32"/>
        </w:rPr>
      </w:pPr>
      <w:r>
        <w:rPr>
          <w:rFonts w:hint="eastAsia" w:ascii="仿宋_GB2312" w:hAnsi="仿宋_GB2312" w:eastAsia="仿宋_GB2312" w:cs="仿宋_GB2312"/>
          <w:i w:val="0"/>
          <w:iCs w:val="0"/>
          <w:caps w:val="0"/>
          <w:color w:val="000000"/>
          <w:spacing w:val="0"/>
          <w:sz w:val="32"/>
          <w:szCs w:val="32"/>
        </w:rPr>
        <w:br w:type="page"/>
      </w:r>
    </w:p>
    <w:p>
      <w:pPr>
        <w:pStyle w:val="9"/>
        <w:keepNext w:val="0"/>
        <w:keepLines w:val="0"/>
        <w:widowControl/>
        <w:suppressLineNumbers w:val="0"/>
        <w:spacing w:before="0" w:beforeAutospacing="0" w:after="0" w:afterAutospacing="0" w:line="570" w:lineRule="atLeast"/>
        <w:ind w:left="0" w:right="0" w:firstLine="0"/>
        <w:jc w:val="both"/>
        <w:rPr>
          <w:rFonts w:hint="eastAsia" w:ascii="仿宋_GB2312" w:hAnsi="仿宋_GB2312" w:eastAsia="仿宋_GB2312" w:cs="仿宋_GB2312"/>
          <w:i w:val="0"/>
          <w:iCs w:val="0"/>
          <w:caps w:val="0"/>
          <w:color w:val="000000"/>
          <w:spacing w:val="0"/>
          <w:sz w:val="32"/>
          <w:szCs w:val="32"/>
        </w:rPr>
      </w:pPr>
    </w:p>
    <w:p>
      <w:pPr>
        <w:keepNext w:val="0"/>
        <w:keepLines w:val="0"/>
        <w:widowControl/>
        <w:suppressLineNumbers w:val="0"/>
        <w:spacing w:before="0" w:beforeAutospacing="0" w:after="0" w:afterAutospacing="0" w:line="570" w:lineRule="atLeast"/>
        <w:ind w:left="0" w:right="0" w:firstLine="0"/>
        <w:jc w:val="center"/>
        <w:rPr>
          <w:rFonts w:hint="eastAsia" w:ascii="仿宋_GB2312" w:hAnsi="仿宋_GB2312" w:eastAsia="仿宋_GB2312" w:cs="仿宋_GB2312"/>
          <w:i w:val="0"/>
          <w:iCs w:val="0"/>
          <w:caps w:val="0"/>
          <w:color w:val="000000"/>
          <w:spacing w:val="0"/>
          <w:sz w:val="32"/>
          <w:szCs w:val="32"/>
        </w:rPr>
      </w:pPr>
      <w:r>
        <w:rPr>
          <w:rFonts w:hint="eastAsia" w:ascii="宋体" w:hAnsi="宋体" w:eastAsia="宋体" w:cs="宋体"/>
          <w:b w:val="0"/>
          <w:bCs w:val="0"/>
          <w:i w:val="0"/>
          <w:iCs w:val="0"/>
          <w:caps w:val="0"/>
          <w:color w:val="000000"/>
          <w:spacing w:val="0"/>
          <w:kern w:val="0"/>
          <w:sz w:val="44"/>
          <w:szCs w:val="44"/>
          <w:lang w:val="en-US" w:eastAsia="zh-CN" w:bidi="ar"/>
        </w:rPr>
        <w:t>隆阳区公益性公墓（骨灰堂）建设管理办法</w:t>
      </w:r>
    </w:p>
    <w:p>
      <w:pPr>
        <w:pStyle w:val="9"/>
        <w:keepNext w:val="0"/>
        <w:keepLines w:val="0"/>
        <w:widowControl/>
        <w:suppressLineNumbers w:val="0"/>
        <w:spacing w:before="0" w:beforeAutospacing="0" w:after="0" w:afterAutospacing="0" w:line="570" w:lineRule="atLeast"/>
        <w:ind w:left="0" w:right="0" w:firstLine="0"/>
        <w:jc w:val="both"/>
        <w:rPr>
          <w:rFonts w:hint="eastAsia" w:ascii="仿宋_GB2312" w:hAnsi="仿宋_GB2312" w:eastAsia="仿宋_GB2312" w:cs="仿宋_GB2312"/>
          <w:i w:val="0"/>
          <w:iCs w:val="0"/>
          <w:caps w:val="0"/>
          <w:color w:val="000000"/>
          <w:spacing w:val="0"/>
          <w:sz w:val="21"/>
          <w:szCs w:val="21"/>
        </w:rPr>
      </w:pPr>
      <w:r>
        <w:rPr>
          <w:rFonts w:hint="eastAsia" w:ascii="仿宋_GB2312" w:hAnsi="仿宋_GB2312" w:eastAsia="仿宋_GB2312" w:cs="仿宋_GB2312"/>
          <w:i w:val="0"/>
          <w:iCs w:val="0"/>
          <w:caps w:val="0"/>
          <w:color w:val="000000"/>
          <w:spacing w:val="0"/>
          <w:sz w:val="32"/>
          <w:szCs w:val="32"/>
        </w:rPr>
        <w:t> </w:t>
      </w:r>
    </w:p>
    <w:p>
      <w:pPr>
        <w:keepNext w:val="0"/>
        <w:keepLines w:val="0"/>
        <w:widowControl/>
        <w:suppressLineNumbers w:val="0"/>
        <w:spacing w:before="0" w:beforeAutospacing="0" w:after="0" w:afterAutospacing="0" w:line="570" w:lineRule="atLeast"/>
        <w:ind w:left="0" w:right="0" w:firstLine="0"/>
        <w:jc w:val="center"/>
        <w:rPr>
          <w:rFonts w:hint="eastAsia" w:ascii="仿宋_GB2312" w:hAnsi="仿宋_GB2312" w:eastAsia="仿宋_GB2312" w:cs="仿宋_GB2312"/>
          <w:i w:val="0"/>
          <w:iCs w:val="0"/>
          <w:caps w:val="0"/>
          <w:color w:val="000000"/>
          <w:spacing w:val="0"/>
          <w:sz w:val="22"/>
          <w:szCs w:val="22"/>
        </w:rPr>
      </w:pPr>
      <w:r>
        <w:rPr>
          <w:rFonts w:hint="eastAsia" w:ascii="黑体" w:hAnsi="黑体" w:eastAsia="黑体" w:cs="黑体"/>
          <w:i w:val="0"/>
          <w:iCs w:val="0"/>
          <w:caps w:val="0"/>
          <w:color w:val="000000"/>
          <w:spacing w:val="0"/>
          <w:kern w:val="0"/>
          <w:sz w:val="32"/>
          <w:szCs w:val="32"/>
          <w:lang w:val="en-US" w:eastAsia="zh-CN" w:bidi="ar"/>
        </w:rPr>
        <w:t>第一章  总则</w:t>
      </w:r>
    </w:p>
    <w:p>
      <w:pPr>
        <w:pStyle w:val="9"/>
        <w:keepNext w:val="0"/>
        <w:keepLines w:val="0"/>
        <w:widowControl/>
        <w:suppressLineNumbers w:val="0"/>
        <w:spacing w:before="0" w:beforeAutospacing="0" w:after="0" w:afterAutospacing="0" w:line="570" w:lineRule="atLeast"/>
        <w:ind w:left="0" w:right="0" w:firstLine="0"/>
        <w:jc w:val="both"/>
        <w:rPr>
          <w:rFonts w:hint="eastAsia" w:ascii="仿宋_GB2312" w:hAnsi="仿宋_GB2312" w:eastAsia="仿宋_GB2312" w:cs="仿宋_GB2312"/>
          <w:i w:val="0"/>
          <w:iCs w:val="0"/>
          <w:caps w:val="0"/>
          <w:color w:val="000000"/>
          <w:spacing w:val="0"/>
          <w:sz w:val="21"/>
          <w:szCs w:val="21"/>
        </w:rPr>
      </w:pPr>
      <w:r>
        <w:rPr>
          <w:rFonts w:hint="eastAsia" w:ascii="仿宋_GB2312" w:hAnsi="仿宋_GB2312" w:eastAsia="仿宋_GB2312" w:cs="仿宋_GB2312"/>
          <w:i w:val="0"/>
          <w:iCs w:val="0"/>
          <w:caps w:val="0"/>
          <w:color w:val="000000"/>
          <w:spacing w:val="0"/>
          <w:sz w:val="32"/>
          <w:szCs w:val="32"/>
        </w:rPr>
        <w:t> </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黑体" w:hAnsi="黑体" w:eastAsia="黑体" w:cs="黑体"/>
          <w:i w:val="0"/>
          <w:iCs w:val="0"/>
          <w:caps w:val="0"/>
          <w:color w:val="000000"/>
          <w:spacing w:val="0"/>
          <w:kern w:val="0"/>
          <w:sz w:val="32"/>
          <w:szCs w:val="32"/>
          <w:lang w:val="en-US" w:eastAsia="zh-CN" w:bidi="ar"/>
        </w:rPr>
        <w:t>第一条</w:t>
      </w:r>
      <w:r>
        <w:rPr>
          <w:rFonts w:hint="eastAsia" w:ascii="仿宋_GB2312" w:hAnsi="仿宋_GB2312" w:eastAsia="仿宋_GB2312" w:cs="仿宋_GB2312"/>
          <w:i w:val="0"/>
          <w:iCs w:val="0"/>
          <w:caps w:val="0"/>
          <w:color w:val="000000"/>
          <w:spacing w:val="0"/>
          <w:kern w:val="0"/>
          <w:sz w:val="32"/>
          <w:szCs w:val="32"/>
          <w:lang w:val="en-US" w:eastAsia="zh-CN" w:bidi="ar"/>
        </w:rPr>
        <w:t>  为规范全区公益性公墓（骨灰堂）的建设和管理，节约土地资源，保护生态环境，根据国务院《殡葬管理条例》、民政部《公墓管理暂行办法》和《云南省殡葬管理条例》《云南省公墓管理规定》等有关规定，结合隆阳实际，制定本办法。</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黑体" w:hAnsi="黑体" w:eastAsia="黑体" w:cs="黑体"/>
          <w:i w:val="0"/>
          <w:iCs w:val="0"/>
          <w:caps w:val="0"/>
          <w:color w:val="000000"/>
          <w:spacing w:val="0"/>
          <w:kern w:val="0"/>
          <w:sz w:val="32"/>
          <w:szCs w:val="32"/>
          <w:lang w:val="en-US" w:eastAsia="zh-CN" w:bidi="ar"/>
        </w:rPr>
        <w:t>第二条</w:t>
      </w:r>
      <w:r>
        <w:rPr>
          <w:rFonts w:hint="eastAsia" w:ascii="仿宋_GB2312" w:hAnsi="仿宋_GB2312" w:eastAsia="仿宋_GB2312" w:cs="仿宋_GB2312"/>
          <w:i w:val="0"/>
          <w:iCs w:val="0"/>
          <w:caps w:val="0"/>
          <w:color w:val="000000"/>
          <w:spacing w:val="0"/>
          <w:kern w:val="0"/>
          <w:sz w:val="32"/>
          <w:szCs w:val="32"/>
          <w:lang w:val="en-US" w:eastAsia="zh-CN" w:bidi="ar"/>
        </w:rPr>
        <w:t>  本办法适用于隆阳区行政区域内公益性公墓（骨灰堂）的建设和管理工作。</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黑体" w:hAnsi="黑体" w:eastAsia="黑体" w:cs="黑体"/>
          <w:i w:val="0"/>
          <w:iCs w:val="0"/>
          <w:caps w:val="0"/>
          <w:color w:val="000000"/>
          <w:spacing w:val="0"/>
          <w:kern w:val="0"/>
          <w:sz w:val="32"/>
          <w:szCs w:val="32"/>
          <w:lang w:val="en-US" w:eastAsia="zh-CN" w:bidi="ar"/>
        </w:rPr>
        <w:t>第</w:t>
      </w:r>
      <w:r>
        <w:rPr>
          <w:rFonts w:hint="eastAsia" w:ascii="黑体" w:hAnsi="黑体" w:eastAsia="黑体" w:cs="黑体"/>
          <w:i w:val="0"/>
          <w:iCs w:val="0"/>
          <w:caps w:val="0"/>
          <w:color w:val="000000"/>
          <w:spacing w:val="0"/>
          <w:kern w:val="0"/>
          <w:sz w:val="32"/>
          <w:szCs w:val="32"/>
          <w:lang w:val="en-US" w:eastAsia="zh-CN" w:bidi="ar"/>
        </w:rPr>
        <w:t>三条</w:t>
      </w:r>
      <w:r>
        <w:rPr>
          <w:rFonts w:hint="eastAsia" w:ascii="仿宋_GB2312" w:hAnsi="仿宋_GB2312" w:eastAsia="仿宋_GB2312" w:cs="仿宋_GB2312"/>
          <w:i w:val="0"/>
          <w:iCs w:val="0"/>
          <w:caps w:val="0"/>
          <w:color w:val="000000"/>
          <w:spacing w:val="0"/>
          <w:kern w:val="0"/>
          <w:sz w:val="32"/>
          <w:szCs w:val="32"/>
          <w:lang w:val="en-US" w:eastAsia="zh-CN" w:bidi="ar"/>
        </w:rPr>
        <w:t>  本办法所指的公益性公墓（骨灰堂），是指不以营利为目的，为农村村民提供骨灰安葬服务的公共墓地及其设施。</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黑体" w:hAnsi="黑体" w:eastAsia="黑体" w:cs="黑体"/>
          <w:i w:val="0"/>
          <w:iCs w:val="0"/>
          <w:caps w:val="0"/>
          <w:color w:val="000000"/>
          <w:spacing w:val="0"/>
          <w:kern w:val="0"/>
          <w:sz w:val="32"/>
          <w:szCs w:val="32"/>
          <w:lang w:val="en-US" w:eastAsia="zh-CN" w:bidi="ar"/>
        </w:rPr>
        <w:t>第四条</w:t>
      </w:r>
      <w:r>
        <w:rPr>
          <w:rFonts w:hint="eastAsia" w:ascii="仿宋_GB2312" w:hAnsi="仿宋_GB2312" w:eastAsia="仿宋_GB2312" w:cs="仿宋_GB2312"/>
          <w:i w:val="0"/>
          <w:iCs w:val="0"/>
          <w:caps w:val="0"/>
          <w:color w:val="000000"/>
          <w:spacing w:val="0"/>
          <w:kern w:val="0"/>
          <w:sz w:val="32"/>
          <w:szCs w:val="32"/>
          <w:lang w:val="en-US" w:eastAsia="zh-CN" w:bidi="ar"/>
        </w:rPr>
        <w:t>  区民政部门负责全区公益性公墓（骨灰堂）建设与管理的规划、审批、指导和监督工作。</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乡镇人民政府（街道办事处）、村（居）民委员会负责行政区域内公益性公墓（骨灰堂）的建设、管理和服务等工作。</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自然资源、发改、住建、水务、林草、财政、生态环境、市场监管、民族宗教等有关部门应当按照各自职责，共同做好公益性公墓（骨灰堂）的监督管理工作。</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黑体" w:hAnsi="黑体" w:eastAsia="黑体" w:cs="黑体"/>
          <w:i w:val="0"/>
          <w:iCs w:val="0"/>
          <w:caps w:val="0"/>
          <w:color w:val="000000"/>
          <w:spacing w:val="0"/>
          <w:kern w:val="0"/>
          <w:sz w:val="32"/>
          <w:szCs w:val="32"/>
          <w:lang w:val="en-US" w:eastAsia="zh-CN" w:bidi="ar"/>
        </w:rPr>
        <w:t>第五条</w:t>
      </w:r>
      <w:r>
        <w:rPr>
          <w:rFonts w:hint="eastAsia" w:ascii="仿宋_GB2312" w:hAnsi="仿宋_GB2312" w:eastAsia="仿宋_GB2312" w:cs="仿宋_GB2312"/>
          <w:i w:val="0"/>
          <w:iCs w:val="0"/>
          <w:caps w:val="0"/>
          <w:color w:val="000000"/>
          <w:spacing w:val="0"/>
          <w:kern w:val="0"/>
          <w:sz w:val="32"/>
          <w:szCs w:val="32"/>
          <w:lang w:val="en-US" w:eastAsia="zh-CN" w:bidi="ar"/>
        </w:rPr>
        <w:t>  国家政策允许土葬的回、维吾尔、哈萨克、柯尔克孜、乌孜别克、塔吉克、塔塔尔、撒拉、东乡和保安等10个少数民族的墓地建设和管理，依照国家、省、市有关规定执行。</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p>
    <w:p>
      <w:pPr>
        <w:keepNext w:val="0"/>
        <w:keepLines w:val="0"/>
        <w:widowControl/>
        <w:suppressLineNumbers w:val="0"/>
        <w:spacing w:before="0" w:beforeAutospacing="0" w:after="0" w:afterAutospacing="0" w:line="570" w:lineRule="atLeast"/>
        <w:ind w:left="0" w:right="0" w:firstLine="0"/>
        <w:jc w:val="center"/>
        <w:rPr>
          <w:rFonts w:hint="eastAsia" w:ascii="仿宋_GB2312" w:hAnsi="仿宋_GB2312" w:eastAsia="仿宋_GB2312" w:cs="仿宋_GB2312"/>
          <w:i w:val="0"/>
          <w:iCs w:val="0"/>
          <w:caps w:val="0"/>
          <w:color w:val="000000"/>
          <w:spacing w:val="0"/>
          <w:sz w:val="22"/>
          <w:szCs w:val="22"/>
        </w:rPr>
      </w:pPr>
      <w:r>
        <w:rPr>
          <w:rFonts w:hint="eastAsia" w:ascii="黑体" w:hAnsi="黑体" w:eastAsia="黑体" w:cs="黑体"/>
          <w:i w:val="0"/>
          <w:iCs w:val="0"/>
          <w:caps w:val="0"/>
          <w:color w:val="000000"/>
          <w:spacing w:val="0"/>
          <w:kern w:val="0"/>
          <w:sz w:val="32"/>
          <w:szCs w:val="32"/>
          <w:lang w:val="en-US" w:eastAsia="zh-CN" w:bidi="ar"/>
        </w:rPr>
        <w:t>第二章  规划与建设</w:t>
      </w:r>
    </w:p>
    <w:p>
      <w:pPr>
        <w:pStyle w:val="9"/>
        <w:keepNext w:val="0"/>
        <w:keepLines w:val="0"/>
        <w:widowControl/>
        <w:suppressLineNumbers w:val="0"/>
        <w:spacing w:before="0" w:beforeAutospacing="0" w:after="0" w:afterAutospacing="0" w:line="570" w:lineRule="atLeast"/>
        <w:ind w:left="0" w:right="0" w:firstLine="0"/>
        <w:jc w:val="both"/>
        <w:rPr>
          <w:rFonts w:hint="eastAsia" w:ascii="仿宋_GB2312" w:hAnsi="仿宋_GB2312" w:eastAsia="仿宋_GB2312" w:cs="仿宋_GB2312"/>
          <w:i w:val="0"/>
          <w:iCs w:val="0"/>
          <w:caps w:val="0"/>
          <w:color w:val="000000"/>
          <w:spacing w:val="0"/>
          <w:sz w:val="21"/>
          <w:szCs w:val="21"/>
        </w:rPr>
      </w:pPr>
      <w:r>
        <w:rPr>
          <w:rFonts w:hint="eastAsia" w:ascii="仿宋_GB2312" w:hAnsi="仿宋_GB2312" w:eastAsia="仿宋_GB2312" w:cs="仿宋_GB2312"/>
          <w:i w:val="0"/>
          <w:iCs w:val="0"/>
          <w:caps w:val="0"/>
          <w:color w:val="000000"/>
          <w:spacing w:val="0"/>
          <w:sz w:val="32"/>
          <w:szCs w:val="32"/>
        </w:rPr>
        <w:t> </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黑体" w:hAnsi="黑体" w:eastAsia="黑体" w:cs="黑体"/>
          <w:i w:val="0"/>
          <w:iCs w:val="0"/>
          <w:caps w:val="0"/>
          <w:color w:val="000000"/>
          <w:spacing w:val="0"/>
          <w:kern w:val="0"/>
          <w:sz w:val="32"/>
          <w:szCs w:val="32"/>
          <w:lang w:val="en-US" w:eastAsia="zh-CN" w:bidi="ar"/>
        </w:rPr>
        <w:t>第六条</w:t>
      </w:r>
      <w:r>
        <w:rPr>
          <w:rFonts w:hint="eastAsia" w:ascii="仿宋_GB2312" w:hAnsi="仿宋_GB2312" w:eastAsia="仿宋_GB2312" w:cs="仿宋_GB2312"/>
          <w:i w:val="0"/>
          <w:iCs w:val="0"/>
          <w:caps w:val="0"/>
          <w:color w:val="000000"/>
          <w:spacing w:val="0"/>
          <w:kern w:val="0"/>
          <w:sz w:val="32"/>
          <w:szCs w:val="32"/>
          <w:lang w:val="en-US" w:eastAsia="zh-CN" w:bidi="ar"/>
        </w:rPr>
        <w:t>  公益性公墓（骨灰堂）专项规划，由区民政局会同自然资源、发改、住建、水务、林草、生态环境等部门，按照城乡规划、土地利用总体规划、林地保护利用规划、本行政区域殡葬改革发展规划等要求编制，报区人民政府批准后执行。</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黑体" w:hAnsi="黑体" w:eastAsia="黑体" w:cs="黑体"/>
          <w:i w:val="0"/>
          <w:iCs w:val="0"/>
          <w:caps w:val="0"/>
          <w:color w:val="000000"/>
          <w:spacing w:val="0"/>
          <w:kern w:val="0"/>
          <w:sz w:val="32"/>
          <w:szCs w:val="32"/>
          <w:lang w:val="en-US" w:eastAsia="zh-CN" w:bidi="ar"/>
        </w:rPr>
        <w:t>第七条</w:t>
      </w:r>
      <w:r>
        <w:rPr>
          <w:rFonts w:hint="eastAsia" w:ascii="仿宋_GB2312" w:hAnsi="仿宋_GB2312" w:eastAsia="仿宋_GB2312" w:cs="仿宋_GB2312"/>
          <w:i w:val="0"/>
          <w:iCs w:val="0"/>
          <w:caps w:val="0"/>
          <w:color w:val="000000"/>
          <w:spacing w:val="0"/>
          <w:kern w:val="0"/>
          <w:sz w:val="32"/>
          <w:szCs w:val="32"/>
          <w:lang w:val="en-US" w:eastAsia="zh-CN" w:bidi="ar"/>
        </w:rPr>
        <w:t>  公益性公墓（骨灰堂）建设应当坚持节约殡葬用地、保护生态环境、方便群众的原则，其建设规模根据行政区域人口数量6‰的年死亡率确定。</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提倡和鼓励树葬、花坛葬、草坪葬、壁葬、塔葬和骨灰集中存放等生态节约土地的方式安葬。</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黑体" w:hAnsi="黑体" w:eastAsia="黑体" w:cs="黑体"/>
          <w:i w:val="0"/>
          <w:iCs w:val="0"/>
          <w:caps w:val="0"/>
          <w:color w:val="000000"/>
          <w:spacing w:val="0"/>
          <w:kern w:val="0"/>
          <w:sz w:val="32"/>
          <w:szCs w:val="32"/>
          <w:lang w:val="en-US" w:eastAsia="zh-CN" w:bidi="ar"/>
        </w:rPr>
        <w:t>第八条</w:t>
      </w:r>
      <w:r>
        <w:rPr>
          <w:rFonts w:hint="eastAsia" w:ascii="仿宋_GB2312" w:hAnsi="仿宋_GB2312" w:eastAsia="仿宋_GB2312" w:cs="仿宋_GB2312"/>
          <w:i w:val="0"/>
          <w:iCs w:val="0"/>
          <w:caps w:val="0"/>
          <w:color w:val="000000"/>
          <w:spacing w:val="0"/>
          <w:kern w:val="0"/>
          <w:sz w:val="32"/>
          <w:szCs w:val="32"/>
          <w:lang w:val="en-US" w:eastAsia="zh-CN" w:bidi="ar"/>
        </w:rPr>
        <w:t>  公益性公墓选址要与自然环境相协调，不得破坏当地的生态环境，要尽可能地选择在荒山和不宜耕种的贫瘠地上规划建设。</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禁止在下列区域建公益性公墓：</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（一）基本农田、林业法律法规禁止使用的林地；</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二）城市（乡镇）规划控制区、水源保护区、水库管理范围和水库涵养林区域，湖泊、河流、水库径流区、水库水渠、引水渠堤坝200米内、自然保护区、风景名胜区、生态敏感区、Ι级保护林地、文物保护区、森林公园、湿地公园；</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（三）保山中心城市面山和乡镇集镇面山；</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（四）铁路和国道、省道及其他干线公路两侧规划控制区；</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（五）生态红线保护范围内、国有林范围内；</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（六）法律法规禁止的其他区域。</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黑体" w:hAnsi="黑体" w:eastAsia="黑体" w:cs="黑体"/>
          <w:i w:val="0"/>
          <w:iCs w:val="0"/>
          <w:caps w:val="0"/>
          <w:color w:val="000000"/>
          <w:spacing w:val="0"/>
          <w:kern w:val="0"/>
          <w:sz w:val="32"/>
          <w:szCs w:val="32"/>
          <w:lang w:val="en-US" w:eastAsia="zh-CN" w:bidi="ar"/>
        </w:rPr>
        <w:t>第九条</w:t>
      </w:r>
      <w:r>
        <w:rPr>
          <w:rFonts w:hint="eastAsia" w:ascii="仿宋_GB2312" w:hAnsi="仿宋_GB2312" w:eastAsia="仿宋_GB2312" w:cs="仿宋_GB2312"/>
          <w:i w:val="0"/>
          <w:iCs w:val="0"/>
          <w:caps w:val="0"/>
          <w:color w:val="000000"/>
          <w:spacing w:val="0"/>
          <w:kern w:val="0"/>
          <w:sz w:val="32"/>
          <w:szCs w:val="32"/>
          <w:lang w:val="en-US" w:eastAsia="zh-CN" w:bidi="ar"/>
        </w:rPr>
        <w:t>  经批准实施的公益性公墓（骨灰堂）主要是服务于城乡居民的社会公益性设施，由乡镇人民政府（街道办事处）负责项目申报和组织建设。</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（一）项目法人。依法选定的建设单位或乡镇人民政府（街道办事处）、村（居）民委员会负责建设和管理。</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二）建设方式。坝区乡镇人民政府（街道办事处）采取由乡镇人民政府（街道办事处）统规统建或相邻的几个村委会共同联建方式建设。山区和热区乡镇的公益性公墓，交通便利和覆盖人口达10000人以上的，选址建设乡镇中心公墓。交通不便，居住分散的村，规划建设乡镇片区公墓或村级公墓，墓穴占地面积严格执行公墓管理规定标准。</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黑体" w:hAnsi="黑体" w:eastAsia="黑体" w:cs="黑体"/>
          <w:i w:val="0"/>
          <w:iCs w:val="0"/>
          <w:caps w:val="0"/>
          <w:color w:val="000000"/>
          <w:spacing w:val="0"/>
          <w:kern w:val="0"/>
          <w:sz w:val="32"/>
          <w:szCs w:val="32"/>
          <w:lang w:val="en-US" w:eastAsia="zh-CN" w:bidi="ar"/>
        </w:rPr>
        <w:t>第十条</w:t>
      </w:r>
      <w:r>
        <w:rPr>
          <w:rFonts w:hint="eastAsia" w:ascii="仿宋_GB2312" w:hAnsi="仿宋_GB2312" w:eastAsia="仿宋_GB2312" w:cs="仿宋_GB2312"/>
          <w:i w:val="0"/>
          <w:iCs w:val="0"/>
          <w:caps w:val="0"/>
          <w:color w:val="000000"/>
          <w:spacing w:val="0"/>
          <w:kern w:val="0"/>
          <w:sz w:val="32"/>
          <w:szCs w:val="32"/>
          <w:lang w:val="en-US" w:eastAsia="zh-CN" w:bidi="ar"/>
        </w:rPr>
        <w:t>  公益性公墓（骨灰堂）用地，可以从村（居）民委员会、村（居）民小组的集体土地中调剂解决，也可以利用原有集体存量用地进行改造建设，并按规定完善相关手续。</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公益性公墓的土地性质和用途不得改变。</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黑体" w:hAnsi="黑体" w:eastAsia="黑体" w:cs="黑体"/>
          <w:i w:val="0"/>
          <w:iCs w:val="0"/>
          <w:caps w:val="0"/>
          <w:color w:val="000000"/>
          <w:spacing w:val="0"/>
          <w:kern w:val="0"/>
          <w:sz w:val="32"/>
          <w:szCs w:val="32"/>
          <w:lang w:val="en-US" w:eastAsia="zh-CN" w:bidi="ar"/>
        </w:rPr>
        <w:t>第十一条</w:t>
      </w:r>
      <w:r>
        <w:rPr>
          <w:rFonts w:hint="eastAsia" w:ascii="仿宋_GB2312" w:hAnsi="仿宋_GB2312" w:eastAsia="仿宋_GB2312" w:cs="仿宋_GB2312"/>
          <w:i w:val="0"/>
          <w:iCs w:val="0"/>
          <w:caps w:val="0"/>
          <w:color w:val="000000"/>
          <w:spacing w:val="0"/>
          <w:kern w:val="0"/>
          <w:sz w:val="32"/>
          <w:szCs w:val="32"/>
          <w:lang w:val="en-US" w:eastAsia="zh-CN" w:bidi="ar"/>
        </w:rPr>
        <w:t>  公益性公墓（骨灰堂）建设，应按《云南省公墓管理规定》相关审核审批程序执行。</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对公益性公墓（骨灰堂）建设项目用地、规划选址等，相关部门应简化审批手续、减免相关费用，为公益性公墓（骨灰堂）建设提供必要条件。</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任何单位和个人未经批准，不得擅自兴建公益性公墓（骨灰堂）。</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黑体" w:hAnsi="黑体" w:eastAsia="黑体" w:cs="黑体"/>
          <w:i w:val="0"/>
          <w:iCs w:val="0"/>
          <w:caps w:val="0"/>
          <w:color w:val="000000"/>
          <w:spacing w:val="0"/>
          <w:kern w:val="0"/>
          <w:sz w:val="32"/>
          <w:szCs w:val="32"/>
          <w:lang w:val="en-US" w:eastAsia="zh-CN" w:bidi="ar"/>
        </w:rPr>
        <w:t>第十二条</w:t>
      </w:r>
      <w:r>
        <w:rPr>
          <w:rFonts w:hint="eastAsia" w:ascii="仿宋_GB2312" w:hAnsi="仿宋_GB2312" w:eastAsia="仿宋_GB2312" w:cs="仿宋_GB2312"/>
          <w:i w:val="0"/>
          <w:iCs w:val="0"/>
          <w:caps w:val="0"/>
          <w:color w:val="000000"/>
          <w:spacing w:val="0"/>
          <w:kern w:val="0"/>
          <w:sz w:val="32"/>
          <w:szCs w:val="32"/>
          <w:lang w:val="en-US" w:eastAsia="zh-CN" w:bidi="ar"/>
        </w:rPr>
        <w:t>  申</w:t>
      </w:r>
      <w:r>
        <w:rPr>
          <w:rFonts w:hint="eastAsia" w:ascii="仿宋_GB2312" w:hAnsi="仿宋_GB2312" w:eastAsia="仿宋_GB2312" w:cs="仿宋_GB2312"/>
          <w:i w:val="0"/>
          <w:iCs w:val="0"/>
          <w:caps w:val="0"/>
          <w:color w:val="000000"/>
          <w:spacing w:val="-11"/>
          <w:kern w:val="0"/>
          <w:sz w:val="32"/>
          <w:szCs w:val="32"/>
          <w:lang w:val="en-US" w:eastAsia="zh-CN" w:bidi="ar"/>
        </w:rPr>
        <w:t>请建设公益性公墓（骨灰堂）应当提交以下材料：</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（一）申请报告；</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（二）自然资源、住建、林草、水务、生态环境等部门的审核意见；</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（三）建设公墓的可行性报告，包括安葬区域、建设资金、用地和规模等内容；</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（四）规划设计方案；</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（五）其他有关材料。</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乡镇人民政府（街道办事处）在收到申报材料并进行初审后报区民政局，区民政局在收到申报材料后依法作出是否受理的决定；不予受理或者审查不同意的，应当书面说明理由。</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黑体" w:hAnsi="黑体" w:eastAsia="黑体" w:cs="黑体"/>
          <w:i w:val="0"/>
          <w:iCs w:val="0"/>
          <w:caps w:val="0"/>
          <w:color w:val="000000"/>
          <w:spacing w:val="0"/>
          <w:kern w:val="0"/>
          <w:sz w:val="32"/>
          <w:szCs w:val="32"/>
          <w:lang w:val="en-US" w:eastAsia="zh-CN" w:bidi="ar"/>
        </w:rPr>
        <w:t>第十三条</w:t>
      </w:r>
      <w:r>
        <w:rPr>
          <w:rFonts w:hint="eastAsia" w:ascii="仿宋_GB2312" w:hAnsi="仿宋_GB2312" w:eastAsia="仿宋_GB2312" w:cs="仿宋_GB2312"/>
          <w:i w:val="0"/>
          <w:iCs w:val="0"/>
          <w:caps w:val="0"/>
          <w:color w:val="000000"/>
          <w:spacing w:val="0"/>
          <w:kern w:val="0"/>
          <w:sz w:val="32"/>
          <w:szCs w:val="32"/>
          <w:lang w:val="en-US" w:eastAsia="zh-CN" w:bidi="ar"/>
        </w:rPr>
        <w:t>  公益性公墓（骨灰堂）的建设资金来源：</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（一）各级财政补助资金；</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（二）国有企业融资投入；</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（三）乡</w:t>
      </w:r>
      <w:r>
        <w:rPr>
          <w:rFonts w:hint="eastAsia" w:ascii="仿宋_GB2312" w:hAnsi="仿宋_GB2312" w:eastAsia="仿宋_GB2312" w:cs="仿宋_GB2312"/>
          <w:i w:val="0"/>
          <w:iCs w:val="0"/>
          <w:caps w:val="0"/>
          <w:color w:val="000000"/>
          <w:spacing w:val="-11"/>
          <w:kern w:val="0"/>
          <w:sz w:val="32"/>
          <w:szCs w:val="32"/>
          <w:lang w:val="en-US" w:eastAsia="zh-CN" w:bidi="ar"/>
        </w:rPr>
        <w:t>镇人民政府（街道办事处）、村（居）委会自筹资金；</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（四）社会赞助、捐助资金等。</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建设资金做到专款专用，依法向社会公开收支情况，并接受监督，不得向村（居）民摊派。</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黑体" w:hAnsi="黑体" w:eastAsia="黑体" w:cs="黑体"/>
          <w:i w:val="0"/>
          <w:iCs w:val="0"/>
          <w:caps w:val="0"/>
          <w:color w:val="000000"/>
          <w:spacing w:val="0"/>
          <w:kern w:val="0"/>
          <w:sz w:val="32"/>
          <w:szCs w:val="32"/>
          <w:lang w:val="en-US" w:eastAsia="zh-CN" w:bidi="ar"/>
        </w:rPr>
        <w:t>第十四条</w:t>
      </w:r>
      <w:r>
        <w:rPr>
          <w:rFonts w:hint="eastAsia" w:ascii="仿宋_GB2312" w:hAnsi="仿宋_GB2312" w:eastAsia="仿宋_GB2312" w:cs="仿宋_GB2312"/>
          <w:i w:val="0"/>
          <w:iCs w:val="0"/>
          <w:caps w:val="0"/>
          <w:color w:val="000000"/>
          <w:spacing w:val="0"/>
          <w:kern w:val="0"/>
          <w:sz w:val="32"/>
          <w:szCs w:val="32"/>
          <w:lang w:val="en-US" w:eastAsia="zh-CN" w:bidi="ar"/>
        </w:rPr>
        <w:t>  公益性公墓（骨灰堂）应当按照下列标准建设。</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（一）公益性公墓建设标准</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1. 骨灰公墓墓穴占地面积每穴不得超过1平方米；</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2. 墓碑高不得超过80厘米、宽不得超过60厘米，禁止建石围栏；</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3. 墓区内应分块划分单元，单元与单元之间用道路隔开，路宽不得少于1.5米；</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4. 墓与墓之间隔离宽度40厘米，墓穴前通道宽度不得少于1米；</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5. 公墓内墓穴的占地面积不得超过公墓总面积的60％；</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6. 公墓绿化面积不得少于墓地面积的40%，绿化覆盖率不得低于75％；</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7. 墓</w:t>
      </w:r>
      <w:r>
        <w:rPr>
          <w:rFonts w:hint="eastAsia" w:ascii="仿宋_GB2312" w:hAnsi="仿宋_GB2312" w:eastAsia="仿宋_GB2312" w:cs="仿宋_GB2312"/>
          <w:i w:val="0"/>
          <w:iCs w:val="0"/>
          <w:caps w:val="0"/>
          <w:color w:val="000000"/>
          <w:spacing w:val="-11"/>
          <w:kern w:val="0"/>
          <w:sz w:val="32"/>
          <w:szCs w:val="32"/>
          <w:lang w:val="en-US" w:eastAsia="zh-CN" w:bidi="ar"/>
        </w:rPr>
        <w:t>区道路符合有关技术规范，设置标志标牌，配备停车场；</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8. 大力倡导生态安葬，在公益性公墓规划区要合理规划建设骨灰撒葬、树葬、壁葬、花坛葬等节地生态区域；</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9. 管理用房、祭扫场所、公厕、焚烧点、停车场、消防安全等设施和设备齐全。</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（二）骨灰堂建设标准</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1. 每平方米建筑面积设置骨灰存放格位不得少于10个；</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2. 骨灰架符合有关技术规范，设置标志标牌；</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3. 管理用房、祭扫场所、消防安全等设施和设备齐全。</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黑体" w:hAnsi="黑体" w:eastAsia="黑体" w:cs="黑体"/>
          <w:i w:val="0"/>
          <w:iCs w:val="0"/>
          <w:caps w:val="0"/>
          <w:color w:val="000000"/>
          <w:spacing w:val="0"/>
          <w:kern w:val="0"/>
          <w:sz w:val="32"/>
          <w:szCs w:val="32"/>
          <w:lang w:val="en-US" w:eastAsia="zh-CN" w:bidi="ar"/>
        </w:rPr>
        <w:t>第十五条</w:t>
      </w:r>
      <w:r>
        <w:rPr>
          <w:rFonts w:hint="eastAsia" w:ascii="仿宋_GB2312" w:hAnsi="仿宋_GB2312" w:eastAsia="仿宋_GB2312" w:cs="仿宋_GB2312"/>
          <w:i w:val="0"/>
          <w:iCs w:val="0"/>
          <w:caps w:val="0"/>
          <w:color w:val="000000"/>
          <w:spacing w:val="0"/>
          <w:kern w:val="0"/>
          <w:sz w:val="32"/>
          <w:szCs w:val="32"/>
          <w:lang w:val="en-US" w:eastAsia="zh-CN" w:bidi="ar"/>
        </w:rPr>
        <w:t>  公益性公墓（骨灰堂）建成后，由建设主体提出申请，区民政局会同审计、财政、自然资源、发改、林草、住建、生态环境、水务等部门进行验收，验收合格后，由区民政局核发合格证，取得合格证后方能使用。</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黑体" w:hAnsi="黑体" w:eastAsia="黑体" w:cs="黑体"/>
          <w:i w:val="0"/>
          <w:iCs w:val="0"/>
          <w:caps w:val="0"/>
          <w:color w:val="000000"/>
          <w:spacing w:val="0"/>
          <w:kern w:val="0"/>
          <w:sz w:val="32"/>
          <w:szCs w:val="32"/>
          <w:lang w:val="en-US" w:eastAsia="zh-CN" w:bidi="ar"/>
        </w:rPr>
        <w:t>第十六条</w:t>
      </w:r>
      <w:r>
        <w:rPr>
          <w:rFonts w:hint="eastAsia" w:ascii="仿宋_GB2312" w:hAnsi="仿宋_GB2312" w:eastAsia="仿宋_GB2312" w:cs="仿宋_GB2312"/>
          <w:i w:val="0"/>
          <w:iCs w:val="0"/>
          <w:caps w:val="0"/>
          <w:color w:val="000000"/>
          <w:spacing w:val="0"/>
          <w:kern w:val="0"/>
          <w:sz w:val="32"/>
          <w:szCs w:val="32"/>
          <w:lang w:val="en-US" w:eastAsia="zh-CN" w:bidi="ar"/>
        </w:rPr>
        <w:t>  公益性公墓迁移或者撤销，由乡镇人民政府（街道办事处）提出申请，经区民政局批准，并报上级民政部门备案。未经批准不得擅自停止公益性公墓（骨灰堂）服务。</w:t>
      </w:r>
    </w:p>
    <w:p>
      <w:pPr>
        <w:pStyle w:val="9"/>
        <w:keepNext w:val="0"/>
        <w:keepLines w:val="0"/>
        <w:widowControl/>
        <w:suppressLineNumbers w:val="0"/>
        <w:spacing w:before="0" w:beforeAutospacing="0" w:after="0" w:afterAutospacing="0" w:line="570" w:lineRule="atLeast"/>
        <w:ind w:left="0" w:right="0" w:firstLine="0"/>
        <w:jc w:val="both"/>
        <w:rPr>
          <w:rFonts w:hint="eastAsia" w:ascii="仿宋_GB2312" w:hAnsi="仿宋_GB2312" w:eastAsia="仿宋_GB2312" w:cs="仿宋_GB2312"/>
          <w:i w:val="0"/>
          <w:iCs w:val="0"/>
          <w:caps w:val="0"/>
          <w:color w:val="000000"/>
          <w:spacing w:val="0"/>
          <w:sz w:val="21"/>
          <w:szCs w:val="21"/>
        </w:rPr>
      </w:pPr>
      <w:r>
        <w:rPr>
          <w:rFonts w:hint="eastAsia" w:ascii="仿宋_GB2312" w:hAnsi="仿宋_GB2312" w:eastAsia="仿宋_GB2312" w:cs="仿宋_GB2312"/>
          <w:i w:val="0"/>
          <w:iCs w:val="0"/>
          <w:caps w:val="0"/>
          <w:color w:val="000000"/>
          <w:spacing w:val="0"/>
          <w:sz w:val="32"/>
          <w:szCs w:val="32"/>
        </w:rPr>
        <w:t> </w:t>
      </w:r>
    </w:p>
    <w:p>
      <w:pPr>
        <w:keepNext w:val="0"/>
        <w:keepLines w:val="0"/>
        <w:widowControl/>
        <w:suppressLineNumbers w:val="0"/>
        <w:spacing w:before="0" w:beforeAutospacing="0" w:after="0" w:afterAutospacing="0" w:line="570" w:lineRule="atLeast"/>
        <w:ind w:left="0" w:right="0" w:firstLine="0"/>
        <w:jc w:val="center"/>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第三章  管理与监督</w:t>
      </w:r>
    </w:p>
    <w:p>
      <w:pPr>
        <w:pStyle w:val="9"/>
        <w:keepNext w:val="0"/>
        <w:keepLines w:val="0"/>
        <w:widowControl/>
        <w:suppressLineNumbers w:val="0"/>
        <w:spacing w:before="0" w:beforeAutospacing="0" w:after="0" w:afterAutospacing="0" w:line="570" w:lineRule="atLeast"/>
        <w:ind w:left="0" w:right="0" w:firstLine="0"/>
        <w:jc w:val="both"/>
        <w:rPr>
          <w:rFonts w:hint="eastAsia" w:ascii="仿宋_GB2312" w:hAnsi="仿宋_GB2312" w:eastAsia="仿宋_GB2312" w:cs="仿宋_GB2312"/>
          <w:i w:val="0"/>
          <w:iCs w:val="0"/>
          <w:caps w:val="0"/>
          <w:color w:val="000000"/>
          <w:spacing w:val="0"/>
          <w:sz w:val="21"/>
          <w:szCs w:val="21"/>
        </w:rPr>
      </w:pPr>
      <w:r>
        <w:rPr>
          <w:rFonts w:hint="eastAsia" w:ascii="仿宋_GB2312" w:hAnsi="仿宋_GB2312" w:eastAsia="仿宋_GB2312" w:cs="仿宋_GB2312"/>
          <w:i w:val="0"/>
          <w:iCs w:val="0"/>
          <w:caps w:val="0"/>
          <w:color w:val="000000"/>
          <w:spacing w:val="0"/>
          <w:sz w:val="32"/>
          <w:szCs w:val="32"/>
        </w:rPr>
        <w:t> </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黑体" w:hAnsi="黑体" w:eastAsia="黑体" w:cs="黑体"/>
          <w:i w:val="0"/>
          <w:iCs w:val="0"/>
          <w:caps w:val="0"/>
          <w:color w:val="000000"/>
          <w:spacing w:val="0"/>
          <w:kern w:val="0"/>
          <w:sz w:val="32"/>
          <w:szCs w:val="32"/>
          <w:lang w:val="en-US" w:eastAsia="zh-CN" w:bidi="ar"/>
        </w:rPr>
        <w:t>第十七条</w:t>
      </w:r>
      <w:r>
        <w:rPr>
          <w:rFonts w:hint="eastAsia" w:ascii="仿宋_GB2312" w:hAnsi="仿宋_GB2312" w:eastAsia="仿宋_GB2312" w:cs="仿宋_GB2312"/>
          <w:i w:val="0"/>
          <w:iCs w:val="0"/>
          <w:caps w:val="0"/>
          <w:color w:val="000000"/>
          <w:spacing w:val="0"/>
          <w:kern w:val="0"/>
          <w:sz w:val="32"/>
          <w:szCs w:val="32"/>
          <w:lang w:val="en-US" w:eastAsia="zh-CN" w:bidi="ar"/>
        </w:rPr>
        <w:t>  公益性公墓（骨灰堂）安葬对象为本地区范围内的已故村（居）民（包括原户籍在本地的已故村民），使用人只享有使用权，不得私自转让、买卖。</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禁止公益性公墓（骨灰堂）以任何形式转为经营性公墓，禁止从事以营利为目的的经营活动或开展租赁、招商引资、股份制合作等商业活动。</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公益性公墓（骨灰堂）的覆盖范围，不受乡镇区域限制，按照就便就近，方便群众的原则由群众自愿选择。</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符合以下情形的，可选择进入公益性公墓（骨灰堂）安葬。</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（一）夫妻双方属隆阳区户籍的农村集体经济组织成员的亡故人员；</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（二）夫妻一方属隆阳区户籍的农村集体经济组织成员，另外一方为财政供养人员或国有企业在职及离退休亡故人员；</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（三）夫妻一方属隆阳区户籍的农村集体经济组织成员，另外一方属隆阳区户籍以外亡故人员；</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（四）隆阳区户籍国有企业改制或破产下岗职工亡故人员；</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（五）因经商、上学、外出务工等原因将户口迁出隆阳区，原籍贯或户籍属隆阳区户籍的亡故人员（财政供养人员或国有企业在职及离退休亡故人员除外）。</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黑体" w:hAnsi="黑体" w:eastAsia="黑体" w:cs="黑体"/>
          <w:i w:val="0"/>
          <w:iCs w:val="0"/>
          <w:caps w:val="0"/>
          <w:color w:val="000000"/>
          <w:spacing w:val="0"/>
          <w:kern w:val="0"/>
          <w:sz w:val="32"/>
          <w:szCs w:val="32"/>
          <w:lang w:val="en-US" w:eastAsia="zh-CN" w:bidi="ar"/>
        </w:rPr>
        <w:t>第十八条</w:t>
      </w:r>
      <w:r>
        <w:rPr>
          <w:rFonts w:hint="eastAsia" w:ascii="仿宋_GB2312" w:hAnsi="仿宋_GB2312" w:eastAsia="仿宋_GB2312" w:cs="仿宋_GB2312"/>
          <w:i w:val="0"/>
          <w:iCs w:val="0"/>
          <w:caps w:val="0"/>
          <w:color w:val="000000"/>
          <w:spacing w:val="0"/>
          <w:kern w:val="0"/>
          <w:sz w:val="32"/>
          <w:szCs w:val="32"/>
          <w:lang w:val="en-US" w:eastAsia="zh-CN" w:bidi="ar"/>
        </w:rPr>
        <w:t>  禁止预售公墓墓穴（骨灰格位），夫妻健在一方、高龄老人、危重病人预售（租）确保自用除外。禁止在公墓内建家族墓、宗族墓或与公墓管理不相符合的其他设施。</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公墓墓穴（骨灰堂格位）实行实名制管理，禁止非法买卖、转让公墓和骨灰存放格位。</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公益性公墓（骨灰堂）管理单位应结合实际、因地制宜，合理安排安葬区域。逝者直系亲属可在现开发建设的墓区范围内选择墓穴（骨灰堂格位）规范安葬逝者骨灰。</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公益性公墓墓穴的使用年限依据国家土地法的相关规定执行。墓穴的使用权不得自行转让。</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黑体" w:hAnsi="黑体" w:eastAsia="黑体" w:cs="黑体"/>
          <w:i w:val="0"/>
          <w:iCs w:val="0"/>
          <w:caps w:val="0"/>
          <w:color w:val="000000"/>
          <w:spacing w:val="0"/>
          <w:kern w:val="0"/>
          <w:sz w:val="32"/>
          <w:szCs w:val="32"/>
          <w:lang w:val="en-US" w:eastAsia="zh-CN" w:bidi="ar"/>
        </w:rPr>
        <w:t>第十九条</w:t>
      </w:r>
      <w:r>
        <w:rPr>
          <w:rFonts w:hint="eastAsia" w:ascii="仿宋_GB2312" w:hAnsi="仿宋_GB2312" w:eastAsia="仿宋_GB2312" w:cs="仿宋_GB2312"/>
          <w:i w:val="0"/>
          <w:iCs w:val="0"/>
          <w:caps w:val="0"/>
          <w:color w:val="000000"/>
          <w:spacing w:val="0"/>
          <w:kern w:val="0"/>
          <w:sz w:val="32"/>
          <w:szCs w:val="32"/>
          <w:lang w:val="en-US" w:eastAsia="zh-CN" w:bidi="ar"/>
        </w:rPr>
        <w:t>  任何单位和个人不得有下列行为：</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（一）以营利为目的进行公益性公墓（骨灰堂）建设和承包经营；</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（二）转让、炒买炒卖公益性公墓墓穴或者骨灰存放格位；</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（三）修建家族、宗族墓地；</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（四）改变墓穴占地面积、安装超标墓碑；</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（五）法律、法规和相关规定禁止的其他行为。</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黑体" w:hAnsi="黑体" w:eastAsia="黑体" w:cs="黑体"/>
          <w:i w:val="0"/>
          <w:iCs w:val="0"/>
          <w:caps w:val="0"/>
          <w:color w:val="000000"/>
          <w:spacing w:val="0"/>
          <w:kern w:val="0"/>
          <w:sz w:val="32"/>
          <w:szCs w:val="32"/>
          <w:lang w:val="en-US" w:eastAsia="zh-CN" w:bidi="ar"/>
        </w:rPr>
        <w:t>第二十条</w:t>
      </w:r>
      <w:r>
        <w:rPr>
          <w:rFonts w:hint="eastAsia" w:ascii="仿宋_GB2312" w:hAnsi="仿宋_GB2312" w:eastAsia="仿宋_GB2312" w:cs="仿宋_GB2312"/>
          <w:i w:val="0"/>
          <w:iCs w:val="0"/>
          <w:caps w:val="0"/>
          <w:color w:val="000000"/>
          <w:spacing w:val="0"/>
          <w:kern w:val="0"/>
          <w:sz w:val="32"/>
          <w:szCs w:val="32"/>
          <w:lang w:val="en-US" w:eastAsia="zh-CN" w:bidi="ar"/>
        </w:rPr>
        <w:t>  公益性公墓（骨灰堂）坚持公益性，只可适当收取材料费、人工劳务费及维护费。</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公益性公墓（骨灰堂）价格和收费实行政府指导价管理，收费标准由承建方进行成本核算后，报区民政局、区发展改革局按程序进行政府定价。</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黑体" w:hAnsi="黑体" w:eastAsia="黑体" w:cs="黑体"/>
          <w:i w:val="0"/>
          <w:iCs w:val="0"/>
          <w:caps w:val="0"/>
          <w:color w:val="000000"/>
          <w:spacing w:val="0"/>
          <w:kern w:val="0"/>
          <w:sz w:val="32"/>
          <w:szCs w:val="32"/>
          <w:lang w:val="en-US" w:eastAsia="zh-CN" w:bidi="ar"/>
        </w:rPr>
        <w:t>第</w:t>
      </w:r>
      <w:r>
        <w:rPr>
          <w:rFonts w:hint="eastAsia" w:ascii="黑体" w:hAnsi="黑体" w:eastAsia="黑体" w:cs="黑体"/>
          <w:i w:val="0"/>
          <w:iCs w:val="0"/>
          <w:caps w:val="0"/>
          <w:color w:val="000000"/>
          <w:spacing w:val="0"/>
          <w:kern w:val="0"/>
          <w:sz w:val="32"/>
          <w:szCs w:val="32"/>
          <w:lang w:val="en-US" w:eastAsia="zh-CN" w:bidi="ar"/>
        </w:rPr>
        <w:t>二十一条</w:t>
      </w:r>
      <w:r>
        <w:rPr>
          <w:rFonts w:hint="eastAsia" w:ascii="仿宋_GB2312" w:hAnsi="仿宋_GB2312" w:eastAsia="仿宋_GB2312" w:cs="仿宋_GB2312"/>
          <w:i w:val="0"/>
          <w:iCs w:val="0"/>
          <w:caps w:val="0"/>
          <w:color w:val="000000"/>
          <w:spacing w:val="0"/>
          <w:kern w:val="0"/>
          <w:sz w:val="32"/>
          <w:szCs w:val="32"/>
          <w:lang w:val="en-US" w:eastAsia="zh-CN" w:bidi="ar"/>
        </w:rPr>
        <w:t>  公墓管理服务费用是指经营者在为组织和管理公墓服务项目所发生的各项开支。包括行政管理人员费用、工会经费、职工教育经费、办公费、绿化管理费、清洁卫生费、保安费、水电费和其他费用。各乡镇人民政府（街道办事处）或委托承建方申报公益性公墓（骨灰堂）管理费，须向物价主管部门提交下列材料进行申报：</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（一）基本管理费及相关收费标准的申请；</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（二）建设费用及来源情况；</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（三）日常管理成本费用预算及其他资料；</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（四）公墓建设验收合格相关资料。</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黑体" w:hAnsi="黑体" w:eastAsia="黑体" w:cs="黑体"/>
          <w:i w:val="0"/>
          <w:iCs w:val="0"/>
          <w:caps w:val="0"/>
          <w:color w:val="000000"/>
          <w:spacing w:val="0"/>
          <w:kern w:val="0"/>
          <w:sz w:val="32"/>
          <w:szCs w:val="32"/>
          <w:lang w:val="en-US" w:eastAsia="zh-CN" w:bidi="ar"/>
        </w:rPr>
        <w:t>第二十二条</w:t>
      </w:r>
      <w:r>
        <w:rPr>
          <w:rFonts w:hint="eastAsia" w:ascii="仿宋_GB2312" w:hAnsi="仿宋_GB2312" w:eastAsia="仿宋_GB2312" w:cs="仿宋_GB2312"/>
          <w:i w:val="0"/>
          <w:iCs w:val="0"/>
          <w:caps w:val="0"/>
          <w:color w:val="000000"/>
          <w:spacing w:val="0"/>
          <w:kern w:val="0"/>
          <w:sz w:val="32"/>
          <w:szCs w:val="32"/>
          <w:lang w:val="en-US" w:eastAsia="zh-CN" w:bidi="ar"/>
        </w:rPr>
        <w:t>  公益性公墓（骨灰堂）收费标准，由区发展改革局会同区民政局在成本监审或成本调查的基础上，按非营利并兼顾居民承受能力的原则核定。殡葬服务单位要认真执行收费公示制度，在服务场所显著位置公布服务项目、收费标准、文件依据、减免政策、举报电话、服务流程和服务规范等内容，广泛接受社会监督。</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黑体" w:hAnsi="黑体" w:eastAsia="黑体" w:cs="黑体"/>
          <w:i w:val="0"/>
          <w:iCs w:val="0"/>
          <w:caps w:val="0"/>
          <w:color w:val="000000"/>
          <w:spacing w:val="0"/>
          <w:kern w:val="0"/>
          <w:sz w:val="32"/>
          <w:szCs w:val="32"/>
          <w:lang w:val="en-US" w:eastAsia="zh-CN" w:bidi="ar"/>
        </w:rPr>
        <w:t>第二十三条</w:t>
      </w:r>
      <w:r>
        <w:rPr>
          <w:rFonts w:hint="eastAsia" w:ascii="仿宋_GB2312" w:hAnsi="仿宋_GB2312" w:eastAsia="仿宋_GB2312" w:cs="仿宋_GB2312"/>
          <w:i w:val="0"/>
          <w:iCs w:val="0"/>
          <w:caps w:val="0"/>
          <w:color w:val="000000"/>
          <w:spacing w:val="0"/>
          <w:kern w:val="0"/>
          <w:sz w:val="32"/>
          <w:szCs w:val="32"/>
          <w:lang w:val="en-US" w:eastAsia="zh-CN" w:bidi="ar"/>
        </w:rPr>
        <w:t>  公益性公墓（骨灰堂）收取的费用，实行收支两条线管理，用于公墓（骨灰堂）的管理、维护和建设等，由区国资委、区民政局和乡镇人民政府（街道办事处）负责监管。</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黑体" w:hAnsi="黑体" w:eastAsia="黑体" w:cs="黑体"/>
          <w:i w:val="0"/>
          <w:iCs w:val="0"/>
          <w:caps w:val="0"/>
          <w:color w:val="000000"/>
          <w:spacing w:val="0"/>
          <w:kern w:val="0"/>
          <w:sz w:val="32"/>
          <w:szCs w:val="32"/>
          <w:lang w:val="en-US" w:eastAsia="zh-CN" w:bidi="ar"/>
        </w:rPr>
        <w:t>第二十四条</w:t>
      </w:r>
      <w:r>
        <w:rPr>
          <w:rFonts w:hint="eastAsia" w:ascii="仿宋_GB2312" w:hAnsi="仿宋_GB2312" w:eastAsia="仿宋_GB2312" w:cs="仿宋_GB2312"/>
          <w:i w:val="0"/>
          <w:iCs w:val="0"/>
          <w:caps w:val="0"/>
          <w:color w:val="000000"/>
          <w:spacing w:val="0"/>
          <w:kern w:val="0"/>
          <w:sz w:val="32"/>
          <w:szCs w:val="32"/>
          <w:lang w:val="en-US" w:eastAsia="zh-CN" w:bidi="ar"/>
        </w:rPr>
        <w:t>  城乡低保户、特困供养人员安葬，可酌情减免管理费。</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黑体" w:hAnsi="黑体" w:eastAsia="黑体" w:cs="黑体"/>
          <w:i w:val="0"/>
          <w:iCs w:val="0"/>
          <w:caps w:val="0"/>
          <w:color w:val="000000"/>
          <w:spacing w:val="0"/>
          <w:kern w:val="0"/>
          <w:sz w:val="32"/>
          <w:szCs w:val="32"/>
          <w:lang w:val="en-US" w:eastAsia="zh-CN" w:bidi="ar"/>
        </w:rPr>
        <w:t>第二十五条</w:t>
      </w:r>
      <w:r>
        <w:rPr>
          <w:rFonts w:hint="eastAsia" w:ascii="仿宋_GB2312" w:hAnsi="仿宋_GB2312" w:eastAsia="仿宋_GB2312" w:cs="仿宋_GB2312"/>
          <w:i w:val="0"/>
          <w:iCs w:val="0"/>
          <w:caps w:val="0"/>
          <w:color w:val="000000"/>
          <w:spacing w:val="0"/>
          <w:kern w:val="0"/>
          <w:sz w:val="32"/>
          <w:szCs w:val="32"/>
          <w:lang w:val="en-US" w:eastAsia="zh-CN" w:bidi="ar"/>
        </w:rPr>
        <w:t>  公益性公墓（骨灰堂）的管理，属乡镇人民政府（街道办事处）委托代建代管的，由承建方负责管理；属乡镇人民政府（街道办事处）、村（社区）投资建设的由乡镇人民政府（街道办事处）负责管理，并按照有关规定建立内部管理制度进行规范管理。公益性公墓要根据墓区的建设规模、范围、大小设置管理机构，聘用专门管理人员，负责墓地的管理和维护，切实做好墓区的日常管理和绿化美化工作。公益性骨灰堂管理机构要建立严格的格位使用登记管理制度，格位要进行编号、登记、造册，建立健全档案资料，同时要加强财务管理与监督。</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黑体" w:hAnsi="黑体" w:eastAsia="黑体" w:cs="黑体"/>
          <w:i w:val="0"/>
          <w:iCs w:val="0"/>
          <w:caps w:val="0"/>
          <w:color w:val="000000"/>
          <w:spacing w:val="0"/>
          <w:kern w:val="0"/>
          <w:sz w:val="32"/>
          <w:szCs w:val="32"/>
          <w:lang w:val="en-US" w:eastAsia="zh-CN" w:bidi="ar"/>
        </w:rPr>
        <w:t>第二十六条</w:t>
      </w:r>
      <w:r>
        <w:rPr>
          <w:rFonts w:hint="eastAsia" w:ascii="仿宋_GB2312" w:hAnsi="仿宋_GB2312" w:eastAsia="仿宋_GB2312" w:cs="仿宋_GB2312"/>
          <w:i w:val="0"/>
          <w:iCs w:val="0"/>
          <w:caps w:val="0"/>
          <w:color w:val="000000"/>
          <w:spacing w:val="0"/>
          <w:kern w:val="0"/>
          <w:sz w:val="32"/>
          <w:szCs w:val="32"/>
          <w:lang w:val="en-US" w:eastAsia="zh-CN" w:bidi="ar"/>
        </w:rPr>
        <w:t>  区民政局会同财政、审计、发改等部门对公益性公墓（骨灰堂）的日常管理进行监督检查。</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黑体" w:hAnsi="黑体" w:eastAsia="黑体" w:cs="黑体"/>
          <w:i w:val="0"/>
          <w:iCs w:val="0"/>
          <w:caps w:val="0"/>
          <w:color w:val="000000"/>
          <w:spacing w:val="0"/>
          <w:kern w:val="0"/>
          <w:sz w:val="32"/>
          <w:szCs w:val="32"/>
          <w:lang w:val="en-US" w:eastAsia="zh-CN" w:bidi="ar"/>
        </w:rPr>
        <w:t>第二十七条</w:t>
      </w:r>
      <w:r>
        <w:rPr>
          <w:rFonts w:hint="eastAsia" w:ascii="仿宋_GB2312" w:hAnsi="仿宋_GB2312" w:eastAsia="仿宋_GB2312" w:cs="仿宋_GB2312"/>
          <w:i w:val="0"/>
          <w:iCs w:val="0"/>
          <w:caps w:val="0"/>
          <w:color w:val="000000"/>
          <w:spacing w:val="0"/>
          <w:kern w:val="0"/>
          <w:sz w:val="32"/>
          <w:szCs w:val="32"/>
          <w:lang w:val="en-US" w:eastAsia="zh-CN" w:bidi="ar"/>
        </w:rPr>
        <w:t>  公益性公墓（骨灰堂）实行年检制度，年检由区民政局组织实施。年检合格的核发年检合格证，不合格的限期整改，并按有关规定处理。</w:t>
      </w:r>
    </w:p>
    <w:p>
      <w:pPr>
        <w:pStyle w:val="9"/>
        <w:keepNext w:val="0"/>
        <w:keepLines w:val="0"/>
        <w:widowControl/>
        <w:suppressLineNumbers w:val="0"/>
        <w:spacing w:before="0" w:beforeAutospacing="0" w:after="0" w:afterAutospacing="0" w:line="570" w:lineRule="atLeast"/>
        <w:ind w:left="0" w:right="0" w:firstLine="0"/>
        <w:jc w:val="both"/>
        <w:rPr>
          <w:rFonts w:hint="eastAsia" w:ascii="仿宋_GB2312" w:hAnsi="仿宋_GB2312" w:eastAsia="仿宋_GB2312" w:cs="仿宋_GB2312"/>
          <w:i w:val="0"/>
          <w:iCs w:val="0"/>
          <w:caps w:val="0"/>
          <w:color w:val="000000"/>
          <w:spacing w:val="0"/>
          <w:sz w:val="21"/>
          <w:szCs w:val="21"/>
        </w:rPr>
      </w:pPr>
      <w:r>
        <w:rPr>
          <w:rFonts w:hint="eastAsia" w:ascii="仿宋_GB2312" w:hAnsi="仿宋_GB2312" w:eastAsia="仿宋_GB2312" w:cs="仿宋_GB2312"/>
          <w:i w:val="0"/>
          <w:iCs w:val="0"/>
          <w:caps w:val="0"/>
          <w:color w:val="000000"/>
          <w:spacing w:val="0"/>
          <w:sz w:val="32"/>
          <w:szCs w:val="32"/>
        </w:rPr>
        <w:t> </w:t>
      </w:r>
    </w:p>
    <w:p>
      <w:pPr>
        <w:keepNext w:val="0"/>
        <w:keepLines w:val="0"/>
        <w:widowControl/>
        <w:suppressLineNumbers w:val="0"/>
        <w:spacing w:before="0" w:beforeAutospacing="0" w:after="0" w:afterAutospacing="0" w:line="570" w:lineRule="atLeast"/>
        <w:ind w:left="0" w:right="0" w:firstLine="0"/>
        <w:jc w:val="center"/>
        <w:rPr>
          <w:rFonts w:hint="eastAsia" w:ascii="黑体" w:hAnsi="黑体" w:eastAsia="黑体" w:cs="黑体"/>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第四章  处罚规定</w:t>
      </w:r>
    </w:p>
    <w:p>
      <w:pPr>
        <w:pStyle w:val="9"/>
        <w:keepNext w:val="0"/>
        <w:keepLines w:val="0"/>
        <w:widowControl/>
        <w:suppressLineNumbers w:val="0"/>
        <w:spacing w:before="0" w:beforeAutospacing="0" w:after="0" w:afterAutospacing="0" w:line="570" w:lineRule="atLeast"/>
        <w:ind w:left="0" w:right="0" w:firstLine="0"/>
        <w:jc w:val="both"/>
        <w:rPr>
          <w:rFonts w:hint="eastAsia" w:ascii="仿宋_GB2312" w:hAnsi="仿宋_GB2312" w:eastAsia="仿宋_GB2312" w:cs="仿宋_GB2312"/>
          <w:i w:val="0"/>
          <w:iCs w:val="0"/>
          <w:caps w:val="0"/>
          <w:color w:val="000000"/>
          <w:spacing w:val="0"/>
          <w:sz w:val="21"/>
          <w:szCs w:val="21"/>
        </w:rPr>
      </w:pPr>
      <w:r>
        <w:rPr>
          <w:rFonts w:hint="eastAsia" w:ascii="仿宋_GB2312" w:hAnsi="仿宋_GB2312" w:eastAsia="仿宋_GB2312" w:cs="仿宋_GB2312"/>
          <w:i w:val="0"/>
          <w:iCs w:val="0"/>
          <w:caps w:val="0"/>
          <w:color w:val="000000"/>
          <w:spacing w:val="0"/>
          <w:sz w:val="32"/>
          <w:szCs w:val="32"/>
        </w:rPr>
        <w:t> </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黑体" w:hAnsi="黑体" w:eastAsia="黑体" w:cs="黑体"/>
          <w:i w:val="0"/>
          <w:iCs w:val="0"/>
          <w:caps w:val="0"/>
          <w:color w:val="000000"/>
          <w:spacing w:val="0"/>
          <w:kern w:val="0"/>
          <w:sz w:val="32"/>
          <w:szCs w:val="32"/>
          <w:lang w:val="en-US" w:eastAsia="zh-CN" w:bidi="ar"/>
        </w:rPr>
        <w:t>第二十八条</w:t>
      </w:r>
      <w:r>
        <w:rPr>
          <w:rFonts w:hint="eastAsia" w:ascii="仿宋_GB2312" w:hAnsi="仿宋_GB2312" w:eastAsia="仿宋_GB2312" w:cs="仿宋_GB2312"/>
          <w:i w:val="0"/>
          <w:iCs w:val="0"/>
          <w:caps w:val="0"/>
          <w:color w:val="000000"/>
          <w:spacing w:val="0"/>
          <w:kern w:val="0"/>
          <w:sz w:val="32"/>
          <w:szCs w:val="32"/>
          <w:lang w:val="en-US" w:eastAsia="zh-CN" w:bidi="ar"/>
        </w:rPr>
        <w:t>  对违反本办法规定的单位和个人，由民政、自然资源、林草、住建、生态环境、水务、市场监管等部门按照部门职能职责，依法依规予以处罚。</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黑体" w:hAnsi="黑体" w:eastAsia="黑体" w:cs="黑体"/>
          <w:i w:val="0"/>
          <w:iCs w:val="0"/>
          <w:caps w:val="0"/>
          <w:color w:val="000000"/>
          <w:spacing w:val="0"/>
          <w:kern w:val="0"/>
          <w:sz w:val="32"/>
          <w:szCs w:val="32"/>
          <w:lang w:val="en-US" w:eastAsia="zh-CN" w:bidi="ar"/>
        </w:rPr>
        <w:t>第二十九条</w:t>
      </w:r>
      <w:r>
        <w:rPr>
          <w:rFonts w:hint="eastAsia" w:ascii="仿宋_GB2312" w:hAnsi="仿宋_GB2312" w:eastAsia="仿宋_GB2312" w:cs="仿宋_GB2312"/>
          <w:i w:val="0"/>
          <w:iCs w:val="0"/>
          <w:caps w:val="0"/>
          <w:color w:val="000000"/>
          <w:spacing w:val="0"/>
          <w:kern w:val="0"/>
          <w:sz w:val="32"/>
          <w:szCs w:val="32"/>
          <w:lang w:val="en-US" w:eastAsia="zh-CN" w:bidi="ar"/>
        </w:rPr>
        <w:t>  未经批准，擅自建设公益性公墓（骨灰堂）的，按国务院《殡葬管理条例》规定执行</w:t>
      </w:r>
      <w:r>
        <w:rPr>
          <w:rFonts w:hint="eastAsia" w:ascii="仿宋_GB2312" w:hAnsi="仿宋_GB2312" w:eastAsia="仿宋_GB2312" w:cs="仿宋_GB2312"/>
          <w:b w:val="0"/>
          <w:bCs w:val="0"/>
          <w:i w:val="0"/>
          <w:iCs w:val="0"/>
          <w:caps w:val="0"/>
          <w:color w:val="000000"/>
          <w:spacing w:val="0"/>
          <w:kern w:val="0"/>
          <w:sz w:val="32"/>
          <w:szCs w:val="32"/>
          <w:lang w:val="en-US" w:eastAsia="zh-CN" w:bidi="ar"/>
        </w:rPr>
        <w:t>。</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黑体" w:hAnsi="黑体" w:eastAsia="黑体" w:cs="黑体"/>
          <w:i w:val="0"/>
          <w:iCs w:val="0"/>
          <w:caps w:val="0"/>
          <w:color w:val="000000"/>
          <w:spacing w:val="0"/>
          <w:kern w:val="0"/>
          <w:sz w:val="32"/>
          <w:szCs w:val="32"/>
          <w:lang w:val="en-US" w:eastAsia="zh-CN" w:bidi="ar"/>
        </w:rPr>
        <w:t>第三十条</w:t>
      </w:r>
      <w:r>
        <w:rPr>
          <w:rFonts w:hint="eastAsia" w:ascii="仿宋_GB2312" w:hAnsi="仿宋_GB2312" w:eastAsia="仿宋_GB2312" w:cs="仿宋_GB2312"/>
          <w:i w:val="0"/>
          <w:iCs w:val="0"/>
          <w:caps w:val="0"/>
          <w:color w:val="000000"/>
          <w:spacing w:val="0"/>
          <w:kern w:val="0"/>
          <w:sz w:val="32"/>
          <w:szCs w:val="32"/>
          <w:lang w:val="en-US" w:eastAsia="zh-CN" w:bidi="ar"/>
        </w:rPr>
        <w:t>  墓穴占地面积超过规定标准的，按国务院《殡葬管理条例》规定执行</w:t>
      </w:r>
      <w:r>
        <w:rPr>
          <w:rFonts w:hint="eastAsia" w:ascii="仿宋_GB2312" w:hAnsi="仿宋_GB2312" w:eastAsia="仿宋_GB2312" w:cs="仿宋_GB2312"/>
          <w:b w:val="0"/>
          <w:bCs w:val="0"/>
          <w:i w:val="0"/>
          <w:iCs w:val="0"/>
          <w:caps w:val="0"/>
          <w:color w:val="000000"/>
          <w:spacing w:val="0"/>
          <w:kern w:val="0"/>
          <w:sz w:val="32"/>
          <w:szCs w:val="32"/>
          <w:lang w:val="en-US" w:eastAsia="zh-CN" w:bidi="ar"/>
        </w:rPr>
        <w:t>。</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黑体" w:hAnsi="黑体" w:eastAsia="黑体" w:cs="黑体"/>
          <w:i w:val="0"/>
          <w:iCs w:val="0"/>
          <w:caps w:val="0"/>
          <w:color w:val="000000"/>
          <w:spacing w:val="0"/>
          <w:kern w:val="0"/>
          <w:sz w:val="32"/>
          <w:szCs w:val="32"/>
          <w:lang w:val="en-US" w:eastAsia="zh-CN" w:bidi="ar"/>
        </w:rPr>
        <w:t>第三十一条</w:t>
      </w:r>
      <w:r>
        <w:rPr>
          <w:rFonts w:hint="eastAsia" w:ascii="仿宋_GB2312" w:hAnsi="仿宋_GB2312" w:eastAsia="仿宋_GB2312" w:cs="仿宋_GB2312"/>
          <w:i w:val="0"/>
          <w:iCs w:val="0"/>
          <w:caps w:val="0"/>
          <w:color w:val="000000"/>
          <w:spacing w:val="0"/>
          <w:kern w:val="0"/>
          <w:sz w:val="32"/>
          <w:szCs w:val="32"/>
          <w:lang w:val="en-US" w:eastAsia="zh-CN" w:bidi="ar"/>
        </w:rPr>
        <w:t>  公墓管理人员在公益性公墓（骨灰堂）建设和管理过程中有玩忽职守、滥用职权、徇私舞弊的，报请区纪委监委给予相应处分；构成犯罪的，依法追究刑事责任。</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黑体" w:hAnsi="黑体" w:eastAsia="黑体" w:cs="黑体"/>
          <w:i w:val="0"/>
          <w:iCs w:val="0"/>
          <w:caps w:val="0"/>
          <w:color w:val="000000"/>
          <w:spacing w:val="0"/>
          <w:kern w:val="0"/>
          <w:sz w:val="32"/>
          <w:szCs w:val="32"/>
          <w:lang w:val="en-US" w:eastAsia="zh-CN" w:bidi="ar"/>
        </w:rPr>
        <w:t>第三十二条</w:t>
      </w:r>
      <w:r>
        <w:rPr>
          <w:rFonts w:hint="eastAsia" w:ascii="仿宋_GB2312" w:hAnsi="仿宋_GB2312" w:eastAsia="仿宋_GB2312" w:cs="仿宋_GB2312"/>
          <w:i w:val="0"/>
          <w:iCs w:val="0"/>
          <w:caps w:val="0"/>
          <w:color w:val="000000"/>
          <w:spacing w:val="0"/>
          <w:kern w:val="0"/>
          <w:sz w:val="32"/>
          <w:szCs w:val="32"/>
          <w:lang w:val="en-US" w:eastAsia="zh-CN" w:bidi="ar"/>
        </w:rPr>
        <w:t>  对违反本办法，妨碍殡葬管理工作，闹事或者侮辱、殴打管理人员，违反治安管理规定的，由公安机关依法给予治安处罚；构成犯罪的，依法追究刑事责任。</w:t>
      </w:r>
    </w:p>
    <w:p>
      <w:pPr>
        <w:pStyle w:val="9"/>
        <w:keepNext w:val="0"/>
        <w:keepLines w:val="0"/>
        <w:widowControl/>
        <w:suppressLineNumbers w:val="0"/>
        <w:spacing w:before="0" w:beforeAutospacing="0" w:after="0" w:afterAutospacing="0" w:line="570" w:lineRule="atLeast"/>
        <w:ind w:left="0" w:right="0" w:firstLine="0"/>
        <w:jc w:val="both"/>
        <w:rPr>
          <w:rFonts w:hint="eastAsia" w:ascii="仿宋_GB2312" w:hAnsi="仿宋_GB2312" w:eastAsia="仿宋_GB2312" w:cs="仿宋_GB2312"/>
          <w:i w:val="0"/>
          <w:iCs w:val="0"/>
          <w:caps w:val="0"/>
          <w:color w:val="000000"/>
          <w:spacing w:val="0"/>
          <w:sz w:val="21"/>
          <w:szCs w:val="21"/>
        </w:rPr>
      </w:pPr>
      <w:r>
        <w:rPr>
          <w:rFonts w:hint="eastAsia" w:ascii="仿宋_GB2312" w:hAnsi="仿宋_GB2312" w:eastAsia="仿宋_GB2312" w:cs="仿宋_GB2312"/>
          <w:i w:val="0"/>
          <w:iCs w:val="0"/>
          <w:caps w:val="0"/>
          <w:color w:val="000000"/>
          <w:spacing w:val="0"/>
          <w:sz w:val="32"/>
          <w:szCs w:val="32"/>
        </w:rPr>
        <w:t> </w:t>
      </w:r>
    </w:p>
    <w:p>
      <w:pPr>
        <w:keepNext w:val="0"/>
        <w:keepLines w:val="0"/>
        <w:widowControl/>
        <w:suppressLineNumbers w:val="0"/>
        <w:spacing w:before="0" w:beforeAutospacing="0" w:after="0" w:afterAutospacing="0" w:line="570" w:lineRule="atLeast"/>
        <w:ind w:left="0" w:right="0" w:firstLine="0"/>
        <w:jc w:val="center"/>
        <w:rPr>
          <w:rFonts w:hint="eastAsia" w:ascii="仿宋_GB2312" w:hAnsi="仿宋_GB2312" w:eastAsia="仿宋_GB2312" w:cs="仿宋_GB2312"/>
          <w:i w:val="0"/>
          <w:iCs w:val="0"/>
          <w:caps w:val="0"/>
          <w:color w:val="000000"/>
          <w:spacing w:val="0"/>
          <w:sz w:val="22"/>
          <w:szCs w:val="22"/>
        </w:rPr>
      </w:pPr>
      <w:r>
        <w:rPr>
          <w:rFonts w:hint="eastAsia" w:ascii="黑体" w:hAnsi="黑体" w:eastAsia="黑体" w:cs="黑体"/>
          <w:i w:val="0"/>
          <w:iCs w:val="0"/>
          <w:caps w:val="0"/>
          <w:color w:val="000000"/>
          <w:spacing w:val="0"/>
          <w:kern w:val="0"/>
          <w:sz w:val="32"/>
          <w:szCs w:val="32"/>
          <w:lang w:val="en-US" w:eastAsia="zh-CN" w:bidi="ar"/>
        </w:rPr>
        <w:t>第五章  附则</w:t>
      </w:r>
    </w:p>
    <w:p>
      <w:pPr>
        <w:pStyle w:val="9"/>
        <w:keepNext w:val="0"/>
        <w:keepLines w:val="0"/>
        <w:widowControl/>
        <w:suppressLineNumbers w:val="0"/>
        <w:spacing w:before="0" w:beforeAutospacing="0" w:after="0" w:afterAutospacing="0" w:line="570" w:lineRule="atLeast"/>
        <w:ind w:left="0" w:right="0" w:firstLine="0"/>
        <w:jc w:val="both"/>
        <w:rPr>
          <w:rFonts w:hint="eastAsia" w:ascii="仿宋_GB2312" w:hAnsi="仿宋_GB2312" w:eastAsia="仿宋_GB2312" w:cs="仿宋_GB2312"/>
          <w:i w:val="0"/>
          <w:iCs w:val="0"/>
          <w:caps w:val="0"/>
          <w:color w:val="000000"/>
          <w:spacing w:val="0"/>
          <w:sz w:val="21"/>
          <w:szCs w:val="21"/>
        </w:rPr>
      </w:pPr>
      <w:r>
        <w:rPr>
          <w:rFonts w:hint="eastAsia" w:ascii="仿宋_GB2312" w:hAnsi="仿宋_GB2312" w:eastAsia="仿宋_GB2312" w:cs="仿宋_GB2312"/>
          <w:i w:val="0"/>
          <w:iCs w:val="0"/>
          <w:caps w:val="0"/>
          <w:color w:val="000000"/>
          <w:spacing w:val="0"/>
          <w:sz w:val="32"/>
          <w:szCs w:val="32"/>
        </w:rPr>
        <w:t> </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黑体" w:hAnsi="黑体" w:eastAsia="黑体" w:cs="黑体"/>
          <w:i w:val="0"/>
          <w:iCs w:val="0"/>
          <w:caps w:val="0"/>
          <w:color w:val="000000"/>
          <w:spacing w:val="0"/>
          <w:kern w:val="0"/>
          <w:sz w:val="32"/>
          <w:szCs w:val="32"/>
          <w:lang w:val="en-US" w:eastAsia="zh-CN" w:bidi="ar"/>
        </w:rPr>
        <w:t>第三十三条</w:t>
      </w:r>
      <w:r>
        <w:rPr>
          <w:rFonts w:hint="eastAsia" w:ascii="仿宋_GB2312" w:hAnsi="仿宋_GB2312" w:eastAsia="仿宋_GB2312" w:cs="仿宋_GB2312"/>
          <w:i w:val="0"/>
          <w:iCs w:val="0"/>
          <w:caps w:val="0"/>
          <w:color w:val="000000"/>
          <w:spacing w:val="0"/>
          <w:kern w:val="0"/>
          <w:sz w:val="32"/>
          <w:szCs w:val="32"/>
          <w:lang w:val="en-US" w:eastAsia="zh-CN" w:bidi="ar"/>
        </w:rPr>
        <w:t>  本办法由区民政局负责解释。</w:t>
      </w:r>
    </w:p>
    <w:p>
      <w:pPr>
        <w:keepNext w:val="0"/>
        <w:keepLines w:val="0"/>
        <w:widowControl/>
        <w:suppressLineNumbers w:val="0"/>
        <w:spacing w:before="0" w:beforeAutospacing="0" w:after="0" w:afterAutospacing="0" w:line="570" w:lineRule="atLeast"/>
        <w:ind w:left="0" w:right="0" w:firstLine="631"/>
        <w:jc w:val="left"/>
        <w:rPr>
          <w:rFonts w:hint="eastAsia" w:ascii="仿宋_GB2312" w:hAnsi="仿宋_GB2312" w:eastAsia="仿宋_GB2312" w:cs="仿宋_GB2312"/>
          <w:i w:val="0"/>
          <w:iCs w:val="0"/>
          <w:caps w:val="0"/>
          <w:color w:val="000000"/>
          <w:spacing w:val="0"/>
          <w:sz w:val="22"/>
          <w:szCs w:val="22"/>
        </w:rPr>
      </w:pPr>
      <w:r>
        <w:rPr>
          <w:rFonts w:hint="eastAsia" w:ascii="黑体" w:hAnsi="黑体" w:eastAsia="黑体" w:cs="黑体"/>
          <w:i w:val="0"/>
          <w:iCs w:val="0"/>
          <w:caps w:val="0"/>
          <w:color w:val="000000"/>
          <w:spacing w:val="0"/>
          <w:kern w:val="0"/>
          <w:sz w:val="32"/>
          <w:szCs w:val="32"/>
          <w:lang w:val="en-US" w:eastAsia="zh-CN" w:bidi="ar"/>
        </w:rPr>
        <w:t>第三十四条</w:t>
      </w:r>
      <w:r>
        <w:rPr>
          <w:rFonts w:hint="eastAsia" w:ascii="仿宋_GB2312" w:hAnsi="仿宋_GB2312" w:eastAsia="仿宋_GB2312" w:cs="仿宋_GB2312"/>
          <w:i w:val="0"/>
          <w:iCs w:val="0"/>
          <w:caps w:val="0"/>
          <w:color w:val="000000"/>
          <w:spacing w:val="0"/>
          <w:kern w:val="0"/>
          <w:sz w:val="32"/>
          <w:szCs w:val="32"/>
          <w:lang w:val="en-US" w:eastAsia="zh-CN" w:bidi="ar"/>
        </w:rPr>
        <w:t> </w:t>
      </w:r>
      <w:r>
        <w:rPr>
          <w:rFonts w:hint="eastAsia" w:ascii="仿宋_GB2312" w:hAnsi="仿宋_GB2312" w:eastAsia="仿宋_GB2312" w:cs="仿宋_GB2312"/>
          <w:i w:val="0"/>
          <w:iCs w:val="0"/>
          <w:caps w:val="0"/>
          <w:color w:val="FF0000"/>
          <w:spacing w:val="0"/>
          <w:kern w:val="0"/>
          <w:sz w:val="32"/>
          <w:szCs w:val="32"/>
          <w:lang w:val="en-US" w:eastAsia="zh-CN" w:bidi="ar"/>
        </w:rPr>
        <w:t> </w:t>
      </w:r>
      <w:r>
        <w:rPr>
          <w:rFonts w:hint="eastAsia" w:ascii="仿宋_GB2312" w:hAnsi="仿宋_GB2312" w:eastAsia="仿宋_GB2312" w:cs="仿宋_GB2312"/>
          <w:i w:val="0"/>
          <w:iCs w:val="0"/>
          <w:caps w:val="0"/>
          <w:color w:val="000000"/>
          <w:spacing w:val="0"/>
          <w:kern w:val="0"/>
          <w:sz w:val="32"/>
          <w:szCs w:val="32"/>
          <w:lang w:val="en-US" w:eastAsia="zh-CN" w:bidi="ar"/>
        </w:rPr>
        <w:t>本办法自2023年8月1日起施行。《隆阳区人民政府关于印发&lt;隆阳区公益性公墓（骨灰堂）建设管理办法&gt;的通知》（隆政规〔2021〕1号）同时废止。区人民政府已制定的有关规定与本办法不一致的，以本办法为准。</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r>
        <w:rPr>
          <w:rFonts w:hint="eastAsia" w:ascii="黑体" w:hAnsi="黑体" w:eastAsia="黑体" w:cs="黑体"/>
          <w:i w:val="0"/>
          <w:iCs w:val="0"/>
          <w:caps w:val="0"/>
          <w:color w:val="000000"/>
          <w:spacing w:val="0"/>
          <w:kern w:val="0"/>
          <w:sz w:val="32"/>
          <w:szCs w:val="32"/>
          <w:lang w:val="en-US" w:eastAsia="zh-CN" w:bidi="ar"/>
        </w:rPr>
        <w:t>第三十五条</w:t>
      </w:r>
      <w:r>
        <w:rPr>
          <w:rFonts w:hint="eastAsia" w:ascii="仿宋_GB2312" w:hAnsi="仿宋_GB2312" w:eastAsia="仿宋_GB2312" w:cs="仿宋_GB2312"/>
          <w:i w:val="0"/>
          <w:iCs w:val="0"/>
          <w:caps w:val="0"/>
          <w:color w:val="000000"/>
          <w:spacing w:val="0"/>
          <w:kern w:val="0"/>
          <w:sz w:val="32"/>
          <w:szCs w:val="32"/>
          <w:lang w:val="en-US" w:eastAsia="zh-CN" w:bidi="ar"/>
        </w:rPr>
        <w:t>  未尽事宜，按《云南省殡葬管理条例》《云南省公墓管理规定》和省、市政府相关规章规定执行。</w:t>
      </w:r>
    </w:p>
    <w:p>
      <w:pPr>
        <w:pStyle w:val="4"/>
        <w:keepNext w:val="0"/>
        <w:keepLines w:val="0"/>
        <w:pageBreakBefore w:val="0"/>
        <w:widowControl w:val="0"/>
        <w:kinsoku/>
        <w:wordWrap/>
        <w:overflowPunct/>
        <w:topLinePunct w:val="0"/>
        <w:autoSpaceDE/>
        <w:autoSpaceDN/>
        <w:bidi w:val="0"/>
        <w:adjustRightInd/>
        <w:snapToGrid/>
        <w:spacing w:line="560" w:lineRule="exact"/>
        <w:ind w:right="0" w:rightChars="0"/>
        <w:textAlignment w:val="auto"/>
        <w:outlineLvl w:val="9"/>
        <w:rPr>
          <w:rFonts w:hint="eastAsia" w:ascii="仿宋_GB2312" w:hAnsi="仿宋_GB2312" w:eastAsia="仿宋_GB2312" w:cs="仿宋_GB2312"/>
          <w:i w:val="0"/>
          <w:color w:val="000000"/>
          <w:kern w:val="0"/>
          <w:sz w:val="32"/>
          <w:szCs w:val="32"/>
          <w:u w:val="none"/>
          <w:lang w:val="en-US" w:eastAsia="zh-CN" w:bidi="ar"/>
        </w:rPr>
      </w:pPr>
    </w:p>
    <w:sectPr>
      <w:headerReference r:id="rId3" w:type="default"/>
      <w:footerReference r:id="rId4" w:type="default"/>
      <w:pgSz w:w="11906" w:h="16838"/>
      <w:pgMar w:top="1962" w:right="1474" w:bottom="1848" w:left="1587" w:header="851" w:footer="992" w:gutter="0"/>
      <w:pgNumType w:fmt="numberInDash"/>
      <w:cols w:space="72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黑体_GBK">
    <w:altName w:val="微软雅黑"/>
    <w:panose1 w:val="03000509000000000000"/>
    <w:charset w:val="86"/>
    <w:family w:val="script"/>
    <w:pitch w:val="default"/>
    <w:sig w:usb0="00000000" w:usb1="00000000" w:usb2="00000000" w:usb3="00000000" w:csb0="00040000" w:csb1="00000000"/>
  </w:font>
  <w:font w:name="仿宋体">
    <w:altName w:val="宋体"/>
    <w:panose1 w:val="02010609000101010101"/>
    <w:charset w:val="86"/>
    <w:family w:val="modern"/>
    <w:pitch w:val="default"/>
    <w:sig w:usb0="00000000" w:usb1="00000000" w:usb2="00000010" w:usb3="00000000" w:csb0="00040000" w:csb1="00000000"/>
  </w:font>
  <w:font w:name="MingLiUfalt">
    <w:altName w:val="MingLiU-ExtB"/>
    <w:panose1 w:val="00000000000000000000"/>
    <w:charset w:val="88"/>
    <w:family w:val="auto"/>
    <w:pitch w:val="default"/>
    <w:sig w:usb0="00000000" w:usb1="00000000" w:usb2="00000010" w:usb3="00000000" w:csb0="00100000" w:csb1="00000000"/>
  </w:font>
  <w:font w:name="楷体_GB2312">
    <w:panose1 w:val="0201060903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小标宋简体">
    <w:panose1 w:val="00000600000000000000"/>
    <w:charset w:val="86"/>
    <w:family w:val="auto"/>
    <w:pitch w:val="default"/>
    <w:sig w:usb0="800002BF" w:usb1="184F6CF8" w:usb2="00000012" w:usb3="00000000" w:csb0="00160001" w:csb1="12030000"/>
  </w:font>
  <w:font w:name="仿宋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MingLiU-ExtB">
    <w:panose1 w:val="02020500000000000000"/>
    <w:charset w:val="88"/>
    <w:family w:val="auto"/>
    <w:pitch w:val="default"/>
    <w:sig w:usb0="8000002F" w:usb1="02000008" w:usb2="0000000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left="5472" w:leftChars="2280" w:firstLine="6400" w:firstLineChars="2000"/>
      <w:rPr>
        <w:rFonts w:hint="eastAsia" w:eastAsia="仿宋"/>
        <w:sz w:val="32"/>
        <w:szCs w:val="48"/>
        <w:lang w:val="en-US" w:eastAsia="zh-CN"/>
      </w:rPr>
    </w:pPr>
    <w:r>
      <w:rPr>
        <w:sz w:val="32"/>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7"/>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R89qo3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LNJWO7QAAAABQEAAA8AAAAAAAAAAQAgAAAAIgAAAGRycy9kb3ducmV2LnhtbFBL&#10;AQIUABQAAAAIAIdO4kAUfPaqNwIAAG8EAAAOAAAAAAAAAAEAIAAAAB8BAABkcnMvZTJvRG9jLnht&#10;bFBLBQYAAAAABgAGAFkBAADIBQAAAAA=&#10;">
              <v:fill on="f" focussize="0,0"/>
              <v:stroke on="f" weight="0.5pt"/>
              <v:imagedata o:title=""/>
              <o:lock v:ext="edit" aspectratio="f"/>
              <v:textbox inset="0mm,0mm,0mm,0mm" style="mso-fit-shape-to-text:t;">
                <w:txbxContent>
                  <w:p>
                    <w:pPr>
                      <w:pStyle w:val="7"/>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v:textbox>
            </v:shape>
          </w:pict>
        </mc:Fallback>
      </mc:AlternateContent>
    </w:r>
    <w:r>
      <w:rPr>
        <w:rFonts w:hint="eastAsia" w:eastAsia="仿宋"/>
        <w:sz w:val="32"/>
        <w:szCs w:val="48"/>
        <w:lang w:val="en-US" w:eastAsia="zh-CN"/>
      </w:rPr>
      <w:t xml:space="preserve">  </w:t>
    </w:r>
  </w:p>
  <w:p>
    <w:pPr>
      <w:pStyle w:val="8"/>
      <w:wordWrap w:val="0"/>
      <w:ind w:left="5472" w:leftChars="2280" w:firstLine="6400" w:firstLineChars="2000"/>
      <w:jc w:val="right"/>
      <w:rPr>
        <w:rFonts w:hint="eastAsia" w:ascii="宋体" w:hAnsi="宋体" w:eastAsia="宋体" w:cs="宋体"/>
        <w:b/>
        <w:bCs/>
        <w:color w:val="005192"/>
        <w:sz w:val="28"/>
        <w:szCs w:val="44"/>
        <w:lang w:val="en-US" w:eastAsia="zh-CN"/>
      </w:rPr>
    </w:pPr>
    <w:r>
      <w:rPr>
        <w:color w:val="FAFAFA"/>
        <w:sz w:val="32"/>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74295</wp:posOffset>
              </wp:positionV>
              <wp:extent cx="5616575" cy="1905"/>
              <wp:effectExtent l="0" t="10795" r="3175" b="15875"/>
              <wp:wrapNone/>
              <wp:docPr id="5" name="直接连接符 5"/>
              <wp:cNvGraphicFramePr/>
              <a:graphic xmlns:a="http://schemas.openxmlformats.org/drawingml/2006/main">
                <a:graphicData uri="http://schemas.microsoft.com/office/word/2010/wordprocessingShape">
                  <wps:wsp>
                    <wps:cNvCnPr/>
                    <wps:spPr>
                      <a:xfrm>
                        <a:off x="0" y="0"/>
                        <a:ext cx="5616575" cy="1905"/>
                      </a:xfrm>
                      <a:prstGeom prst="line">
                        <a:avLst/>
                      </a:prstGeom>
                      <a:noFill/>
                      <a:ln w="22225" cap="flat" cmpd="sng" algn="ctr">
                        <a:solidFill>
                          <a:srgbClr val="005192"/>
                        </a:solidFill>
                        <a:prstDash val="solid"/>
                        <a:miter lim="800000"/>
                      </a:ln>
                      <a:effectLst/>
                    </wps:spPr>
                    <wps:bodyPr/>
                  </wps:wsp>
                </a:graphicData>
              </a:graphic>
            </wp:anchor>
          </w:drawing>
        </mc:Choice>
        <mc:Fallback>
          <w:pict>
            <v:line id="_x0000_s1026" o:spid="_x0000_s1026" o:spt="20" style="position:absolute;left:0pt;margin-left:0pt;margin-top:5.85pt;height:0.15pt;width:442.25pt;z-index:251660288;mso-width-relative:page;mso-height-relative:page;" filled="f" stroked="t" coordsize="21600,21600" o:gfxdata="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z&#10;p6XR1AAAAAYBAAAPAAAAAAAAAAEAIAAAACIAAABkcnMvZG93bnJldi54bWxQSwECFAAUAAAACACH&#10;TuJAB6gkL+8BAADDAwAADgAAAAAAAAABACAAAAAjAQAAZHJzL2Uyb0RvYy54bWxQSwUGAAAAAAYA&#10;BgBZAQAAhAUAAAAA&#10;">
              <v:fill on="f" focussize="0,0"/>
              <v:stroke weight="1.75pt" color="#005192" miterlimit="8" joinstyle="miter"/>
              <v:imagedata o:title=""/>
              <o:lock v:ext="edit" aspectratio="f"/>
            </v:line>
          </w:pict>
        </mc:Fallback>
      </mc:AlternateContent>
    </w:r>
    <w:r>
      <w:rPr>
        <w:rFonts w:hint="eastAsia" w:eastAsia="仿宋"/>
        <w:color w:val="FAFAFA"/>
        <w:sz w:val="32"/>
        <w:szCs w:val="48"/>
        <w:lang w:val="en-US" w:eastAsia="zh-CN"/>
      </w:rPr>
      <w:t>X</w:t>
    </w:r>
    <w:r>
      <w:rPr>
        <w:rFonts w:hint="eastAsia" w:ascii="宋体" w:hAnsi="宋体" w:eastAsia="宋体" w:cs="宋体"/>
        <w:b/>
        <w:bCs/>
        <w:color w:val="005192"/>
        <w:sz w:val="28"/>
        <w:szCs w:val="44"/>
        <w:lang w:val="en-US" w:eastAsia="zh-CN"/>
      </w:rPr>
      <w:t xml:space="preserve">隆阳区人民政府发布     </w:t>
    </w:r>
  </w:p>
  <w:p>
    <w:pPr>
      <w:pStyle w:val="8"/>
      <w:wordWrap w:val="0"/>
      <w:ind w:left="5472" w:leftChars="2280" w:firstLine="5622" w:firstLineChars="2000"/>
      <w:jc w:val="right"/>
      <w:rPr>
        <w:rFonts w:hint="eastAsia" w:ascii="宋体" w:hAnsi="宋体" w:eastAsia="宋体" w:cs="宋体"/>
        <w:b/>
        <w:bCs/>
        <w:color w:val="005192"/>
        <w:sz w:val="28"/>
        <w:szCs w:val="44"/>
        <w:lang w:val="en-US"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bCs/>
        <w:color w:val="005192"/>
        <w:sz w:val="32"/>
      </w:rPr>
    </w:pPr>
    <w:r>
      <w:rPr>
        <w:rFonts w:hint="eastAsia" w:ascii="宋体" w:hAnsi="宋体" w:eastAsia="宋体" w:cs="宋体"/>
        <w:b/>
        <w:bCs/>
        <w:color w:val="005192"/>
        <w:sz w:val="32"/>
      </w:rPr>
      <mc:AlternateContent>
        <mc:Choice Requires="wps">
          <w:drawing>
            <wp:anchor distT="0" distB="0" distL="114300" distR="114300" simplePos="0" relativeHeight="251659264" behindDoc="0" locked="0" layoutInCell="1" allowOverlap="1">
              <wp:simplePos x="0" y="0"/>
              <wp:positionH relativeFrom="column">
                <wp:posOffset>-3810</wp:posOffset>
              </wp:positionH>
              <wp:positionV relativeFrom="paragraph">
                <wp:posOffset>690245</wp:posOffset>
              </wp:positionV>
              <wp:extent cx="5620385" cy="0"/>
              <wp:effectExtent l="0" t="10795" r="18415" b="17780"/>
              <wp:wrapNone/>
              <wp:docPr id="4" name="直接连接符 4"/>
              <wp:cNvGraphicFramePr/>
              <a:graphic xmlns:a="http://schemas.openxmlformats.org/drawingml/2006/main">
                <a:graphicData uri="http://schemas.microsoft.com/office/word/2010/wordprocessingShape">
                  <wps:wsp>
                    <wps:cNvCnPr/>
                    <wps:spPr>
                      <a:xfrm>
                        <a:off x="4133850" y="864870"/>
                        <a:ext cx="5620385" cy="0"/>
                      </a:xfrm>
                      <a:prstGeom prst="line">
                        <a:avLst/>
                      </a:prstGeom>
                      <a:noFill/>
                      <a:ln w="22225" cap="flat" cmpd="sng" algn="ctr">
                        <a:solidFill>
                          <a:srgbClr val="005192"/>
                        </a:solidFill>
                        <a:prstDash val="solid"/>
                        <a:miter lim="800000"/>
                      </a:ln>
                      <a:effectLst/>
                    </wps:spPr>
                    <wps:bodyPr/>
                  </wps:wsp>
                </a:graphicData>
              </a:graphic>
            </wp:anchor>
          </w:drawing>
        </mc:Choice>
        <mc:Fallback>
          <w:pict>
            <v:line id="_x0000_s1026" o:spid="_x0000_s1026" o:spt="20" style="position:absolute;left:0pt;margin-left:-0.3pt;margin-top:54.35pt;height:0pt;width:442.55pt;z-index:251659264;mso-width-relative:page;mso-height-relative:page;" filled="f" stroked="t" coordsize="21600,21600" o:gfxdata="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UR0DW1QAAAAkBAAAPAAAAAAAAAAEAIAAAACIAAABkcnMvZG93bnJldi54bWxQSwEC&#10;FAAUAAAACACHTuJApSLLs/cBAADLAwAADgAAAAAAAAABACAAAAAkAQAAZHJzL2Uyb0RvYy54bWxQ&#10;SwUGAAAAAAYABgBZAQAAjQUAAAAA&#10;">
              <v:fill on="f" focussize="0,0"/>
              <v:stroke weight="1.75pt" color="#005192" miterlimit="8" joinstyle="miter"/>
              <v:imagedata o:title=""/>
              <o:lock v:ext="edit" aspectratio="f"/>
            </v:line>
          </w:pict>
        </mc:Fallback>
      </mc:AlternateContent>
    </w:r>
  </w:p>
  <w:p>
    <w:pPr>
      <w:pStyle w:val="8"/>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bCs/>
        <w:color w:val="005192"/>
        <w:sz w:val="32"/>
        <w:szCs w:val="32"/>
        <w:lang w:val="en-US" w:eastAsia="zh-CN"/>
      </w:rPr>
    </w:pPr>
    <w:r>
      <w:rPr>
        <w:rFonts w:hint="eastAsia" w:ascii="宋体" w:hAnsi="宋体" w:eastAsia="宋体" w:cs="宋体"/>
        <w:b/>
        <w:bCs/>
        <w:color w:val="005192"/>
        <w:sz w:val="32"/>
      </w:rPr>
      <w:drawing>
        <wp:inline distT="0" distB="0" distL="114300" distR="114300">
          <wp:extent cx="308610" cy="308610"/>
          <wp:effectExtent l="0" t="0" r="15240" b="15240"/>
          <wp:docPr id="1" name="图片 6" descr="国徽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国徽1024"/>
                  <pic:cNvPicPr>
                    <a:picLocks noChangeAspect="1"/>
                  </pic:cNvPicPr>
                </pic:nvPicPr>
                <pic:blipFill>
                  <a:blip r:embed="rId1"/>
                  <a:stretch>
                    <a:fillRect/>
                  </a:stretch>
                </pic:blipFill>
                <pic:spPr>
                  <a:xfrm>
                    <a:off x="0" y="0"/>
                    <a:ext cx="308610" cy="308610"/>
                  </a:xfrm>
                  <a:prstGeom prst="rect">
                    <a:avLst/>
                  </a:prstGeom>
                  <a:noFill/>
                  <a:ln>
                    <a:noFill/>
                  </a:ln>
                </pic:spPr>
              </pic:pic>
            </a:graphicData>
          </a:graphic>
        </wp:inline>
      </w:drawing>
    </w:r>
    <w:r>
      <w:rPr>
        <w:rFonts w:hint="eastAsia" w:ascii="宋体" w:hAnsi="宋体" w:eastAsia="宋体" w:cs="宋体"/>
        <w:b/>
        <w:bCs/>
        <w:color w:val="005192"/>
        <w:sz w:val="32"/>
        <w:lang w:eastAsia="zh-CN"/>
      </w:rPr>
      <w:t>隆阳区人民政府</w:t>
    </w:r>
    <w:r>
      <w:rPr>
        <w:rFonts w:hint="eastAsia" w:ascii="宋体" w:hAnsi="宋体" w:eastAsia="宋体" w:cs="宋体"/>
        <w:b/>
        <w:bCs/>
        <w:color w:val="005192"/>
        <w:sz w:val="32"/>
        <w:szCs w:val="32"/>
        <w:lang w:val="en-US" w:eastAsia="zh-CN"/>
      </w:rPr>
      <w:t>规范性文件</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17B3FF0"/>
    <w:rsid w:val="019E71BD"/>
    <w:rsid w:val="04B679C3"/>
    <w:rsid w:val="07FB1DD2"/>
    <w:rsid w:val="080F63D8"/>
    <w:rsid w:val="08977687"/>
    <w:rsid w:val="09341458"/>
    <w:rsid w:val="0B0912D7"/>
    <w:rsid w:val="0B5655CE"/>
    <w:rsid w:val="0ED46AC6"/>
    <w:rsid w:val="0EE72E69"/>
    <w:rsid w:val="152D2DCA"/>
    <w:rsid w:val="15775003"/>
    <w:rsid w:val="16DC5BAB"/>
    <w:rsid w:val="1DEC284C"/>
    <w:rsid w:val="1E6523AC"/>
    <w:rsid w:val="20086B82"/>
    <w:rsid w:val="22440422"/>
    <w:rsid w:val="256E56C9"/>
    <w:rsid w:val="25F827BE"/>
    <w:rsid w:val="2D6E2C02"/>
    <w:rsid w:val="2DB17EC4"/>
    <w:rsid w:val="31A15F24"/>
    <w:rsid w:val="31AE4A6F"/>
    <w:rsid w:val="395347B5"/>
    <w:rsid w:val="397B5187"/>
    <w:rsid w:val="39A232A0"/>
    <w:rsid w:val="39E745AA"/>
    <w:rsid w:val="3A7639A2"/>
    <w:rsid w:val="3B5A6BBB"/>
    <w:rsid w:val="3EDA13A6"/>
    <w:rsid w:val="42F058B7"/>
    <w:rsid w:val="436109F6"/>
    <w:rsid w:val="441A38D4"/>
    <w:rsid w:val="49C46D45"/>
    <w:rsid w:val="49F332D1"/>
    <w:rsid w:val="4BC77339"/>
    <w:rsid w:val="4BEB73A4"/>
    <w:rsid w:val="4C9236C5"/>
    <w:rsid w:val="4E2B49BB"/>
    <w:rsid w:val="4E5C460B"/>
    <w:rsid w:val="505C172E"/>
    <w:rsid w:val="52F46F0B"/>
    <w:rsid w:val="53682666"/>
    <w:rsid w:val="53D8014D"/>
    <w:rsid w:val="548B6CA4"/>
    <w:rsid w:val="558D1153"/>
    <w:rsid w:val="55E064E0"/>
    <w:rsid w:val="56A11C45"/>
    <w:rsid w:val="572C6D10"/>
    <w:rsid w:val="5DC34279"/>
    <w:rsid w:val="5E883605"/>
    <w:rsid w:val="608816D1"/>
    <w:rsid w:val="60EF4E7F"/>
    <w:rsid w:val="665233C1"/>
    <w:rsid w:val="6AD9688B"/>
    <w:rsid w:val="6CAA30B5"/>
    <w:rsid w:val="6D0E3F22"/>
    <w:rsid w:val="71321543"/>
    <w:rsid w:val="7A896D64"/>
    <w:rsid w:val="7C9011D9"/>
    <w:rsid w:val="7DC651C5"/>
    <w:rsid w:val="7FCC283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宋体" w:cs="Times New Roman"/>
      <w:color w:val="000000"/>
      <w:kern w:val="0"/>
      <w:sz w:val="24"/>
      <w:szCs w:val="24"/>
      <w:lang w:val="en-US" w:eastAsia="en-US" w:bidi="ar-SA"/>
    </w:rPr>
  </w:style>
  <w:style w:type="paragraph" w:styleId="2">
    <w:name w:val="heading 1"/>
    <w:basedOn w:val="1"/>
    <w:next w:val="1"/>
    <w:qFormat/>
    <w:uiPriority w:val="99"/>
    <w:pPr>
      <w:keepNext/>
      <w:keepLines/>
      <w:spacing w:line="576" w:lineRule="auto"/>
      <w:jc w:val="center"/>
      <w:outlineLvl w:val="0"/>
    </w:pPr>
    <w:rPr>
      <w:rFonts w:eastAsia="方正黑体_GBK"/>
      <w:kern w:val="44"/>
      <w:sz w:val="32"/>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Body Text"/>
    <w:basedOn w:val="1"/>
    <w:qFormat/>
    <w:uiPriority w:val="0"/>
    <w:pPr>
      <w:spacing w:line="560" w:lineRule="exact"/>
      <w:jc w:val="center"/>
    </w:pPr>
    <w:rPr>
      <w:rFonts w:eastAsia="宋体"/>
      <w:sz w:val="44"/>
    </w:rPr>
  </w:style>
  <w:style w:type="paragraph" w:styleId="5">
    <w:name w:val="Body Text Indent"/>
    <w:basedOn w:val="1"/>
    <w:qFormat/>
    <w:uiPriority w:val="0"/>
    <w:pPr>
      <w:ind w:firstLine="640" w:firstLineChars="200"/>
    </w:pPr>
    <w:rPr>
      <w:lang w:val="ms-BN"/>
    </w:rPr>
  </w:style>
  <w:style w:type="paragraph" w:styleId="6">
    <w:name w:val="Body Text Indent 2"/>
    <w:basedOn w:val="1"/>
    <w:qFormat/>
    <w:uiPriority w:val="0"/>
    <w:pPr>
      <w:ind w:firstLine="632" w:firstLineChars="2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Normal (Web)"/>
    <w:basedOn w:val="1"/>
    <w:uiPriority w:val="0"/>
    <w:rPr>
      <w:sz w:val="24"/>
    </w:rPr>
  </w:style>
  <w:style w:type="paragraph" w:customStyle="1" w:styleId="12">
    <w:name w:val="正文 New New"/>
    <w:qFormat/>
    <w:uiPriority w:val="0"/>
    <w:pPr>
      <w:widowControl w:val="0"/>
      <w:jc w:val="both"/>
    </w:pPr>
    <w:rPr>
      <w:rFonts w:ascii="Times New Roman" w:hAnsi="Times New Roman" w:eastAsia="仿宋体" w:cs="Times New Roman"/>
      <w:kern w:val="2"/>
      <w:sz w:val="32"/>
      <w:szCs w:val="22"/>
      <w:lang w:val="en-US" w:eastAsia="zh-CN" w:bidi="ar-SA"/>
    </w:rPr>
  </w:style>
  <w:style w:type="paragraph" w:customStyle="1" w:styleId="13">
    <w:name w:val="Body text|1"/>
    <w:basedOn w:val="1"/>
    <w:qFormat/>
    <w:uiPriority w:val="99"/>
    <w:pPr>
      <w:spacing w:line="389" w:lineRule="auto"/>
      <w:ind w:firstLine="400"/>
    </w:pPr>
    <w:rPr>
      <w:rFonts w:ascii="MingLiUfalt" w:hAnsi="MingLiUfalt" w:eastAsia="MingLiUfalt" w:cs="MingLiUfalt"/>
      <w:sz w:val="19"/>
      <w:szCs w:val="19"/>
      <w:lang w:val="zh-TW" w:eastAsia="zh-TW"/>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4649</Words>
  <Characters>4691</Characters>
  <Lines>1</Lines>
  <Paragraphs>1</Paragraphs>
  <TotalTime>19</TotalTime>
  <ScaleCrop>false</ScaleCrop>
  <LinksUpToDate>false</LinksUpToDate>
  <CharactersWithSpaces>4796</CharactersWithSpaces>
  <Application>WPS Office_11.8.2.12089_F1E327BC-269C-435d-A152-05C5408002CA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2021-09-09T02:41:00Z</dcterms:created>
  <dc:creator>t</dc:creator>
  <cp:lastModifiedBy>Administrator</cp:lastModifiedBy>
  <cp:lastPrinted>2021-10-26T03:30:00Z</cp:lastPrinted>
  <dcterms:modified xsi:type="dcterms:W3CDTF">2023-12-04T08:34:26Z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2052-11.8.2.12089</vt:lpwstr>
  </property>
  <property fmtid="{D5CDD505-2E9C-101B-9397-08002B2CF9AE}" pid="3" name="ICV">
    <vt:lpwstr>5D5B0ACE7063403888AF708DE0F8547D</vt:lpwstr>
  </property>
</Properties>
</file>