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Summary Report: Predictive Insights for Collections Strategy</w:t>
      </w:r>
    </w:p>
    <w:p>
      <w:pPr>
        <w:pStyle w:val="Heading2"/>
      </w:pPr>
      <w:r>
        <w:t>1. Summary of Predictive Insights</w:t>
      </w:r>
    </w:p>
    <w:p>
      <w:r>
        <w:t>Our predictive analysis identified key drivers of customer delinquency:</w:t>
      </w:r>
    </w:p>
    <w:p>
      <w:r>
        <w:t>- Employment Status is a major risk factor — unemployed customers exhibit significantly higher delinquency rates.</w:t>
      </w:r>
    </w:p>
    <w:p>
      <w:r>
        <w:t>- Credit Card Type influences delinquency — Business and Student cardholders have elevated risk profiles.</w:t>
      </w:r>
    </w:p>
    <w:p>
      <w:r>
        <w:t>- Credit Utilization above 80% strongly correlates with higher delinquency likelihood.</w:t>
      </w:r>
    </w:p>
    <w:p>
      <w:r>
        <w:br/>
        <w:t>Key Insights Summary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Key Insight</w:t>
            </w:r>
          </w:p>
        </w:tc>
        <w:tc>
          <w:tcPr>
            <w:tcW w:type="dxa" w:w="2160"/>
          </w:tcPr>
          <w:p>
            <w:r>
              <w:t>Customer Segment</w:t>
            </w:r>
          </w:p>
        </w:tc>
        <w:tc>
          <w:tcPr>
            <w:tcW w:type="dxa" w:w="2160"/>
          </w:tcPr>
          <w:p>
            <w:r>
              <w:t>Influencing Variables</w:t>
            </w:r>
          </w:p>
        </w:tc>
        <w:tc>
          <w:tcPr>
            <w:tcW w:type="dxa" w:w="2160"/>
          </w:tcPr>
          <w:p>
            <w:r>
              <w:t>Potential Impact</w:t>
            </w:r>
          </w:p>
        </w:tc>
      </w:tr>
      <w:tr>
        <w:tc>
          <w:tcPr>
            <w:tcW w:type="dxa" w:w="2160"/>
          </w:tcPr>
          <w:p>
            <w:r>
              <w:t>High credit utilization predicts delinquency</w:t>
            </w:r>
          </w:p>
        </w:tc>
        <w:tc>
          <w:tcPr>
            <w:tcW w:type="dxa" w:w="2160"/>
          </w:tcPr>
          <w:p>
            <w:r>
              <w:t>Customers with Credit Utilization &gt; 80%</w:t>
            </w:r>
          </w:p>
        </w:tc>
        <w:tc>
          <w:tcPr>
            <w:tcW w:type="dxa" w:w="2160"/>
          </w:tcPr>
          <w:p>
            <w:r>
              <w:t>Credit Utilization, Missed Payments, Loan Balance, Income, Debt-to-Income Ratio</w:t>
            </w:r>
          </w:p>
        </w:tc>
        <w:tc>
          <w:tcPr>
            <w:tcW w:type="dxa" w:w="2160"/>
          </w:tcPr>
          <w:p>
            <w:r>
              <w:t>Enable early outreach programs like credit counseling to reduce default rates and protect portfolio health.</w:t>
            </w:r>
          </w:p>
        </w:tc>
      </w:tr>
    </w:tbl>
    <w:p>
      <w:pPr>
        <w:pStyle w:val="Heading2"/>
      </w:pPr>
      <w:r>
        <w:t>2. Recommendation Framework</w:t>
      </w:r>
    </w:p>
    <w:p>
      <w:r>
        <w:t>Restated Insight:</w:t>
        <w:br/>
        <w:t>High credit utilization (above 80%) significantly increases delinquency risk.</w:t>
        <w:br/>
      </w:r>
    </w:p>
    <w:p>
      <w:r>
        <w:t>Proposed Recommendation:</w:t>
      </w:r>
    </w:p>
    <w:p>
      <w:r>
        <w:t>Specific: Actively monitor customers exceeding 80% utilization.</w:t>
      </w:r>
    </w:p>
    <w:p>
      <w:r>
        <w:t>Measurable: Target 10% reduction in delinquency rate within this segment over 12 months.</w:t>
      </w:r>
    </w:p>
    <w:p>
      <w:r>
        <w:t>Actionable: Implement financial coaching, personalized payment plans, and credit monitoring alerts.</w:t>
      </w:r>
    </w:p>
    <w:p>
      <w:r>
        <w:t>Relevant: Directly addresses one of the strongest predictors identified through the model.</w:t>
      </w:r>
    </w:p>
    <w:p>
      <w:r>
        <w:t>Time-bound: Launch pilot intervention program within 3 months.</w:t>
        <w:br/>
      </w:r>
    </w:p>
    <w:p>
      <w:r>
        <w:t>Justification and Business Rationale:</w:t>
        <w:br/>
        <w:t>Proactive intervention for high utilization customers offers the opportunity to reduce future delinquencies, strengthen customer financial stability, and optimize Geldium's collections outcomes.</w:t>
      </w:r>
    </w:p>
    <w:p>
      <w:pPr>
        <w:pStyle w:val="Heading2"/>
      </w:pPr>
      <w:r>
        <w:t>3. Ethical and Responsible AI Considerations</w:t>
      </w:r>
    </w:p>
    <w:p>
      <w:r>
        <w:t>- Fairness Concern 1: Unemployment status may unfairly impact customers who are temporarily unemployed.</w:t>
        <w:br/>
        <w:t xml:space="preserve">  Mitigation: Incorporate multiple financial stability indicators beyond employment alone.</w:t>
      </w:r>
    </w:p>
    <w:p>
      <w:r>
        <w:t>- Fairness Concern 2: Geographic bias may emerge due to differences across customer locations.</w:t>
        <w:br/>
        <w:t xml:space="preserve">  Mitigation: Conduct location-based fairness analysis and adjust model thresholds as needed.</w:t>
      </w:r>
    </w:p>
    <w:p>
      <w:r>
        <w:t>- Explainability: Model predictions will be communicated in plain language highlighting key contributing factors (e.g., credit utilization, missed payments).</w:t>
      </w:r>
    </w:p>
    <w:p>
      <w:r>
        <w:t>- Responsible AI: This framework ensures transparency, fairness, compliance with financial regulations, and ethical use of customer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