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</w:t>
      </w:r>
      <w:r>
        <w:t xml:space="preserve"> </w:t>
      </w:r>
      <w:r>
        <w:t xml:space="preserve">“</w:t>
      </w:r>
      <w:r>
        <w:t xml:space="preserve">линейный гармонический осциллятор</w:t>
      </w:r>
      <w:r>
        <w:t xml:space="preserve">”</w:t>
      </w:r>
      <w:r>
        <w:t xml:space="preserve">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5334000" cy="2310708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/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4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первый-случай"/>
    <w:p>
      <w:pPr>
        <w:pStyle w:val="Heading2"/>
      </w:pPr>
      <w:r>
        <w:t xml:space="preserve">Первый случай</w:t>
      </w:r>
    </w:p>
    <w:p>
      <w:pPr>
        <w:pStyle w:val="CaptionedFigure"/>
      </w:pPr>
      <w:r>
        <w:drawing>
          <wp:inline>
            <wp:extent cx="3733800" cy="2546985"/>
            <wp:effectExtent b="0" l="0" r="0" t="0"/>
            <wp:docPr descr="Скрипт и график №1" title="" id="26" name="Picture"/>
            <a:graphic>
              <a:graphicData uri="http://schemas.openxmlformats.org/drawingml/2006/picture">
                <pic:pic>
                  <pic:nvPicPr>
                    <pic:cNvPr descr="image/21-05-1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и график №1</w:t>
      </w:r>
    </w:p>
    <w:bookmarkEnd w:id="28"/>
    <w:bookmarkStart w:id="32" w:name="второй-случай"/>
    <w:p>
      <w:pPr>
        <w:pStyle w:val="Heading2"/>
      </w:pPr>
      <w:r>
        <w:t xml:space="preserve">Второй случай</w:t>
      </w:r>
    </w:p>
    <w:p>
      <w:pPr>
        <w:pStyle w:val="CaptionedFigure"/>
      </w:pPr>
      <w:r>
        <w:drawing>
          <wp:inline>
            <wp:extent cx="3733800" cy="2546985"/>
            <wp:effectExtent b="0" l="0" r="0" t="0"/>
            <wp:docPr descr="Скрипт и график №2" title="" id="30" name="Picture"/>
            <a:graphic>
              <a:graphicData uri="http://schemas.openxmlformats.org/drawingml/2006/picture">
                <pic:pic>
                  <pic:nvPicPr>
                    <pic:cNvPr descr="image/21-07-1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и график №2</w:t>
      </w:r>
    </w:p>
    <w:bookmarkEnd w:id="32"/>
    <w:bookmarkStart w:id="36" w:name="третий-случай"/>
    <w:p>
      <w:pPr>
        <w:pStyle w:val="Heading2"/>
      </w:pPr>
      <w:r>
        <w:t xml:space="preserve">Третий случай</w:t>
      </w:r>
    </w:p>
    <w:p>
      <w:pPr>
        <w:pStyle w:val="CaptionedFigure"/>
      </w:pPr>
      <w:r>
        <w:drawing>
          <wp:inline>
            <wp:extent cx="3733800" cy="2546985"/>
            <wp:effectExtent b="0" l="0" r="0" t="0"/>
            <wp:docPr descr="Скрипт и график №3" title="" id="34" name="Picture"/>
            <a:graphic>
              <a:graphicData uri="http://schemas.openxmlformats.org/drawingml/2006/picture">
                <pic:pic>
                  <pic:nvPicPr>
                    <pic:cNvPr descr="image/21-09-3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и график №3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основные принципы работы с моделью линейного гармонического осциллятора.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Старовойтов Егор Сергеевич</dc:creator>
  <dc:language>ru-RU</dc:language>
  <cp:keywords/>
  <dcterms:created xsi:type="dcterms:W3CDTF">2024-02-29T18:23:47Z</dcterms:created>
  <dcterms:modified xsi:type="dcterms:W3CDTF">2024-02-29T18:23:47Z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