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варианты модели конкуренции двух фирм.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r>
        <w:drawing>
          <wp:inline>
            <wp:extent cx="5334000" cy="11626243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/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4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случай-1"/>
    <w:p>
      <w:pPr>
        <w:pStyle w:val="Heading2"/>
      </w:pPr>
      <w:r>
        <w:t xml:space="preserve">Случай 1</w:t>
      </w:r>
    </w:p>
    <w:p>
      <w:pPr>
        <w:pStyle w:val="CaptionedFigure"/>
      </w:pPr>
      <w:r>
        <w:drawing>
          <wp:inline>
            <wp:extent cx="5334000" cy="5281491"/>
            <wp:effectExtent b="0" l="0" r="0" t="0"/>
            <wp:docPr descr="Случай 1" title="" id="26" name="Picture"/>
            <a:graphic>
              <a:graphicData uri="http://schemas.openxmlformats.org/drawingml/2006/picture">
                <pic:pic>
                  <pic:nvPicPr>
                    <pic:cNvPr descr="image/20-48-5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</w:t>
      </w:r>
    </w:p>
    <w:bookmarkEnd w:id="28"/>
    <w:bookmarkStart w:id="32" w:name="случай-2"/>
    <w:p>
      <w:pPr>
        <w:pStyle w:val="Heading2"/>
      </w:pPr>
      <w:r>
        <w:t xml:space="preserve">Случай 2</w:t>
      </w:r>
    </w:p>
    <w:p>
      <w:pPr>
        <w:pStyle w:val="CaptionedFigure"/>
      </w:pPr>
      <w:r>
        <w:drawing>
          <wp:inline>
            <wp:extent cx="5334000" cy="1952742"/>
            <wp:effectExtent b="0" l="0" r="0" t="0"/>
            <wp:docPr descr="Случай 12" title="" id="30" name="Picture"/>
            <a:graphic>
              <a:graphicData uri="http://schemas.openxmlformats.org/drawingml/2006/picture">
                <pic:pic>
                  <pic:nvPicPr>
                    <pic:cNvPr descr="image/20-53-2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12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Исследованы оба случая модели конкуренции двух фирм, построены графики.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Старовойтов Егор Сергеевич</dc:creator>
  <dc:language>ru-RU</dc:language>
  <cp:keywords/>
  <dcterms:created xsi:type="dcterms:W3CDTF">2024-03-28T18:24:27Z</dcterms:created>
  <dcterms:modified xsi:type="dcterms:W3CDTF">2024-03-28T18:24:27Z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