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项目技术路线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一、因子分析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1.总流程：选因子-收集数据-量化因子-整理形成数据集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2.具体步骤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2.1 选因子（自动建池 → 结构化归类 → 数据可得性筛查 → 统计筛选 → 稳健性复核）</w:t>
      </w:r>
      <w:bookmarkEnd w:id="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2.1.1 自动化建“因子预选池”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输入：</w:t>
      </w:r>
      <w:r>
        <w:rPr>
          <w:rFonts w:eastAsia="等线" w:ascii="Arial" w:cs="Arial" w:hAnsi="Arial"/>
          <w:sz w:val="22"/>
        </w:rPr>
        <w:t xml:space="preserve"> 油价相关论文/研报/能源机构报告 + 比赛给的方向（WTI/Brent、宏观、库存、事件等）</w:t>
        <w:br/>
      </w:r>
      <w:r>
        <w:rPr>
          <w:rFonts w:eastAsia="等线" w:ascii="Arial" w:cs="Arial" w:hAnsi="Arial"/>
          <w:b w:val="true"/>
          <w:sz w:val="22"/>
        </w:rPr>
        <w:t>工具/技术：</w:t>
      </w:r>
      <w:r>
        <w:rPr>
          <w:rFonts w:eastAsia="等线" w:ascii="Arial" w:cs="Arial" w:hAnsi="Arial"/>
          <w:sz w:val="22"/>
        </w:rPr>
        <w:t xml:space="preserve"> RAG（向量库 + LLM 抽取）、规则模板抽取、去重聚类</w:t>
        <w:br/>
      </w:r>
      <w:r>
        <w:rPr>
          <w:rFonts w:eastAsia="等线" w:ascii="Arial" w:cs="Arial" w:hAnsi="Arial"/>
          <w:b w:val="true"/>
          <w:sz w:val="22"/>
        </w:rPr>
        <w:t>实践步骤：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语料收集</w:t>
      </w:r>
      <w:r>
        <w:rPr>
          <w:rFonts w:eastAsia="等线" w:ascii="Arial" w:cs="Arial" w:hAnsi="Arial"/>
          <w:sz w:val="22"/>
        </w:rPr>
        <w:t>：爬/下载论文&amp;研报（PDF/网页），按主题打标签（库存/美元/地缘/期限结构/持仓/宏观）。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切分与入库</w:t>
      </w:r>
      <w:r>
        <w:rPr>
          <w:rFonts w:eastAsia="等线" w:ascii="Arial" w:cs="Arial" w:hAnsi="Arial"/>
          <w:sz w:val="22"/>
        </w:rPr>
        <w:t>：文本分段（chunk 300~800 tokens）→ embedding → 向量库存（FAISS/Chroma）。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抽取因子</w:t>
      </w:r>
      <w:r>
        <w:rPr>
          <w:rFonts w:eastAsia="等线" w:ascii="Arial" w:cs="Arial" w:hAnsi="Arial"/>
          <w:sz w:val="22"/>
        </w:rPr>
        <w:t>：对每篇文档做“因子抽取提示词”，输出结构化 JSON：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factor_name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category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definition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raw_series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frequency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lag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proxy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去重与合并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名称相似度（编辑距离/embedding cosine）聚类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同义因子合并，保留“标准定义 + proxy 方案”</w:t>
        <w:br/>
      </w:r>
      <w:r>
        <w:rPr>
          <w:rFonts w:eastAsia="等线" w:ascii="Arial" w:cs="Arial" w:hAnsi="Arial"/>
          <w:b w:val="true"/>
          <w:sz w:val="22"/>
        </w:rPr>
        <w:t>输出物：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Factor_Dictionary_v1</w:t>
      </w:r>
      <w:r>
        <w:rPr>
          <w:rFonts w:eastAsia="等线" w:ascii="Arial" w:cs="Arial" w:hAnsi="Arial"/>
          <w:sz w:val="22"/>
        </w:rPr>
        <w:t>（因子字典：名称、类别、公式、数据源候选、频率、滞后）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这一步的亮点是“别人工数论文”，而是把“论文→因子字典”自动化。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2.1.2 数据可得性 &amp; 工程可用性筛查（把“能算出来”先筛出来）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工具/技术：</w:t>
      </w:r>
      <w:r>
        <w:rPr>
          <w:rFonts w:eastAsia="等线" w:ascii="Arial" w:cs="Arial" w:hAnsi="Arial"/>
          <w:sz w:val="22"/>
        </w:rPr>
        <w:t xml:space="preserve"> 数据字典校验、源覆盖率统计</w:t>
        <w:br/>
      </w:r>
      <w:r>
        <w:rPr>
          <w:rFonts w:eastAsia="等线" w:ascii="Arial" w:cs="Arial" w:hAnsi="Arial"/>
          <w:b w:val="true"/>
          <w:sz w:val="22"/>
        </w:rPr>
        <w:t>实践步骤：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给每个因子绑定“主数据源+备选源”（如 EIA/FRED/CFTC/GDELT）。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拉一个小样本（比如最近 3 年）试抓取：计算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缺失率、断点数、发布滞后是否可追踪、频率是否可对齐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剔除规则（硬门槛）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缺失率 &gt; 30% 或无法确定发布时间（会引入未来函数）→ 淘汰/仅做事件因子</w:t>
        <w:br/>
      </w:r>
      <w:r>
        <w:rPr>
          <w:rFonts w:eastAsia="等线" w:ascii="Arial" w:cs="Arial" w:hAnsi="Arial"/>
          <w:b w:val="true"/>
          <w:sz w:val="22"/>
        </w:rPr>
        <w:t>输出物：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Candidate_Pool_v2</w:t>
      </w:r>
      <w:r>
        <w:rPr>
          <w:rFonts w:eastAsia="等线" w:ascii="Arial" w:cs="Arial" w:hAnsi="Arial"/>
          <w:sz w:val="22"/>
        </w:rPr>
        <w:t>（可计算的候选因子池）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2.1.3 统计筛选（从“可计算”到“有用且不冗余”）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工具/技术：</w:t>
      </w:r>
      <w:r>
        <w:rPr>
          <w:rFonts w:eastAsia="等线" w:ascii="Arial" w:cs="Arial" w:hAnsi="Arial"/>
          <w:sz w:val="22"/>
        </w:rPr>
        <w:t xml:space="preserve"> 相关性/IC、Granger、mRMR、Lasso、SHAP 初筛</w:t>
        <w:br/>
      </w:r>
      <w:r>
        <w:rPr>
          <w:rFonts w:eastAsia="等线" w:ascii="Arial" w:cs="Arial" w:hAnsi="Arial"/>
          <w:b w:val="true"/>
          <w:sz w:val="22"/>
        </w:rPr>
        <w:t>实践步骤（建议按顺序做，层层收敛）：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单因子初筛</w:t>
      </w:r>
      <w:r>
        <w:rPr>
          <w:rFonts w:eastAsia="等线" w:ascii="Arial" w:cs="Arial" w:hAnsi="Arial"/>
          <w:sz w:val="22"/>
        </w:rPr>
        <w:t>：对目标 yt+ky_{t+k}（如未来1周收益）算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rolling IC / Spearman、不同 k 的领先性（k=1,2,4周）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领先性筛选</w:t>
      </w:r>
      <w:r>
        <w:rPr>
          <w:rFonts w:eastAsia="等线" w:ascii="Arial" w:cs="Arial" w:hAnsi="Arial"/>
          <w:sz w:val="22"/>
        </w:rPr>
        <w:t>：交叉相关峰值落在正滞后（因子领先价格）优先。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冗余去除</w:t>
      </w:r>
      <w:r>
        <w:rPr>
          <w:rFonts w:eastAsia="等线" w:ascii="Arial" w:cs="Arial" w:hAnsi="Arial"/>
          <w:sz w:val="22"/>
        </w:rPr>
        <w:t>：同类因子相关系数 &gt; 0.85 → 留一个（优先：缺失少、解释强、稳定）。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多变量筛选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mRMR（最大相关最小冗余）挑 Top N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或 Lasso/ElasticNet 保留非零系数因子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可解释性复核</w:t>
      </w:r>
      <w:r>
        <w:rPr>
          <w:rFonts w:eastAsia="等线" w:ascii="Arial" w:cs="Arial" w:hAnsi="Arial"/>
          <w:sz w:val="22"/>
        </w:rPr>
        <w:t>：用轻量模型（XGBoost）跑一次，按 SHAP 排序，看是否符合经济直觉。</w:t>
        <w:br/>
      </w:r>
      <w:r>
        <w:rPr>
          <w:rFonts w:eastAsia="等线" w:ascii="Arial" w:cs="Arial" w:hAnsi="Arial"/>
          <w:b w:val="true"/>
          <w:sz w:val="22"/>
        </w:rPr>
        <w:t>输出物：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Selected_Factors_Final</w:t>
      </w:r>
      <w:r>
        <w:rPr>
          <w:rFonts w:eastAsia="等线" w:ascii="Arial" w:cs="Arial" w:hAnsi="Arial"/>
          <w:sz w:val="22"/>
        </w:rPr>
        <w:t>（最终因子清单 + 保留理由）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 收集数据（自动化采集管道：抓取 → 版本化 → 发布日对齐 → 质量检查）</w:t>
      </w:r>
      <w:bookmarkEnd w:id="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2.2.1 建数据采集管道（ETL）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工具/技术：</w:t>
      </w:r>
      <w:r>
        <w:rPr>
          <w:rFonts w:eastAsia="等线" w:ascii="Arial" w:cs="Arial" w:hAnsi="Arial"/>
          <w:sz w:val="22"/>
        </w:rPr>
        <w:t xml:space="preserve"> Python（requests/pandas/yfinance）、Airflow/Prefect（可选）、数据版本化（本地 parquet + 元数据表）</w:t>
        <w:br/>
      </w:r>
      <w:r>
        <w:rPr>
          <w:rFonts w:eastAsia="等线" w:ascii="Arial" w:cs="Arial" w:hAnsi="Arial"/>
          <w:b w:val="true"/>
          <w:sz w:val="22"/>
        </w:rPr>
        <w:t>实践步骤：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每个数据源写一个 connector</w:t>
      </w:r>
      <w:r>
        <w:rPr>
          <w:rFonts w:eastAsia="等线" w:ascii="Arial" w:cs="Arial" w:hAnsi="Arial"/>
          <w:sz w:val="22"/>
        </w:rPr>
        <w:t xml:space="preserve">：输出统一格式 </w:t>
      </w:r>
      <w:r>
        <w:rPr>
          <w:rFonts w:eastAsia="Consolas" w:ascii="Consolas" w:cs="Consolas" w:hAnsi="Consolas"/>
          <w:sz w:val="22"/>
          <w:shd w:fill="EFF0F1"/>
        </w:rPr>
        <w:t>date, value, release_date(optional), source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落库规范</w:t>
      </w:r>
      <w:r>
        <w:rPr>
          <w:rFonts w:eastAsia="等线" w:ascii="Arial" w:cs="Arial" w:hAnsi="Arial"/>
          <w:sz w:val="22"/>
        </w:rPr>
        <w:t xml:space="preserve">：原始数据 </w:t>
      </w:r>
      <w:r>
        <w:rPr>
          <w:rFonts w:eastAsia="Consolas" w:ascii="Consolas" w:cs="Consolas" w:hAnsi="Consolas"/>
          <w:sz w:val="22"/>
          <w:shd w:fill="EFF0F1"/>
        </w:rPr>
        <w:t>raw/</w:t>
      </w:r>
      <w:r>
        <w:rPr>
          <w:rFonts w:eastAsia="等线" w:ascii="Arial" w:cs="Arial" w:hAnsi="Arial"/>
          <w:sz w:val="22"/>
        </w:rPr>
        <w:t xml:space="preserve">；处理后 </w:t>
      </w:r>
      <w:r>
        <w:rPr>
          <w:rFonts w:eastAsia="Consolas" w:ascii="Consolas" w:cs="Consolas" w:hAnsi="Consolas"/>
          <w:sz w:val="22"/>
          <w:shd w:fill="EFF0F1"/>
        </w:rPr>
        <w:t>processed/</w:t>
      </w:r>
      <w:r>
        <w:rPr>
          <w:rFonts w:eastAsia="等线" w:ascii="Arial" w:cs="Arial" w:hAnsi="Arial"/>
          <w:sz w:val="22"/>
        </w:rPr>
        <w:t xml:space="preserve">；特征 </w:t>
      </w:r>
      <w:r>
        <w:rPr>
          <w:rFonts w:eastAsia="Consolas" w:ascii="Consolas" w:cs="Consolas" w:hAnsi="Consolas"/>
          <w:sz w:val="22"/>
          <w:shd w:fill="EFF0F1"/>
        </w:rPr>
        <w:t>features/</w:t>
      </w:r>
      <w:r>
        <w:rPr>
          <w:rFonts w:eastAsia="等线" w:ascii="Arial" w:cs="Arial" w:hAnsi="Arial"/>
          <w:sz w:val="22"/>
        </w:rPr>
        <w:t>（parquet 最稳）。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元数据表</w:t>
      </w:r>
      <w:r>
        <w:rPr>
          <w:rFonts w:eastAsia="等线" w:ascii="Arial" w:cs="Arial" w:hAnsi="Arial"/>
          <w:sz w:val="22"/>
        </w:rPr>
        <w:t>：记录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series 名、频率、发布时间、时区、单位、是否修订、抓取时间</w:t>
        <w:br/>
      </w:r>
      <w:r>
        <w:rPr>
          <w:rFonts w:eastAsia="等线" w:ascii="Arial" w:cs="Arial" w:hAnsi="Arial"/>
          <w:b w:val="true"/>
          <w:sz w:val="22"/>
        </w:rPr>
        <w:t>输出物：</w:t>
      </w:r>
      <w:r>
        <w:rPr>
          <w:rFonts w:eastAsia="等线" w:ascii="Arial" w:cs="Arial" w:hAnsi="Arial"/>
          <w:sz w:val="22"/>
        </w:rPr>
        <w:t xml:space="preserve"> 可复现的 </w:t>
      </w:r>
      <w:r>
        <w:rPr>
          <w:rFonts w:eastAsia="Consolas" w:ascii="Consolas" w:cs="Consolas" w:hAnsi="Consolas"/>
          <w:sz w:val="22"/>
          <w:shd w:fill="EFF0F1"/>
        </w:rPr>
        <w:t>data_pipeline/</w:t>
      </w:r>
      <w:r>
        <w:rPr>
          <w:rFonts w:eastAsia="等线" w:ascii="Arial" w:cs="Arial" w:hAnsi="Arial"/>
          <w:sz w:val="22"/>
        </w:rPr>
        <w:t xml:space="preserve"> + </w:t>
      </w:r>
      <w:r>
        <w:rPr>
          <w:rFonts w:eastAsia="Consolas" w:ascii="Consolas" w:cs="Consolas" w:hAnsi="Consolas"/>
          <w:sz w:val="22"/>
          <w:shd w:fill="EFF0F1"/>
        </w:rPr>
        <w:t>metadata_table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2.2.2 发布滞后处理（防止未来函数）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工具/技术：</w:t>
      </w:r>
      <w:r>
        <w:rPr>
          <w:rFonts w:eastAsia="等线" w:ascii="Arial" w:cs="Arial" w:hAnsi="Arial"/>
          <w:sz w:val="22"/>
        </w:rPr>
        <w:t xml:space="preserve"> “可用性时间轴”构造</w:t>
        <w:br/>
      </w:r>
      <w:r>
        <w:rPr>
          <w:rFonts w:eastAsia="等线" w:ascii="Arial" w:cs="Arial" w:hAnsi="Arial"/>
          <w:b w:val="true"/>
          <w:sz w:val="22"/>
        </w:rPr>
        <w:t>实践步骤：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对有发布时间的数据（EIA/CFTC/宏观指标），构造 </w:t>
      </w:r>
      <w:r>
        <w:rPr>
          <w:rFonts w:eastAsia="Consolas" w:ascii="Consolas" w:cs="Consolas" w:hAnsi="Consolas"/>
          <w:sz w:val="22"/>
          <w:shd w:fill="EFF0F1"/>
        </w:rPr>
        <w:t>available_from = release_date + 1 day</w:t>
      </w:r>
      <w:r>
        <w:rPr>
          <w:rFonts w:eastAsia="等线" w:ascii="Arial" w:cs="Arial" w:hAnsi="Arial"/>
          <w:sz w:val="22"/>
        </w:rPr>
        <w:t>（或按真实发布时间规则）。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在训练集每个时点 t，只允许使用 </w:t>
      </w:r>
      <w:r>
        <w:rPr>
          <w:rFonts w:eastAsia="Consolas" w:ascii="Consolas" w:cs="Consolas" w:hAnsi="Consolas"/>
          <w:sz w:val="22"/>
          <w:shd w:fill="EFF0F1"/>
        </w:rPr>
        <w:t>available_from &lt;= t</w:t>
      </w:r>
      <w:r>
        <w:rPr>
          <w:rFonts w:eastAsia="等线" w:ascii="Arial" w:cs="Arial" w:hAnsi="Arial"/>
          <w:sz w:val="22"/>
        </w:rPr>
        <w:t xml:space="preserve"> 的观测值。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无发布时间的数据（如行情）默认当日可用。</w:t>
        <w:br/>
      </w:r>
      <w:r>
        <w:rPr>
          <w:rFonts w:eastAsia="等线" w:ascii="Arial" w:cs="Arial" w:hAnsi="Arial"/>
          <w:b w:val="true"/>
          <w:sz w:val="22"/>
        </w:rPr>
        <w:t>输出物：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asof_joined_dataset</w:t>
      </w:r>
      <w:r>
        <w:rPr>
          <w:rFonts w:eastAsia="等线" w:ascii="Arial" w:cs="Arial" w:hAnsi="Arial"/>
          <w:sz w:val="22"/>
        </w:rPr>
        <w:t>（as-of 对齐后的原始面板）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2.2.3 数据质量检查（自动化）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工具/技术：</w:t>
      </w:r>
      <w:r>
        <w:rPr>
          <w:rFonts w:eastAsia="等线" w:ascii="Arial" w:cs="Arial" w:hAnsi="Arial"/>
          <w:sz w:val="22"/>
        </w:rPr>
        <w:t xml:space="preserve"> 缺失率、异常值、断点检测（Z-score/MAD）、单位一致化</w:t>
        <w:br/>
      </w:r>
      <w:r>
        <w:rPr>
          <w:rFonts w:eastAsia="等线" w:ascii="Arial" w:cs="Arial" w:hAnsi="Arial"/>
          <w:b w:val="true"/>
          <w:sz w:val="22"/>
        </w:rPr>
        <w:t>实践步骤：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每次更新后自动跑：缺失率报表、极值告警、频率漂移（周度是否变日度）</w:t>
        <w:br/>
      </w:r>
      <w:r>
        <w:rPr>
          <w:rFonts w:eastAsia="等线" w:ascii="Arial" w:cs="Arial" w:hAnsi="Arial"/>
          <w:b w:val="true"/>
          <w:sz w:val="22"/>
        </w:rPr>
        <w:t>输出物：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data_qc_report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2.3 量化因子（统一特征工程模板：变换 → 标准化 → 非线性 → 交互 → 滚动统计）</w:t>
      </w:r>
      <w:bookmarkEnd w:id="1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2.3.1 特征工程</w:t>
      </w:r>
      <w:bookmarkEnd w:id="12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搜集因子数据的时间范围</w:t>
      </w:r>
      <w:r>
        <w:rPr>
          <w:rFonts w:eastAsia="等线" w:ascii="Arial" w:cs="Arial" w:hAnsi="Arial"/>
          <w:sz w:val="22"/>
        </w:rPr>
        <w:t>：2015年1月1日 - 至今（覆盖完整市场周期）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最终对齐频率</w:t>
      </w:r>
      <w:r>
        <w:rPr>
          <w:rFonts w:eastAsia="等线" w:ascii="Arial" w:cs="Arial" w:hAnsi="Arial"/>
          <w:sz w:val="22"/>
        </w:rPr>
        <w:t>：日频（Business Daily）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第一部分：核心数值因子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6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因子类别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因子名称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原始频率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特殊性说明与处理逻辑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高阶因子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即期-远期价差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 xml:space="preserve">   (Term Structure)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反映供需紧张程度。</w:t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处理</w:t>
            </w:r>
            <w:r>
              <w:rPr>
                <w:rFonts w:eastAsia="等线" w:ascii="Arial" w:cs="Arial" w:hAnsi="Arial"/>
                <w:sz w:val="22"/>
              </w:rPr>
              <w:t>：计算差值 Spread = Spot - Future。</w:t>
              <w:br/>
            </w:r>
            <w:r>
              <w:rPr>
                <w:rFonts w:eastAsia="等线" w:ascii="Arial" w:cs="Arial" w:hAnsi="Arial"/>
                <w:sz w:val="22"/>
              </w:rPr>
              <w:t>若 Spread &gt; 0 (Backwardation) 暗示缺货，利多；反之利空。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高阶因子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裂解价差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 xml:space="preserve">   (Crack Spread)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反映炼厂利润。</w:t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处理</w:t>
            </w:r>
            <w:r>
              <w:rPr>
                <w:rFonts w:eastAsia="等线" w:ascii="Arial" w:cs="Arial" w:hAnsi="Arial"/>
                <w:sz w:val="22"/>
              </w:rPr>
              <w:t>：注意单位换算！汽油是美元/加仑，原油是美元/桶。</w:t>
              <w:br/>
            </w:r>
            <w:r>
              <w:rPr>
                <w:rFonts w:eastAsia="等线" w:ascii="Arial" w:cs="Arial" w:hAnsi="Arial"/>
                <w:sz w:val="22"/>
              </w:rPr>
              <w:t>公式：(RB=F * 42) - CL=F。价差跌，炼厂不买油，利空。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高阶因子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原油运费代理</w:t>
            </w:r>
            <w:r>
              <w:rPr>
                <w:rFonts w:eastAsia="等线" w:ascii="Arial" w:cs="Arial" w:hAnsi="Arial"/>
                <w:sz w:val="22"/>
              </w:rPr>
              <w:br/>
              <w:t xml:space="preserve">   (Freight Rates)</w:t>
              <w:br/>
            </w:r>
            <w:r>
              <w:rPr>
                <w:rFonts w:eastAsia="等线" w:ascii="Arial" w:cs="Arial" w:hAnsi="Arial"/>
                <w:sz w:val="22"/>
              </w:rPr>
              <w:t>（由BDTI直接反映）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真实 BDTI 指数很难免费获取。</w:t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处理</w:t>
            </w:r>
            <w:r>
              <w:rPr>
                <w:rFonts w:eastAsia="等线" w:ascii="Arial" w:cs="Arial" w:hAnsi="Arial"/>
                <w:sz w:val="22"/>
              </w:rPr>
              <w:t>：使用 BDR 或油轮龙头股 FRO 作为代理变量。运费暴涨通常意味着囤油需求或供应链中断。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目标变量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WTI / Brent 原油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处理</w:t>
            </w:r>
            <w:r>
              <w:rPr>
                <w:rFonts w:eastAsia="等线" w:ascii="Arial" w:cs="Arial" w:hAnsi="Arial"/>
                <w:sz w:val="22"/>
              </w:rPr>
              <w:t xml:space="preserve">：构建 </w:t>
            </w:r>
            <w:r>
              <w:rPr>
                <w:rFonts w:eastAsia="等线" w:ascii="Arial" w:cs="Arial" w:hAnsi="Arial"/>
                <w:b w:val="true"/>
                <w:sz w:val="22"/>
              </w:rPr>
              <w:t>收益率 (Return)</w:t>
            </w:r>
            <w:r>
              <w:rPr>
                <w:rFonts w:eastAsia="等线" w:ascii="Arial" w:cs="Arial" w:hAnsi="Arial"/>
                <w:sz w:val="22"/>
              </w:rPr>
              <w:t xml:space="preserve"> 或 </w:t>
            </w:r>
            <w:r>
              <w:rPr>
                <w:rFonts w:eastAsia="等线" w:ascii="Arial" w:cs="Arial" w:hAnsi="Arial"/>
                <w:b w:val="true"/>
                <w:sz w:val="22"/>
              </w:rPr>
              <w:t>对数差分</w:t>
            </w:r>
            <w:r>
              <w:rPr>
                <w:rFonts w:eastAsia="等线" w:ascii="Arial" w:cs="Arial" w:hAnsi="Arial"/>
                <w:sz w:val="22"/>
              </w:rPr>
              <w:t xml:space="preserve"> 作为预测目标，不直接预测绝对价格。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金融情绪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原油波动率</w:t>
            </w:r>
            <w:r>
              <w:rPr>
                <w:rFonts w:eastAsia="等线" w:ascii="Arial" w:cs="Arial" w:hAnsi="Arial"/>
                <w:sz w:val="22"/>
              </w:rPr>
              <w:t xml:space="preserve"> (OVX)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处理</w:t>
            </w:r>
            <w:r>
              <w:rPr>
                <w:rFonts w:eastAsia="等线" w:ascii="Arial" w:cs="Arial" w:hAnsi="Arial"/>
                <w:sz w:val="22"/>
              </w:rPr>
              <w:t>：数值越高，代表恐慌，通常对应底部的形成。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金融情绪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美元指数</w:t>
            </w:r>
            <w:r>
              <w:rPr>
                <w:rFonts w:eastAsia="等线" w:ascii="Arial" w:cs="Arial" w:hAnsi="Arial"/>
                <w:sz w:val="22"/>
              </w:rPr>
              <w:t xml:space="preserve"> (DXY)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计价分母。</w:t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处理</w:t>
            </w:r>
            <w:r>
              <w:rPr>
                <w:rFonts w:eastAsia="等线" w:ascii="Arial" w:cs="Arial" w:hAnsi="Arial"/>
                <w:sz w:val="22"/>
              </w:rPr>
              <w:t>：通常与油价强负相关，直接使用标准化数值。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基本面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美国商业库存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周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处理</w:t>
            </w:r>
            <w:r>
              <w:rPr>
                <w:rFonts w:eastAsia="等线" w:ascii="Arial" w:cs="Arial" w:hAnsi="Arial"/>
                <w:sz w:val="22"/>
              </w:rPr>
              <w:t>：</w:t>
              <w:br/>
              <w:t xml:space="preserve">   1. 使用 ffill 填充至日频。</w:t>
              <w:br/>
            </w:r>
            <w:r>
              <w:rPr>
                <w:rFonts w:eastAsia="等线" w:ascii="Arial" w:cs="Arial" w:hAnsi="Arial"/>
                <w:sz w:val="22"/>
              </w:rPr>
              <w:t xml:space="preserve">   2. </w:t>
            </w:r>
            <w:r>
              <w:rPr>
                <w:rFonts w:eastAsia="等线" w:ascii="Arial" w:cs="Arial" w:hAnsi="Arial"/>
                <w:b w:val="true"/>
                <w:sz w:val="22"/>
              </w:rPr>
              <w:t>滞后2天</w:t>
            </w:r>
            <w:r>
              <w:rPr>
                <w:rFonts w:eastAsia="等线" w:ascii="Arial" w:cs="Arial" w:hAnsi="Arial"/>
                <w:sz w:val="22"/>
              </w:rPr>
              <w:t>。周三发布周五的数据，周一/周二不能用到当周数据。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宏观环境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通胀预期 </w:t>
            </w:r>
            <w:r>
              <w:rPr>
                <w:rFonts w:eastAsia="等线" w:ascii="Arial" w:cs="Arial" w:hAnsi="Arial"/>
                <w:sz w:val="22"/>
              </w:rPr>
              <w:t>(Breakeven)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5年期盈亏平衡通胀率，代表市场对长期通胀的押注。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第二部分：非数值风险因子</w:t>
      </w:r>
      <w:r>
        <w:rPr>
          <w:rFonts w:eastAsia="等线" w:ascii="Arial" w:cs="Arial" w:hAnsi="Arial"/>
          <w:sz w:val="22"/>
        </w:rPr>
        <w:t xml:space="preserve"> (</w:t>
      </w:r>
      <w:r>
        <w:rPr>
          <w:rFonts w:eastAsia="等线" w:ascii="Arial" w:cs="Arial" w:hAnsi="Arial"/>
          <w:b w:val="true"/>
          <w:sz w:val="22"/>
        </w:rPr>
        <w:t>需人工维护数据集</w:t>
      </w:r>
      <w:r>
        <w:rPr>
          <w:rFonts w:eastAsia="等线" w:ascii="Arial" w:cs="Arial" w:hAnsi="Arial"/>
          <w:sz w:val="22"/>
        </w:rPr>
        <w:t>)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因子类别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因子名称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数据搜集关键词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适用场景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特殊性说明与量化标准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地缘政治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突发战争/袭击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"Middle East Conflict",   "Oil facility attack", "Russia Ukraine War"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场景 1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 xml:space="preserve">   (二值型 + 衰减)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处理</w:t>
            </w:r>
            <w:r>
              <w:rPr>
                <w:rFonts w:eastAsia="等线" w:ascii="Arial" w:cs="Arial" w:hAnsi="Arial"/>
                <w:sz w:val="22"/>
              </w:rPr>
              <w:t>：</w:t>
              <w:br/>
              <w:t>事件发生日，记 1。</w:t>
              <w:br/>
            </w:r>
            <w:r>
              <w:rPr>
                <w:rFonts w:eastAsia="等线" w:ascii="Arial" w:cs="Arial" w:hAnsi="Arial"/>
                <w:sz w:val="22"/>
              </w:rPr>
              <w:t>利用代码中的 time_decay 让其在后续 7-14 天内自动衰减，模拟市场消化冲击的过程。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供给博弈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OPEC+ 决议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"OPEC meeting outcome",   "production cut quota"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场景 2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 xml:space="preserve">   (程度型)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处理</w:t>
            </w:r>
            <w:r>
              <w:rPr>
                <w:rFonts w:eastAsia="等线" w:ascii="Arial" w:cs="Arial" w:hAnsi="Arial"/>
                <w:sz w:val="22"/>
              </w:rPr>
              <w:t>：</w:t>
              <w:br/>
              <w:t>搜集会议结果。</w:t>
              <w:br/>
              <w:t>减产100万桶，记 +1.0 (利多)；</w:t>
              <w:br/>
              <w:t>增产/维持现状失望，记 -1.0 (利空)。</w:t>
              <w:br/>
            </w:r>
            <w:r>
              <w:rPr>
                <w:rFonts w:eastAsia="等线" w:ascii="Arial" w:cs="Arial" w:hAnsi="Arial"/>
                <w:sz w:val="22"/>
              </w:rPr>
              <w:t>无会议日，记 0。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突发灾害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极端天气/飓风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"Hurricane Gulf of Mexico oil   platform shut down"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场景 1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 xml:space="preserve">   (二值型)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处理</w:t>
            </w:r>
            <w:r>
              <w:rPr>
                <w:rFonts w:eastAsia="等线" w:ascii="Arial" w:cs="Arial" w:hAnsi="Arial"/>
                <w:sz w:val="22"/>
              </w:rPr>
              <w:t>：</w:t>
              <w:br/>
            </w:r>
            <w:r>
              <w:rPr>
                <w:rFonts w:eastAsia="等线" w:ascii="Arial" w:cs="Arial" w:hAnsi="Arial"/>
                <w:sz w:val="22"/>
              </w:rPr>
              <w:t>仅记录导致钻井平台关闭或港口停运的重大飓风登陆日，记 1。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长期政策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战略储备(SPR)释放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"US SPR release announcement"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场景 2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 xml:space="preserve">   (程度型)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处理</w:t>
            </w:r>
            <w:r>
              <w:rPr>
                <w:rFonts w:eastAsia="等线" w:ascii="Arial" w:cs="Arial" w:hAnsi="Arial"/>
                <w:sz w:val="22"/>
              </w:rPr>
              <w:t>：</w:t>
              <w:br/>
            </w:r>
            <w:r>
              <w:rPr>
                <w:rFonts w:eastAsia="等线" w:ascii="Arial" w:cs="Arial" w:hAnsi="Arial"/>
                <w:sz w:val="22"/>
              </w:rPr>
              <w:t>政府宣布抛储规模（如1.8亿桶），记 -1.8 (增加供给，利空)。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长期政策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制裁/解禁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"Iran Sanctions",   "Venezuela oil sanctions relief"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场景 3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 xml:space="preserve">   (趋势型)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处理</w:t>
            </w:r>
            <w:r>
              <w:rPr>
                <w:rFonts w:eastAsia="等线" w:ascii="Arial" w:cs="Arial" w:hAnsi="Arial"/>
                <w:sz w:val="22"/>
              </w:rPr>
              <w:t>：</w:t>
              <w:br/>
              <w:t>这是一个持续状态。</w:t>
              <w:br/>
              <w:t>制裁加码期间，记 1；制裁解除，记 0。</w:t>
              <w:br/>
            </w:r>
            <w:r>
              <w:rPr>
                <w:rFonts w:eastAsia="等线" w:ascii="Arial" w:cs="Arial" w:hAnsi="Arial"/>
                <w:sz w:val="22"/>
              </w:rPr>
              <w:t>让模型学习长期的压制效应。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2.3.2 事件/情绪因子量化（如果你们要做亮点）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工具/技术：</w:t>
      </w:r>
      <w:r>
        <w:rPr>
          <w:rFonts w:eastAsia="等线" w:ascii="Arial" w:cs="Arial" w:hAnsi="Arial"/>
          <w:sz w:val="22"/>
        </w:rPr>
        <w:t xml:space="preserve"> 新闻检索 + 事件字典/LLM 分类 + 强度打分</w:t>
        <w:br/>
      </w:r>
      <w:r>
        <w:rPr>
          <w:rFonts w:eastAsia="等线" w:ascii="Arial" w:cs="Arial" w:hAnsi="Arial"/>
          <w:b w:val="true"/>
          <w:sz w:val="22"/>
        </w:rPr>
        <w:t>实践步骤：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抓取能源相关新闻（按“油价、OPEC、制裁、航运”等关键词）。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分类：地缘/供给/需求/金融（用规则或小模型/LLM）。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量化：按日/周汇总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event_count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sentiment_mean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geo_risk_score</w:t>
      </w:r>
      <w:r>
        <w:rPr>
          <w:rFonts w:eastAsia="等线" w:ascii="Arial" w:cs="Arial" w:hAnsi="Arial"/>
          <w:sz w:val="22"/>
        </w:rPr>
        <w:t>（强度×可信来源权重）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对齐到同频数据集（周度聚合）。</w:t>
        <w:br/>
      </w:r>
      <w:r>
        <w:rPr>
          <w:rFonts w:eastAsia="等线" w:ascii="Arial" w:cs="Arial" w:hAnsi="Arial"/>
          <w:b w:val="true"/>
          <w:sz w:val="22"/>
        </w:rPr>
        <w:t>输出物：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event_features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2.4 整理得到数据集（样本构造 → 时间序列切分 → 回测框架 → 可复现导出）</w:t>
      </w:r>
      <w:bookmarkEnd w:id="1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2.4.1 标签构造（明确预测任务）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工具/技术：</w:t>
      </w:r>
      <w:r>
        <w:rPr>
          <w:rFonts w:eastAsia="等线" w:ascii="Arial" w:cs="Arial" w:hAnsi="Arial"/>
          <w:sz w:val="22"/>
        </w:rPr>
        <w:t xml:space="preserve"> 回归/分类标签生成器</w:t>
        <w:br/>
      </w:r>
      <w:r>
        <w:rPr>
          <w:rFonts w:eastAsia="等线" w:ascii="Arial" w:cs="Arial" w:hAnsi="Arial"/>
          <w:b w:val="true"/>
          <w:sz w:val="22"/>
        </w:rPr>
        <w:t>实践步骤：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设定目标：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回归：未来 1/2/4 周收益 yt+k=ln⁡(Pt+k/Pt)y_{t+k}=\ln(P_{t+k}/P_t)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分类：按分位数分三档（跌/震荡/涨）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生成多 horizon 标签（k 多个），方便后续比较。</w:t>
        <w:br/>
      </w:r>
      <w:r>
        <w:rPr>
          <w:rFonts w:eastAsia="等线" w:ascii="Arial" w:cs="Arial" w:hAnsi="Arial"/>
          <w:b w:val="true"/>
          <w:sz w:val="22"/>
        </w:rPr>
        <w:t>输出物：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labels_table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2.4.2 合并与切分（严格时间序列）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工具/技术：</w:t>
      </w:r>
      <w:r>
        <w:rPr>
          <w:rFonts w:eastAsia="等线" w:ascii="Arial" w:cs="Arial" w:hAnsi="Arial"/>
          <w:sz w:val="22"/>
        </w:rPr>
        <w:t xml:space="preserve"> as-of join、walk-forward 验证</w:t>
        <w:br/>
      </w:r>
      <w:r>
        <w:rPr>
          <w:rFonts w:eastAsia="等线" w:ascii="Arial" w:cs="Arial" w:hAnsi="Arial"/>
          <w:b w:val="true"/>
          <w:sz w:val="22"/>
        </w:rPr>
        <w:t>实践步骤：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features</w:t>
      </w:r>
      <w:r>
        <w:rPr>
          <w:rFonts w:eastAsia="等线" w:ascii="Arial" w:cs="Arial" w:hAnsi="Arial"/>
          <w:sz w:val="22"/>
        </w:rPr>
        <w:t xml:space="preserve"> 与 </w:t>
      </w:r>
      <w:r>
        <w:rPr>
          <w:rFonts w:eastAsia="Consolas" w:ascii="Consolas" w:cs="Consolas" w:hAnsi="Consolas"/>
          <w:sz w:val="22"/>
          <w:shd w:fill="EFF0F1"/>
        </w:rPr>
        <w:t>labels</w:t>
      </w:r>
      <w:r>
        <w:rPr>
          <w:rFonts w:eastAsia="等线" w:ascii="Arial" w:cs="Arial" w:hAnsi="Arial"/>
          <w:sz w:val="22"/>
        </w:rPr>
        <w:t xml:space="preserve"> 以时间对齐合并，删掉未来不可用特征。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切分：Train（早期）/Valid（中期）/Test（最新）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回测：Walk-forward（每滚动一步重新训练，输出真实预测序列）。</w:t>
        <w:br/>
      </w:r>
      <w:r>
        <w:rPr>
          <w:rFonts w:eastAsia="等线" w:ascii="Arial" w:cs="Arial" w:hAnsi="Arial"/>
          <w:b w:val="true"/>
          <w:sz w:val="22"/>
        </w:rPr>
        <w:t>输出物：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train/valid/test</w:t>
      </w:r>
      <w:r>
        <w:rPr>
          <w:rFonts w:eastAsia="等线" w:ascii="Arial" w:cs="Arial" w:hAnsi="Arial"/>
          <w:sz w:val="22"/>
        </w:rPr>
        <w:t xml:space="preserve"> + </w:t>
      </w:r>
      <w:r>
        <w:rPr>
          <w:rFonts w:eastAsia="Consolas" w:ascii="Consolas" w:cs="Consolas" w:hAnsi="Consolas"/>
          <w:sz w:val="22"/>
          <w:shd w:fill="EFF0F1"/>
        </w:rPr>
        <w:t>backtest_predictions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2.4.3 最终交付的数据集格式（可直接写PPT）</w:t>
      </w:r>
      <w:bookmarkEnd w:id="17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行：时间（周度）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列：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X_*</w:t>
      </w:r>
      <w:r>
        <w:rPr>
          <w:rFonts w:eastAsia="等线" w:ascii="Arial" w:cs="Arial" w:hAnsi="Arial"/>
          <w:sz w:val="22"/>
        </w:rPr>
        <w:t>：因子特征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y_k</w:t>
      </w:r>
      <w:r>
        <w:rPr>
          <w:rFonts w:eastAsia="等线" w:ascii="Arial" w:cs="Arial" w:hAnsi="Arial"/>
          <w:sz w:val="22"/>
        </w:rPr>
        <w:t>：多期限标签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avail_flag</w:t>
      </w:r>
      <w:r>
        <w:rPr>
          <w:rFonts w:eastAsia="等线" w:ascii="Arial" w:cs="Arial" w:hAnsi="Arial"/>
          <w:sz w:val="22"/>
        </w:rPr>
        <w:t>：可用性标记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source_meta</w:t>
      </w:r>
      <w:r>
        <w:rPr>
          <w:rFonts w:eastAsia="等线" w:ascii="Arial" w:cs="Arial" w:hAnsi="Arial"/>
          <w:sz w:val="22"/>
        </w:rPr>
        <w:t>：可选（用于审计）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二、模型训练</w:t>
      </w:r>
      <w:bookmarkEnd w:id="1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目标变量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未来 N 天的收益率：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335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预处理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补充因子池——</w:t>
      </w:r>
      <w:r>
        <w:rPr>
          <w:rFonts w:eastAsia="等线" w:ascii="Arial" w:cs="Arial" w:hAnsi="Arial"/>
          <w:b w:val="true"/>
          <w:sz w:val="30"/>
        </w:rPr>
        <w:t>特征交互 (Feature Interaction),代详细处理，现仅提供思路参考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核心逻辑是：</w:t>
      </w:r>
      <w:r>
        <w:rPr>
          <w:rFonts w:eastAsia="等线" w:ascii="Arial" w:cs="Arial" w:hAnsi="Arial"/>
          <w:b w:val="true"/>
          <w:sz w:val="22"/>
        </w:rPr>
        <w:t>“环境决定因子效力”</w:t>
      </w:r>
      <w:r>
        <w:rPr>
          <w:rFonts w:eastAsia="等线" w:ascii="Arial" w:cs="Arial" w:hAnsi="Arial"/>
          <w:sz w:val="22"/>
        </w:rPr>
        <w:t>（Context is King)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 xml:space="preserve"> 1，“脆弱性冲击”因子 (Vulnerability Shock)</w:t>
      </w:r>
      <w:bookmarkEnd w:id="22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交互对象</w:t>
      </w:r>
      <w:r>
        <w:rPr>
          <w:rFonts w:eastAsia="等线" w:ascii="Arial" w:cs="Arial" w:hAnsi="Arial"/>
          <w:sz w:val="22"/>
        </w:rPr>
        <w:t>：Event_War_Shock (地缘政治) with Inventory_Level (库存)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构造公式（需要考虑</w:t>
      </w:r>
      <w:r>
        <w:rPr>
          <w:rFonts w:eastAsia="等线" w:ascii="Arial" w:cs="Arial" w:hAnsi="Arial"/>
          <w:b w:val="true"/>
          <w:sz w:val="22"/>
        </w:rPr>
        <w:t>量纲</w:t>
      </w:r>
      <w:r>
        <w:rPr>
          <w:rFonts w:eastAsia="等线" w:ascii="Arial" w:cs="Arial" w:hAnsi="Arial"/>
          <w:sz w:val="22"/>
        </w:rPr>
        <w:t>）：有待商榷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商业逻辑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低库存会放大供应中断的恐惧。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2，</w:t>
      </w:r>
      <w:r>
        <w:rPr>
          <w:rFonts w:eastAsia="等线" w:ascii="Arial" w:cs="Arial" w:hAnsi="Arial"/>
          <w:b w:val="true"/>
          <w:sz w:val="28"/>
        </w:rPr>
        <w:t>“恐慌共振”因子 (Panic Resonance)</w:t>
      </w:r>
      <w:bookmarkEnd w:id="23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交互对象</w:t>
      </w:r>
      <w:r>
        <w:rPr>
          <w:rFonts w:eastAsia="等线" w:ascii="Arial" w:cs="Arial" w:hAnsi="Arial"/>
          <w:sz w:val="22"/>
        </w:rPr>
        <w:t xml:space="preserve">：Event_Extreme_Weather (飓风) with OVX (原油波动率) </w:t>
      </w:r>
      <w:r>
        <w:rPr>
          <w:rFonts w:eastAsia="等线" w:ascii="Arial" w:cs="Arial" w:hAnsi="Arial"/>
          <w:b w:val="true"/>
          <w:sz w:val="22"/>
        </w:rPr>
        <w:t>举的例子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构造公式：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商业逻辑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恐慌会自我强化。</w:t>
      </w:r>
      <w:r>
        <w:rPr>
          <w:rFonts w:eastAsia="等线" w:ascii="Arial" w:cs="Arial" w:hAnsi="Arial"/>
          <w:sz w:val="22"/>
        </w:rPr>
        <w:t xml:space="preserve"> 如果市场已经很恐慌（OVX 高），此时飓风来袭，算法交易和对冲基金会过度反应，导致价格超调。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3，“供需紧缺度”因子 (Tightness Indicator)</w:t>
      </w:r>
      <w:bookmarkEnd w:id="24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交互对象</w:t>
      </w:r>
      <w:r>
        <w:rPr>
          <w:rFonts w:eastAsia="等线" w:ascii="Arial" w:cs="Arial" w:hAnsi="Arial"/>
          <w:sz w:val="22"/>
        </w:rPr>
        <w:t>：Term_Structure (现货期货价差)  with Crack_Spread (裂解价差)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构造公式：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商业逻辑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Term_Structure &gt; 0 (Backwardation) = 现货缺。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Crack_Spread &gt; 0 (高利润) = 炼厂想买。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</w:t>
      </w:r>
      <w:r>
        <w:rPr>
          <w:rFonts w:eastAsia="等线" w:ascii="Arial" w:cs="Arial" w:hAnsi="Arial"/>
          <w:b w:val="true"/>
          <w:sz w:val="22"/>
        </w:rPr>
        <w:t>现货缺</w:t>
      </w:r>
      <w:r>
        <w:rPr>
          <w:rFonts w:eastAsia="等线" w:ascii="Arial" w:cs="Arial" w:hAnsi="Arial"/>
          <w:sz w:val="22"/>
        </w:rPr>
        <w:t xml:space="preserve"> 且 </w:t>
      </w:r>
      <w:r>
        <w:rPr>
          <w:rFonts w:eastAsia="等线" w:ascii="Arial" w:cs="Arial" w:hAnsi="Arial"/>
          <w:b w:val="true"/>
          <w:sz w:val="22"/>
        </w:rPr>
        <w:t>买家想买</w:t>
      </w:r>
      <w:r>
        <w:rPr>
          <w:rFonts w:eastAsia="等线" w:ascii="Arial" w:cs="Arial" w:hAnsi="Arial"/>
          <w:sz w:val="22"/>
        </w:rPr>
        <w:t>，这是最强的</w:t>
      </w:r>
      <w:r>
        <w:rPr>
          <w:rFonts w:eastAsia="等线" w:ascii="Arial" w:cs="Arial" w:hAnsi="Arial"/>
          <w:b w:val="true"/>
          <w:sz w:val="22"/>
        </w:rPr>
        <w:t>双重利多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补充因子池——</w:t>
      </w:r>
      <w:r>
        <w:rPr>
          <w:rFonts w:eastAsia="等线" w:ascii="Arial" w:cs="Arial" w:hAnsi="Arial"/>
          <w:b w:val="true"/>
          <w:sz w:val="30"/>
        </w:rPr>
        <w:t>滞后处理 (Lagging)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金融市场存在记忆性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1，数值因子的滞后处理</w:t>
      </w:r>
      <w:r>
        <w:rPr>
          <w:rFonts w:eastAsia="等线" w:ascii="Arial" w:cs="Arial" w:hAnsi="Arial"/>
          <w:b w:val="true"/>
          <w:sz w:val="28"/>
        </w:rPr>
        <w:t>因子</w:t>
      </w:r>
      <w:bookmarkEnd w:id="26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Lag 1 (T-1)</w:t>
      </w:r>
      <w:r>
        <w:rPr>
          <w:rFonts w:eastAsia="等线" w:ascii="Arial" w:cs="Arial" w:hAnsi="Arial"/>
          <w:sz w:val="22"/>
        </w:rPr>
        <w:t>：昨天的值。捕捉</w:t>
      </w:r>
      <w:r>
        <w:rPr>
          <w:rFonts w:eastAsia="等线" w:ascii="Arial" w:cs="Arial" w:hAnsi="Arial"/>
          <w:b w:val="true"/>
          <w:sz w:val="22"/>
        </w:rPr>
        <w:t>即时反应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Lag 5 (T-5)</w:t>
      </w:r>
      <w:r>
        <w:rPr>
          <w:rFonts w:eastAsia="等线" w:ascii="Arial" w:cs="Arial" w:hAnsi="Arial"/>
          <w:sz w:val="22"/>
        </w:rPr>
        <w:t>：一周前的值（交易日通常按5天算）。捕捉</w:t>
      </w:r>
      <w:r>
        <w:rPr>
          <w:rFonts w:eastAsia="等线" w:ascii="Arial" w:cs="Arial" w:hAnsi="Arial"/>
          <w:b w:val="true"/>
          <w:sz w:val="22"/>
        </w:rPr>
        <w:t>周度趋势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Lag 20 (T-20)</w:t>
      </w:r>
      <w:r>
        <w:rPr>
          <w:rFonts w:eastAsia="等线" w:ascii="Arial" w:cs="Arial" w:hAnsi="Arial"/>
          <w:sz w:val="22"/>
        </w:rPr>
        <w:t>：一个月前的值。捕捉</w:t>
      </w:r>
      <w:r>
        <w:rPr>
          <w:rFonts w:eastAsia="等线" w:ascii="Arial" w:cs="Arial" w:hAnsi="Arial"/>
          <w:b w:val="true"/>
          <w:sz w:val="22"/>
        </w:rPr>
        <w:t>月度趋势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同时，除了单纯的 Lag，还可以引入 </w:t>
      </w:r>
      <w:r>
        <w:rPr>
          <w:rFonts w:eastAsia="等线" w:ascii="Arial" w:cs="Arial" w:hAnsi="Arial"/>
          <w:b w:val="true"/>
          <w:sz w:val="22"/>
        </w:rPr>
        <w:t>Rolling Window（滚动窗口统计）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Rolling_Mean_5：过去5天的平均值（平滑噪点，看清趋势）。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Rolling_Std_5：过去5天的波动率（捕捉近期市场的焦虑程度）。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2，非数值因子的滞后处理</w:t>
      </w:r>
      <w:r>
        <w:rPr>
          <w:rFonts w:eastAsia="等线" w:ascii="Arial" w:cs="Arial" w:hAnsi="Arial"/>
          <w:b w:val="true"/>
          <w:sz w:val="28"/>
        </w:rPr>
        <w:t>因子</w:t>
      </w:r>
      <w:bookmarkEnd w:id="27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8" w:id="28"/>
      <w:r>
        <w:rPr>
          <w:rFonts w:eastAsia="等线" w:ascii="Arial" w:cs="Arial" w:hAnsi="Arial"/>
          <w:b w:val="true"/>
          <w:sz w:val="24"/>
        </w:rPr>
        <w:t>情况</w:t>
      </w:r>
      <w:r>
        <w:rPr>
          <w:rFonts w:eastAsia="等线" w:ascii="Arial" w:cs="Arial" w:hAnsi="Arial"/>
          <w:b w:val="true"/>
          <w:sz w:val="24"/>
        </w:rPr>
        <w:t xml:space="preserve"> A：</w:t>
      </w:r>
      <w:bookmarkEnd w:id="28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b w:val="true"/>
          <w:sz w:val="22"/>
        </w:rPr>
        <w:t>利用已经做好的“衰减因子” (Best Practice)</w:t>
      </w:r>
      <w:r>
        <w:rPr>
          <w:rFonts w:eastAsia="等线" w:ascii="Arial" w:cs="Arial" w:hAnsi="Arial"/>
          <w:sz w:val="22"/>
        </w:rPr>
        <w:t xml:space="preserve"> ，已经有了 Event_War_Shock 的</w:t>
      </w:r>
      <w:r>
        <w:rPr>
          <w:rFonts w:eastAsia="等线" w:ascii="Arial" w:cs="Arial" w:hAnsi="Arial"/>
          <w:b w:val="true"/>
          <w:sz w:val="22"/>
        </w:rPr>
        <w:t>衰减逻辑</w:t>
      </w:r>
      <w:r>
        <w:rPr>
          <w:rFonts w:eastAsia="等线" w:ascii="Arial" w:cs="Arial" w:hAnsi="Arial"/>
          <w:sz w:val="22"/>
        </w:rPr>
        <w:t>（1.0 -&gt; 0.9 -&gt; 0.8...）。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实际上，这个衰减序列本身就包含了“滞后信息”！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当今天的 War_Shock 是 0.8 时，模型不需要看 Lag 1，它看到 0.8 就知道：“哦，这说明大概 2-3 天前发生过大事，现在余波还在。”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</w:t>
      </w:r>
      <w:r>
        <w:rPr>
          <w:rFonts w:eastAsia="等线" w:ascii="Arial" w:cs="Arial" w:hAnsi="Arial"/>
          <w:sz w:val="22"/>
        </w:rPr>
        <w:t>：对于自带衰减逻辑的 NLP 因子，</w:t>
      </w:r>
      <w:r>
        <w:rPr>
          <w:rFonts w:eastAsia="等线" w:ascii="Arial" w:cs="Arial" w:hAnsi="Arial"/>
          <w:b w:val="true"/>
          <w:sz w:val="22"/>
        </w:rPr>
        <w:t>不需要</w:t>
      </w:r>
      <w:r>
        <w:rPr>
          <w:rFonts w:eastAsia="等线" w:ascii="Arial" w:cs="Arial" w:hAnsi="Arial"/>
          <w:sz w:val="22"/>
        </w:rPr>
        <w:t>做额外的 shift 滞后，直接用当天的衰减值即可。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9" w:id="29"/>
      <w:r>
        <w:rPr>
          <w:rFonts w:eastAsia="等线" w:ascii="Arial" w:cs="Arial" w:hAnsi="Arial"/>
          <w:b w:val="true"/>
          <w:sz w:val="24"/>
        </w:rPr>
        <w:t>情况</w:t>
      </w:r>
      <w:r>
        <w:rPr>
          <w:rFonts w:eastAsia="等线" w:ascii="Arial" w:cs="Arial" w:hAnsi="Arial"/>
          <w:b w:val="true"/>
          <w:sz w:val="24"/>
        </w:rPr>
        <w:t xml:space="preserve"> B：</w:t>
      </w:r>
      <w:bookmarkEnd w:id="29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b w:val="true"/>
          <w:sz w:val="22"/>
        </w:rPr>
        <w:t>累计窗口统计 (针对未衰减的 0/1 事件)</w:t>
      </w:r>
      <w:r>
        <w:rPr>
          <w:rFonts w:eastAsia="等线" w:ascii="Arial" w:cs="Arial" w:hAnsi="Arial"/>
          <w:sz w:val="22"/>
        </w:rPr>
        <w:t xml:space="preserve"> ，需要做 </w:t>
      </w:r>
      <w:r>
        <w:rPr>
          <w:rFonts w:eastAsia="等线" w:ascii="Arial" w:cs="Arial" w:hAnsi="Arial"/>
          <w:b w:val="true"/>
          <w:sz w:val="22"/>
        </w:rPr>
        <w:t>Rolling Sum（滚动求和）</w:t>
      </w:r>
      <w:r>
        <w:rPr>
          <w:rFonts w:eastAsia="等线" w:ascii="Arial" w:cs="Arial" w:hAnsi="Arial"/>
          <w:sz w:val="22"/>
        </w:rPr>
        <w:t>：举例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特征名</w:t>
      </w:r>
      <w:r>
        <w:rPr>
          <w:rFonts w:eastAsia="等线" w:ascii="Arial" w:cs="Arial" w:hAnsi="Arial"/>
          <w:sz w:val="22"/>
        </w:rPr>
        <w:t>：Sanction_Count_7D (过去7天制裁提及次数)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</w:t>
      </w:r>
      <w:r>
        <w:rPr>
          <w:rFonts w:eastAsia="等线" w:ascii="Arial" w:cs="Arial" w:hAnsi="Arial"/>
          <w:sz w:val="22"/>
        </w:rPr>
        <w:t>：df['Sanction'].rolling(window=7).sum()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意义</w:t>
      </w:r>
      <w:r>
        <w:rPr>
          <w:rFonts w:eastAsia="等线" w:ascii="Arial" w:cs="Arial" w:hAnsi="Arial"/>
          <w:sz w:val="22"/>
        </w:rPr>
        <w:t>：告诉模型“过去一周密集发布了 3 次制裁”，这比单看“昨天没发布”更有意义。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预训练，过滤因子（特征筛选 ）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筛选 -&gt; 降维 -&gt; 作为一个整体输入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现有特征：</w:t>
      </w:r>
      <w:bookmarkEnd w:id="31"/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原始特征：Price, Inventory, War_Shock, DXY...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滞后特征：Price_Lag1, Inventory_Lag5...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交互特征：Inventory_x_War, Panic_Resonance...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相关性过滤 (Correlation Filter)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举例：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先计算所有特征与目标变量（</w:t>
      </w:r>
      <w:r>
        <w:rPr>
          <w:rFonts w:eastAsia="Consolas" w:ascii="Consolas" w:cs="Consolas" w:hAnsi="Consolas"/>
          <w:sz w:val="22"/>
          <w:shd w:fill="EFF0F1"/>
        </w:rPr>
        <w:t>Return_NextDay</w:t>
      </w:r>
      <w:r>
        <w:rPr>
          <w:rFonts w:eastAsia="等线" w:ascii="Arial" w:cs="Arial" w:hAnsi="Arial"/>
          <w:sz w:val="22"/>
        </w:rPr>
        <w:t>）的相关系数。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保留与目标变量相关性高（绝对值 &gt; 0.05）的特征。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去除彼此之间相关性极高（&gt; 0.95）的冗余特征（只保留一个）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基于树模型的特征重要性筛选 (Embedded Method)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用一个简单的 XGBoost（含有</w:t>
      </w:r>
      <w:r>
        <w:rPr>
          <w:rFonts w:eastAsia="Consolas" w:ascii="Consolas" w:cs="Consolas" w:hAnsi="Consolas"/>
          <w:sz w:val="22"/>
          <w:shd w:fill="EFF0F1"/>
        </w:rPr>
        <w:t>feature_importances_</w:t>
      </w:r>
      <w:r>
        <w:rPr>
          <w:rFonts w:eastAsia="等线" w:ascii="Arial" w:cs="Arial" w:hAnsi="Arial"/>
          <w:sz w:val="22"/>
        </w:rPr>
        <w:t>） 先跑一遍，让模型告诉我们哪些交互特征是真的有用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模型选择与架构</w:t>
      </w:r>
      <w:bookmarkEnd w:id="3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核心架构图 (The Architecture)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“树模型 + 线性模型”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Layer 1 (基模型/Base Learners)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Model A: XGBoost (或 LightGBM)</w:t>
      </w:r>
      <w:r>
        <w:rPr>
          <w:rFonts w:eastAsia="等线" w:ascii="Arial" w:cs="Arial" w:hAnsi="Arial"/>
          <w:sz w:val="22"/>
        </w:rPr>
        <w:t xml:space="preserve"> —— 主力军。擅长处理非线性关系、交互特征（库存x战争）和离散数据（NLP 0/1 事件）。</w:t>
      </w:r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Model B: Ridge Regression (岭回归)</w:t>
      </w:r>
      <w:r>
        <w:rPr>
          <w:rFonts w:eastAsia="等线" w:ascii="Arial" w:cs="Arial" w:hAnsi="Arial"/>
          <w:sz w:val="22"/>
        </w:rPr>
        <w:t xml:space="preserve"> —— 辅助军。擅长捕捉简单的线性趋势，防止树模型在极端值上过拟合。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Layer 2 (元模型/Meta Learner)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Linear Regression</w:t>
      </w:r>
      <w:r>
        <w:rPr>
          <w:rFonts w:eastAsia="等线" w:ascii="Arial" w:cs="Arial" w:hAnsi="Arial"/>
          <w:sz w:val="22"/>
        </w:rPr>
        <w:t xml:space="preserve"> —— 裁判员。负责给 Model A 和 Model B 分配权重，输出最终预测值。</w:t>
      </w: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具体模型配置与数学原理</w:t>
      </w:r>
      <w:bookmarkEnd w:id="36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1. 主力模型：XGBoost (eXtreme Gradient Boosting)</w:t>
      </w:r>
    </w:p>
    <w:p>
      <w:pPr>
        <w:numPr>
          <w:numId w:val="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角色</w:t>
      </w:r>
      <w:r>
        <w:rPr>
          <w:rFonts w:eastAsia="等线" w:ascii="Arial" w:cs="Arial" w:hAnsi="Arial"/>
          <w:sz w:val="22"/>
        </w:rPr>
        <w:t>：负责挖掘复杂的因子关系（如“库存低时，战争影响大”）。</w:t>
      </w:r>
    </w:p>
    <w:p>
      <w:pPr>
        <w:numPr>
          <w:numId w:val="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关键超参数 (Hyperparameters)，具体参数仅供参考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max_depth: 建议设置较小（如 3-5）。避免模型太复杂，记住太多噪音。</w:t>
      </w:r>
    </w:p>
    <w:p>
      <w:pPr>
        <w:numPr>
          <w:numId w:val="8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learning_rate (eta): 0.01 - 0.05。步子迈小点，多走几步（n_estimators 设大一点），这样收敛更稳。</w:t>
      </w:r>
    </w:p>
    <w:p>
      <w:pPr>
        <w:numPr>
          <w:numId w:val="8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subsample: 0.8。每次只用 80% 的数据训练，增加随机性，防过拟合。</w:t>
      </w:r>
    </w:p>
    <w:p>
      <w:pPr>
        <w:numPr>
          <w:numId w:val="8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重点参数</w:t>
      </w:r>
      <w:r>
        <w:rPr>
          <w:rFonts w:eastAsia="等线" w:ascii="Arial" w:cs="Arial" w:hAnsi="Arial"/>
          <w:sz w:val="22"/>
        </w:rPr>
        <w:t>：monotone_constraints（单调性约束）。</w:t>
      </w:r>
      <w:r>
        <w:rPr>
          <w:rFonts w:eastAsia="等线" w:ascii="Arial" w:cs="Arial" w:hAnsi="Arial"/>
          <w:b w:val="true"/>
          <w:sz w:val="22"/>
        </w:rPr>
        <w:t>这是加分项！</w:t>
      </w:r>
    </w:p>
    <w:p>
      <w:pPr>
        <w:numPr>
          <w:numId w:val="88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b w:val="true"/>
          <w:sz w:val="22"/>
        </w:rPr>
        <w:t>逻辑</w:t>
      </w:r>
      <w:r>
        <w:rPr>
          <w:rFonts w:eastAsia="等线" w:ascii="Arial" w:cs="Arial" w:hAnsi="Arial"/>
          <w:sz w:val="22"/>
        </w:rPr>
        <w:t>：可以强制告诉模型：“库存（Inventory）增加，油价必须下跌”。</w:t>
      </w:r>
    </w:p>
    <w:p>
      <w:pPr>
        <w:numPr>
          <w:numId w:val="89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b w:val="true"/>
          <w:sz w:val="22"/>
        </w:rPr>
        <w:t>设置</w:t>
      </w:r>
      <w:r>
        <w:rPr>
          <w:rFonts w:eastAsia="等线" w:ascii="Arial" w:cs="Arial" w:hAnsi="Arial"/>
          <w:sz w:val="22"/>
        </w:rPr>
        <w:t>：constraint = {'Inventory': -1}。这能保证模型不会学出“库存越高油价越涨”这种违反经济学常识的逻辑（评委非常看重这一点）。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2. 分位数回归 (Quantile Regression) —— 生成风险区间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普通模型用 MSE (均方误差) 训练，只能预测由期望值（Mean）。我们要预测“风险区间”，需要修改</w:t>
      </w:r>
      <w:r>
        <w:rPr>
          <w:rFonts w:eastAsia="等线" w:ascii="Arial" w:cs="Arial" w:hAnsi="Arial"/>
          <w:b w:val="true"/>
          <w:sz w:val="22"/>
        </w:rPr>
        <w:t>损失函数 (Loss Function)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我们需要训练</w:t>
      </w:r>
      <w:r>
        <w:rPr>
          <w:rFonts w:eastAsia="等线" w:ascii="Arial" w:cs="Arial" w:hAnsi="Arial"/>
          <w:b w:val="true"/>
          <w:sz w:val="22"/>
        </w:rPr>
        <w:t>三个独立的 XGBoost 模型</w:t>
      </w:r>
      <w:r>
        <w:rPr>
          <w:rFonts w:eastAsia="等线" w:ascii="Arial" w:cs="Arial" w:hAnsi="Arial"/>
          <w:sz w:val="22"/>
        </w:rPr>
        <w:t>，分别针对三个分位数（Quantiles）：</w:t>
      </w:r>
    </w:p>
    <w:p>
      <w:pPr>
        <w:numPr>
          <w:numId w:val="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 xml:space="preserve">Upper Model </w:t>
      </w:r>
    </w:p>
    <w:p>
      <w:pPr>
        <w:spacing w:before="120" w:after="120" w:line="288" w:lineRule="auto"/>
        <w:ind w:left="907"/>
        <w:jc w:val="center"/>
      </w:pPr>
      <w:r>
        <w:drawing>
          <wp:inline distT="0" distR="0" distB="0" distL="0">
            <wp:extent cx="762000" cy="2857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预测价格的</w:t>
      </w:r>
      <w:r>
        <w:rPr>
          <w:rFonts w:eastAsia="等线" w:ascii="Arial" w:cs="Arial" w:hAnsi="Arial"/>
          <w:b w:val="true"/>
          <w:sz w:val="22"/>
        </w:rPr>
        <w:t>上界</w:t>
      </w:r>
      <w:r>
        <w:rPr>
          <w:rFonts w:eastAsia="等线" w:ascii="Arial" w:cs="Arial" w:hAnsi="Arial"/>
          <w:sz w:val="22"/>
        </w:rPr>
        <w:t>（95%概率不会超过这个价）。</w:t>
      </w:r>
    </w:p>
    <w:p>
      <w:pPr>
        <w:numPr>
          <w:numId w:val="9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损失函数：</w:t>
      </w:r>
    </w:p>
    <w:p>
      <w:pPr>
        <w:spacing w:before="120" w:after="120" w:line="288" w:lineRule="auto"/>
        <w:ind w:left="907"/>
        <w:jc w:val="center"/>
      </w:pPr>
      <w:r>
        <w:drawing>
          <wp:inline distT="0" distR="0" distB="0" distL="0">
            <wp:extent cx="3686175" cy="2857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9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这就好比告诉模型：预测偏低了要重罚，预测偏高了罚得轻。</w:t>
      </w:r>
    </w:p>
    <w:p>
      <w:pPr>
        <w:numPr>
          <w:numId w:val="9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Lower Model (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762000" cy="2857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预测价格的</w:t>
      </w:r>
      <w:r>
        <w:rPr>
          <w:rFonts w:eastAsia="等线" w:ascii="Arial" w:cs="Arial" w:hAnsi="Arial"/>
          <w:b w:val="true"/>
          <w:sz w:val="22"/>
        </w:rPr>
        <w:t>下界</w:t>
      </w:r>
      <w:r>
        <w:rPr>
          <w:rFonts w:eastAsia="等线" w:ascii="Arial" w:cs="Arial" w:hAnsi="Arial"/>
          <w:sz w:val="22"/>
        </w:rPr>
        <w:t>（95%概率不会低于这个价）。</w:t>
      </w:r>
    </w:p>
    <w:p>
      <w:pPr>
        <w:numPr>
          <w:numId w:val="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Median Model (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762000" cy="2857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预测</w:t>
      </w:r>
      <w:r>
        <w:rPr>
          <w:rFonts w:eastAsia="等线" w:ascii="Arial" w:cs="Arial" w:hAnsi="Arial"/>
          <w:b w:val="true"/>
          <w:sz w:val="22"/>
        </w:rPr>
        <w:t>中位数</w:t>
      </w:r>
      <w:r>
        <w:rPr>
          <w:rFonts w:eastAsia="等线" w:ascii="Arial" w:cs="Arial" w:hAnsi="Arial"/>
          <w:sz w:val="22"/>
        </w:rPr>
        <w:t>（最可能的走势）。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输出结果</w:t>
      </w:r>
      <w:r>
        <w:rPr>
          <w:rFonts w:eastAsia="等线" w:ascii="Arial" w:cs="Arial" w:hAnsi="Arial"/>
          <w:sz w:val="22"/>
        </w:rPr>
        <w:t xml:space="preserve">：你会得到一个带状区间 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1400175" cy="2857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如果这个带宽很宽，说明模型对未来极其不确定（High Risk）；如果很窄，说明模型很有信心。</w:t>
      </w:r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37" w:id="37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回测与准确性验证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下面我把你们 1~5 点</w:t>
      </w:r>
      <w:r>
        <w:rPr>
          <w:rFonts w:eastAsia="等线" w:ascii="Arial" w:cs="Arial" w:hAnsi="Arial"/>
          <w:b w:val="true"/>
          <w:sz w:val="22"/>
        </w:rPr>
        <w:t>整理成可落地、工具链清晰</w:t>
      </w:r>
      <w:r>
        <w:rPr>
          <w:rFonts w:eastAsia="等线" w:ascii="Arial" w:cs="Arial" w:hAnsi="Arial"/>
          <w:sz w:val="22"/>
        </w:rPr>
        <w:t>的“结果输出（Result Delivery）技术路线”文字，并把你们表述里需要纠正/加强的地方一并修正。文末先给</w:t>
      </w:r>
      <w:r>
        <w:rPr>
          <w:rFonts w:eastAsia="等线" w:ascii="Arial" w:cs="Arial" w:hAnsi="Arial"/>
          <w:b w:val="true"/>
          <w:sz w:val="22"/>
        </w:rPr>
        <w:t>简短“我修改补充了什么”</w:t>
      </w:r>
      <w:r>
        <w:rPr>
          <w:rFonts w:eastAsia="等线" w:ascii="Arial" w:cs="Arial" w:hAnsi="Arial"/>
          <w:sz w:val="22"/>
        </w:rPr>
        <w:t>，再给一段</w:t>
      </w:r>
      <w:r>
        <w:rPr>
          <w:rFonts w:eastAsia="等线" w:ascii="Arial" w:cs="Arial" w:hAnsi="Arial"/>
          <w:b w:val="true"/>
          <w:sz w:val="22"/>
        </w:rPr>
        <w:t>可直接复制进技术文档</w:t>
      </w:r>
      <w:r>
        <w:rPr>
          <w:rFonts w:eastAsia="等线" w:ascii="Arial" w:cs="Arial" w:hAnsi="Arial"/>
          <w:sz w:val="22"/>
        </w:rPr>
        <w:t>的完整版。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8" w:id="38"/>
      <w:r>
        <w:rPr>
          <w:rFonts w:eastAsia="等线" w:ascii="Arial" w:cs="Arial" w:hAnsi="Arial"/>
          <w:b w:val="true"/>
          <w:sz w:val="36"/>
        </w:rPr>
        <w:t>三、结果输出（Result Delivery）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本项目的结果输出模块目标是将“训练好的油价预测模型”以</w:t>
      </w:r>
      <w:r>
        <w:rPr>
          <w:rFonts w:eastAsia="等线" w:ascii="Arial" w:cs="Arial" w:hAnsi="Arial"/>
          <w:b w:val="true"/>
          <w:sz w:val="22"/>
        </w:rPr>
        <w:t>在线推理服务</w:t>
      </w:r>
      <w:r>
        <w:rPr>
          <w:rFonts w:eastAsia="等线" w:ascii="Arial" w:cs="Arial" w:hAnsi="Arial"/>
          <w:sz w:val="22"/>
        </w:rPr>
        <w:t>形式对外提供，并在用户上传符合因子格式的数据后，自动生成包含</w:t>
      </w:r>
      <w:r>
        <w:rPr>
          <w:rFonts w:eastAsia="等线" w:ascii="Arial" w:cs="Arial" w:hAnsi="Arial"/>
          <w:b w:val="true"/>
          <w:sz w:val="22"/>
        </w:rPr>
        <w:t>预测走势、行业冲击信号、可解释结论与专家级解读</w:t>
      </w:r>
      <w:r>
        <w:rPr>
          <w:rFonts w:eastAsia="等线" w:ascii="Arial" w:cs="Arial" w:hAnsi="Arial"/>
          <w:sz w:val="22"/>
        </w:rPr>
        <w:t>的可视化报告。整体链路分为“模型服务化部署—Web 前端交互—推理与后处理—解释层（知识图谱+模型解释）—报告生成（LLM 增强）”五个子模块。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3.1 呈现形式（在线系统 + JSON 推理接口）</w:t>
      </w:r>
      <w:bookmarkEnd w:id="3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3.1.1 模型服务化部署（JSON in / JSON out）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（1）推理模型导出（训练产物 → 推理产物）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为保证线上推理性能与跨环境可部署性，训练结束后需先将模型导出</w:t>
      </w:r>
      <w:r>
        <w:rPr>
          <w:rFonts w:eastAsia="等线" w:ascii="Arial" w:cs="Arial" w:hAnsi="Arial"/>
          <w:sz w:val="22"/>
        </w:rPr>
        <w:t>为飞桨推理格式：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若为动态图训练：将模型转为静态图并使用 </w:t>
      </w:r>
      <w:r>
        <w:rPr>
          <w:rFonts w:eastAsia="Consolas" w:ascii="Consolas" w:cs="Consolas" w:hAnsi="Consolas"/>
          <w:sz w:val="22"/>
          <w:shd w:fill="EFF0F1"/>
        </w:rPr>
        <w:t>paddle.jit.save</w:t>
      </w:r>
      <w:r>
        <w:rPr>
          <w:rFonts w:eastAsia="等线" w:ascii="Arial" w:cs="Arial" w:hAnsi="Arial"/>
          <w:sz w:val="22"/>
        </w:rPr>
        <w:t xml:space="preserve"> 导出推理模型；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若为静态图训练：使用 </w:t>
      </w:r>
      <w:r>
        <w:rPr>
          <w:rFonts w:eastAsia="Consolas" w:ascii="Consolas" w:cs="Consolas" w:hAnsi="Consolas"/>
          <w:sz w:val="22"/>
          <w:shd w:fill="EFF0F1"/>
        </w:rPr>
        <w:t>paddle.static.save_inference_model</w:t>
      </w:r>
      <w:r>
        <w:rPr>
          <w:rFonts w:eastAsia="等线" w:ascii="Arial" w:cs="Arial" w:hAnsi="Arial"/>
          <w:sz w:val="22"/>
        </w:rPr>
        <w:t xml:space="preserve"> 导出推理模型。(</w:t>
      </w:r>
      <w:hyperlink r:id="rId11">
        <w:r>
          <w:rPr>
            <w:rFonts w:eastAsia="等线" w:ascii="Arial" w:cs="Arial" w:hAnsi="Arial"/>
            <w:color w:val="3370ff"/>
            <w:sz w:val="22"/>
          </w:rPr>
          <w:t>paddlepaddle.org.cn</w:t>
        </w:r>
      </w:hyperlink>
      <w:r>
        <w:rPr>
          <w:rFonts w:eastAsia="等线" w:ascii="Arial" w:cs="Arial" w:hAnsi="Arial"/>
          <w:sz w:val="22"/>
        </w:rPr>
        <w:t>)</w:t>
        <w:br/>
      </w:r>
      <w:r>
        <w:rPr>
          <w:rFonts w:eastAsia="等线" w:ascii="Arial" w:cs="Arial" w:hAnsi="Arial"/>
          <w:sz w:val="22"/>
        </w:rPr>
        <w:t xml:space="preserve"> 导出产物以“模型结构 + 参数 + 推理配置”形式落盘，用于后续推理引擎加载。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（2）在线推理服务部署：两种落地路线（根据工程复杂度选其一）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路线 ：Paddle Inference + 自建 Web 服务（推荐，最贴合 JSON 需求）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使用飞桨原生推理库 Paddle Inference 在服务器端加载推理模型并执行预测，该推理库面向云/服务器场景，强调高性能与工程适配。(</w:t>
      </w:r>
      <w:hyperlink r:id="rId12">
        <w:r>
          <w:rPr>
            <w:rFonts w:eastAsia="等线" w:ascii="Arial" w:cs="Arial" w:hAnsi="Arial"/>
            <w:color w:val="3370ff"/>
            <w:sz w:val="22"/>
          </w:rPr>
          <w:t>paddlepaddle.org.cn</w:t>
        </w:r>
      </w:hyperlink>
      <w:r>
        <w:rPr>
          <w:rFonts w:eastAsia="等线" w:ascii="Arial" w:cs="Arial" w:hAnsi="Arial"/>
          <w:sz w:val="22"/>
        </w:rPr>
        <w:t>)</w:t>
        <w:br/>
      </w:r>
      <w:r>
        <w:rPr>
          <w:rFonts w:eastAsia="等线" w:ascii="Arial" w:cs="Arial" w:hAnsi="Arial"/>
          <w:sz w:val="22"/>
        </w:rPr>
        <w:t xml:space="preserve"> 在推理库外层使用 FastAPI/Flask 封装 RESTful API：</w:t>
      </w:r>
    </w:p>
    <w:p>
      <w:pPr>
        <w:numPr>
          <w:numId w:val="97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POST /predict</w:t>
      </w:r>
      <w:r>
        <w:rPr>
          <w:rFonts w:eastAsia="等线" w:ascii="Arial" w:cs="Arial" w:hAnsi="Arial"/>
          <w:sz w:val="22"/>
        </w:rPr>
        <w:t xml:space="preserve"> 接收 JSON（按你们定义的数据集格式：时间索引 + 因子特征列 + 元信息）</w:t>
      </w:r>
    </w:p>
    <w:p>
      <w:pPr>
        <w:numPr>
          <w:numId w:val="9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服务端完成：校验 → 特征对齐/标准化（使用训练期保存的 scaler/特征配置）→ Paddle Inference 推理 → 输出 JSON（预测未来 N 天收益率及置信区间/风险分层等）</w:t>
        <w:br/>
      </w:r>
      <w:r>
        <w:rPr>
          <w:rFonts w:eastAsia="等线" w:ascii="Arial" w:cs="Arial" w:hAnsi="Arial"/>
          <w:sz w:val="22"/>
        </w:rPr>
        <w:t xml:space="preserve"> 该方式优势是接口协议与数据结构完全由你们控制，便于和 Web 端、报告系统无缝对接。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3.2 内容模块（用户上传 → 推理 → 可解释报告）</w:t>
      </w:r>
      <w:bookmarkEnd w:id="4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3.2.1 Web 网站（用户数据上传与任务触发）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网站面向业务用户提供“上传数据—获取结果报告”的一站式入口，核心交互流程如下：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用户下载并按模板填充数据集（你们定义的</w:t>
      </w:r>
      <w:r>
        <w:rPr>
          <w:rFonts w:eastAsia="等线" w:ascii="Arial" w:cs="Arial" w:hAnsi="Arial"/>
          <w:b w:val="true"/>
          <w:sz w:val="22"/>
        </w:rPr>
        <w:t>因子特征格式</w:t>
      </w:r>
      <w:r>
        <w:rPr>
          <w:rFonts w:eastAsia="等线" w:ascii="Arial" w:cs="Arial" w:hAnsi="Arial"/>
          <w:sz w:val="22"/>
        </w:rPr>
        <w:t>：字段名、频率、缺失值规范、单位/币种说明）。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用户在网页端上传文件（CSV/Parquet/Excel 可选），系统完成：</w:t>
      </w:r>
    </w:p>
    <w:p>
      <w:pPr>
        <w:numPr>
          <w:numId w:val="10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格式校验（列名/类型/时间频率/缺失率阈值）</w:t>
      </w:r>
    </w:p>
    <w:p>
      <w:pPr>
        <w:numPr>
          <w:numId w:val="10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自动修复（可选：缺失填充策略、频率对齐、异常值裁剪，均需记录在“数据处理日志”中）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网站将处理后的特征矩阵序列化为 JSON，调用 </w:t>
      </w:r>
      <w:r>
        <w:rPr>
          <w:rFonts w:eastAsia="Consolas" w:ascii="Consolas" w:cs="Consolas" w:hAnsi="Consolas"/>
          <w:sz w:val="22"/>
          <w:shd w:fill="EFF0F1"/>
        </w:rPr>
        <w:t>/predict</w:t>
      </w:r>
      <w:r>
        <w:rPr>
          <w:rFonts w:eastAsia="等线" w:ascii="Arial" w:cs="Arial" w:hAnsi="Arial"/>
          <w:sz w:val="22"/>
        </w:rPr>
        <w:t xml:space="preserve"> 推理接口，并拿到模型返回：未来 N 天收益率预测序列（以及你们定义的附加输出，如置信度、风险等级）。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系统进入后处理与报告生成模块（见 3.2.2~3.2.4），最终输出可下载/可分享的报告页面与 PDF。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3.2.2 推理结果后处理（从“收益率预测”到“趋势与信号”）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你们模型的目标变量为“未来 N 天收益率”，为了满足题目“输出油价未来走势及其潜在行业冲击信号”，需要将模型输出转换成更直观、更可行动的结果表达：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趋势图（Future Path）</w:t>
      </w:r>
      <w:r>
        <w:rPr>
          <w:rFonts w:eastAsia="等线" w:ascii="Arial" w:cs="Arial" w:hAnsi="Arial"/>
          <w:sz w:val="22"/>
        </w:rPr>
        <w:t>：将预测收益率序列累乘还原为价格路径（或相对指数路径），展示未来 N 天油价上行/下行趋势与不确定区间。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冲击信号（Shock Signal）</w:t>
      </w:r>
      <w:r>
        <w:rPr>
          <w:rFonts w:eastAsia="等线" w:ascii="Arial" w:cs="Arial" w:hAnsi="Arial"/>
          <w:sz w:val="22"/>
        </w:rPr>
        <w:t>：构造“行业敏感度映射”，将预测的油价变化（收益率、波动变化、极端风险概率）映射到关键行业（航空、航运、化工、炼化、物流、高耗能制造等）的成本/利润敏感度，形成：</w:t>
      </w:r>
    </w:p>
    <w:p>
      <w:pPr>
        <w:numPr>
          <w:numId w:val="1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行业冲击热力图（行业 × 风险等级）</w:t>
      </w:r>
    </w:p>
    <w:p>
      <w:pPr>
        <w:numPr>
          <w:numId w:val="10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风险提示：如“油价上行+波动放大 → 航空/航运成本压力上升”</w:t>
        <w:br/>
      </w:r>
      <w:r>
        <w:rPr>
          <w:rFonts w:eastAsia="等线" w:ascii="Arial" w:cs="Arial" w:hAnsi="Arial"/>
          <w:sz w:val="22"/>
        </w:rPr>
        <w:t xml:space="preserve"> 该模块保证输出不仅是“数值预测”，而是“趋势 + 可解释的行业信号”。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3.2.3 知识图谱解释层（解释“因子传导机制”，补足纯统计筛选的不足）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你们提出用“油价产业链知识图谱”解释因子筛选原因，这个方向是加分点，但需要把逻辑拆成更严谨的三层解释，避免仅用相关性筛选却声称“图谱解释筛掉原因”的断层：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第一层：统计筛选理由（训练阶段可复现）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对每个被筛掉的候选因子给出“可计算的淘汰原因标签”，例如：缺失率过高、与目标相关性弱、与已选因子高度共线、稳定性差（滚动 IC 反复变号）等。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第二层：模型解释理由（上线结果可解释）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对最终入模因子给出“贡献度解释”：如 SHAP/Permutation Importance 的 Top 因子贡献，并结合不同市场状态（高波动/低波动、地缘事件期）分段解释其影响方向。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第三层：产业链知识图谱（机制解释，增强可读性）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使用图数据库（如 Neo4j）构建轻量图谱：</w:t>
      </w:r>
      <w:r>
        <w:rPr>
          <w:rFonts w:eastAsia="Consolas" w:ascii="Consolas" w:cs="Consolas" w:hAnsi="Consolas"/>
          <w:sz w:val="22"/>
          <w:shd w:fill="EFF0F1"/>
        </w:rPr>
        <w:t>产地/组织 → 运输航线/关键节点 → 库存/炼厂 → 下游行业 → 金融变量（汇率/利率/风险偏好）</w:t>
      </w:r>
      <w:r>
        <w:rPr>
          <w:rFonts w:eastAsia="等线" w:ascii="Arial" w:cs="Arial" w:hAnsi="Arial"/>
          <w:sz w:val="22"/>
        </w:rPr>
        <w:t>。</w:t>
        <w:br/>
      </w:r>
      <w:r>
        <w:rPr>
          <w:rFonts w:eastAsia="等线" w:ascii="Arial" w:cs="Arial" w:hAnsi="Arial"/>
          <w:sz w:val="22"/>
        </w:rPr>
        <w:t xml:space="preserve"> 当用户查看某一关键因子（例如“航运中断事件强度”“库存 surprise”“美元指数变化”）时，系统在图谱中返回：</w:t>
      </w:r>
    </w:p>
    <w:p>
      <w:pPr>
        <w:numPr>
          <w:numId w:val="1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该因子对应的节点与边</w:t>
      </w:r>
    </w:p>
    <w:p>
      <w:pPr>
        <w:numPr>
          <w:numId w:val="1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可能的传导路径（路径长度/权重）</w:t>
      </w:r>
    </w:p>
    <w:p>
      <w:pPr>
        <w:numPr>
          <w:numId w:val="1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对应的行业暴露解释（为什么会影响航空/化工等）</w:t>
        <w:br/>
      </w:r>
      <w:r>
        <w:rPr>
          <w:rFonts w:eastAsia="等线" w:ascii="Arial" w:cs="Arial" w:hAnsi="Arial"/>
          <w:sz w:val="22"/>
        </w:rPr>
        <w:t xml:space="preserve"> 这样，知识图谱承担的是“</w:t>
      </w:r>
      <w:r>
        <w:rPr>
          <w:rFonts w:eastAsia="等线" w:ascii="Arial" w:cs="Arial" w:hAnsi="Arial"/>
          <w:b w:val="true"/>
          <w:sz w:val="22"/>
        </w:rPr>
        <w:t>经济机制解释层</w:t>
      </w:r>
      <w:r>
        <w:rPr>
          <w:rFonts w:eastAsia="等线" w:ascii="Arial" w:cs="Arial" w:hAnsi="Arial"/>
          <w:sz w:val="22"/>
        </w:rPr>
        <w:t>”，与统计/模型解释层形成闭环：</w:t>
      </w:r>
      <w:r>
        <w:rPr>
          <w:rFonts w:eastAsia="等线" w:ascii="Arial" w:cs="Arial" w:hAnsi="Arial"/>
          <w:b w:val="true"/>
          <w:sz w:val="22"/>
        </w:rPr>
        <w:t>数据上可复现（筛选）+ 模型上可解释（贡献）+ 经济上讲得通（传导）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3.2.4 LLM 报告生成器（金融专家视角的自动撰写与建议）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为将结果以“金融专家”口径完整呈现，网站接入 LLM API 作为“报告生成器”，但需要采用</w:t>
      </w:r>
      <w:r>
        <w:rPr>
          <w:rFonts w:eastAsia="等线" w:ascii="Arial" w:cs="Arial" w:hAnsi="Arial"/>
          <w:b w:val="true"/>
          <w:sz w:val="22"/>
        </w:rPr>
        <w:t>受约束的生成</w:t>
      </w:r>
      <w:r>
        <w:rPr>
          <w:rFonts w:eastAsia="等线" w:ascii="Arial" w:cs="Arial" w:hAnsi="Arial"/>
          <w:sz w:val="22"/>
        </w:rPr>
        <w:t>，确保内容基于事实与模型输出：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结构化输入（LLM Context Pack）</w:t>
      </w:r>
      <w:r>
        <w:rPr>
          <w:rFonts w:eastAsia="等线" w:ascii="Arial" w:cs="Arial" w:hAnsi="Arial"/>
          <w:sz w:val="22"/>
        </w:rPr>
        <w:t>：将以下内容整理成固定 JSON 输入给 LLM：</w:t>
      </w:r>
    </w:p>
    <w:p>
      <w:pPr>
        <w:numPr>
          <w:numId w:val="1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预测结果：未来 N 天收益率/趋势区间/风险等级</w:t>
      </w:r>
    </w:p>
    <w:p>
      <w:pPr>
        <w:numPr>
          <w:numId w:val="1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解释结果：Top 因子贡献（SHAP）、关键因子方向</w:t>
      </w:r>
    </w:p>
    <w:p>
      <w:pPr>
        <w:numPr>
          <w:numId w:val="1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图谱路径：与本次预测最相关的 3~5 条传导路径及其解释字段</w:t>
      </w:r>
    </w:p>
    <w:p>
      <w:pPr>
        <w:numPr>
          <w:numId w:val="1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行业冲击：行业热力图数值、触发阈值、历史类比（若有）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模板化输出（Report Schema）</w:t>
      </w:r>
      <w:r>
        <w:rPr>
          <w:rFonts w:eastAsia="等线" w:ascii="Arial" w:cs="Arial" w:hAnsi="Arial"/>
          <w:sz w:val="22"/>
        </w:rPr>
        <w:t>：要求 LLM 严格按章节输出：</w:t>
      </w:r>
    </w:p>
    <w:p>
      <w:pPr>
        <w:numPr>
          <w:numId w:val="1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摘要结论（1 段）</w:t>
      </w:r>
    </w:p>
    <w:p>
      <w:pPr>
        <w:numPr>
          <w:numId w:val="1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趋势判断与置信度</w:t>
      </w:r>
    </w:p>
    <w:p>
      <w:pPr>
        <w:numPr>
          <w:numId w:val="1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主要驱动因子（结合贡献度与经济机制）</w:t>
      </w:r>
    </w:p>
    <w:p>
      <w:pPr>
        <w:numPr>
          <w:numId w:val="1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行业冲击信号（分行业给出“风险点—原因—建议动作”）</w:t>
      </w:r>
    </w:p>
    <w:p>
      <w:pPr>
        <w:numPr>
          <w:numId w:val="1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风险与局限（数据滞后、模型失效场景、黑天鹅提示）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防幻觉策略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LLM 只能引用 Context Pack 中出现的数值与结论；</w:t>
      </w:r>
    </w:p>
    <w:p>
      <w:pPr>
        <w:numPr>
          <w:numId w:val="1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对外部事实（如具体新闻）必须来自你们事件模块的结构化字段，否则不允许编造；</w:t>
      </w:r>
    </w:p>
    <w:p>
      <w:pPr>
        <w:numPr>
          <w:numId w:val="1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关键数字（预测收益率、区间、行业评分）由程序填入，LLM 只负责解释与组织语言。</w:t>
        <w:br/>
      </w:r>
      <w:r>
        <w:rPr>
          <w:rFonts w:eastAsia="等线" w:ascii="Arial" w:cs="Arial" w:hAnsi="Arial"/>
          <w:sz w:val="22"/>
        </w:rPr>
        <w:t xml:space="preserve"> 最终，系统输出“网页可视化报告 + 可导出 PDF”，满足比赛对“面向银行团队输出分析报告与风险提示”的要求。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bookmarkEnd w:id="4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0092">
    <w:lvl>
      <w:start w:val="1"/>
      <w:numFmt w:val="decimal"/>
      <w:suff w:val="tab"/>
      <w:lvlText w:val="%1."/>
      <w:rPr>
        <w:color w:val="3370ff"/>
      </w:rPr>
    </w:lvl>
  </w:abstractNum>
  <w:abstractNum w:abstractNumId="20093">
    <w:lvl>
      <w:start w:val="2"/>
      <w:numFmt w:val="decimal"/>
      <w:suff w:val="tab"/>
      <w:lvlText w:val="%1."/>
      <w:rPr>
        <w:color w:val="3370ff"/>
      </w:rPr>
    </w:lvl>
  </w:abstractNum>
  <w:abstractNum w:abstractNumId="20094">
    <w:lvl>
      <w:start w:val="3"/>
      <w:numFmt w:val="decimal"/>
      <w:suff w:val="tab"/>
      <w:lvlText w:val="%1."/>
      <w:rPr>
        <w:color w:val="3370ff"/>
      </w:rPr>
    </w:lvl>
  </w:abstractNum>
  <w:abstractNum w:abstractNumId="20095">
    <w:lvl>
      <w:numFmt w:val="bullet"/>
      <w:suff w:val="tab"/>
      <w:lvlText w:val="￮"/>
      <w:rPr>
        <w:color w:val="3370ff"/>
      </w:rPr>
    </w:lvl>
  </w:abstractNum>
  <w:abstractNum w:abstractNumId="20096">
    <w:lvl>
      <w:start w:val="4"/>
      <w:numFmt w:val="decimal"/>
      <w:suff w:val="tab"/>
      <w:lvlText w:val="%1."/>
      <w:rPr>
        <w:color w:val="3370ff"/>
      </w:rPr>
    </w:lvl>
  </w:abstractNum>
  <w:abstractNum w:abstractNumId="20097">
    <w:lvl>
      <w:numFmt w:val="bullet"/>
      <w:suff w:val="tab"/>
      <w:lvlText w:val="￮"/>
      <w:rPr>
        <w:color w:val="3370ff"/>
      </w:rPr>
    </w:lvl>
  </w:abstractNum>
  <w:abstractNum w:abstractNumId="20098">
    <w:lvl>
      <w:numFmt w:val="bullet"/>
      <w:suff w:val="tab"/>
      <w:lvlText w:val="￮"/>
      <w:rPr>
        <w:color w:val="3370ff"/>
      </w:rPr>
    </w:lvl>
  </w:abstractNum>
  <w:abstractNum w:abstractNumId="20099">
    <w:lvl>
      <w:start w:val="1"/>
      <w:numFmt w:val="decimal"/>
      <w:suff w:val="tab"/>
      <w:lvlText w:val="%1."/>
      <w:rPr>
        <w:color w:val="3370ff"/>
      </w:rPr>
    </w:lvl>
  </w:abstractNum>
  <w:abstractNum w:abstractNumId="20100">
    <w:lvl>
      <w:start w:val="2"/>
      <w:numFmt w:val="decimal"/>
      <w:suff w:val="tab"/>
      <w:lvlText w:val="%1."/>
      <w:rPr>
        <w:color w:val="3370ff"/>
      </w:rPr>
    </w:lvl>
  </w:abstractNum>
  <w:abstractNum w:abstractNumId="20101">
    <w:lvl>
      <w:numFmt w:val="bullet"/>
      <w:suff w:val="tab"/>
      <w:lvlText w:val="￮"/>
      <w:rPr>
        <w:color w:val="3370ff"/>
      </w:rPr>
    </w:lvl>
  </w:abstractNum>
  <w:abstractNum w:abstractNumId="20102">
    <w:lvl>
      <w:start w:val="3"/>
      <w:numFmt w:val="decimal"/>
      <w:suff w:val="tab"/>
      <w:lvlText w:val="%1."/>
      <w:rPr>
        <w:color w:val="3370ff"/>
      </w:rPr>
    </w:lvl>
  </w:abstractNum>
  <w:abstractNum w:abstractNumId="20103">
    <w:lvl>
      <w:numFmt w:val="bullet"/>
      <w:suff w:val="tab"/>
      <w:lvlText w:val="￮"/>
      <w:rPr>
        <w:color w:val="3370ff"/>
      </w:rPr>
    </w:lvl>
  </w:abstractNum>
  <w:abstractNum w:abstractNumId="20104">
    <w:lvl>
      <w:start w:val="1"/>
      <w:numFmt w:val="decimal"/>
      <w:suff w:val="tab"/>
      <w:lvlText w:val="%1."/>
      <w:rPr>
        <w:color w:val="3370ff"/>
      </w:rPr>
    </w:lvl>
  </w:abstractNum>
  <w:abstractNum w:abstractNumId="20105">
    <w:lvl>
      <w:numFmt w:val="bullet"/>
      <w:suff w:val="tab"/>
      <w:lvlText w:val="￮"/>
      <w:rPr>
        <w:color w:val="3370ff"/>
      </w:rPr>
    </w:lvl>
  </w:abstractNum>
  <w:abstractNum w:abstractNumId="20106">
    <w:lvl>
      <w:start w:val="2"/>
      <w:numFmt w:val="decimal"/>
      <w:suff w:val="tab"/>
      <w:lvlText w:val="%1."/>
      <w:rPr>
        <w:color w:val="3370ff"/>
      </w:rPr>
    </w:lvl>
  </w:abstractNum>
  <w:abstractNum w:abstractNumId="20107">
    <w:lvl>
      <w:start w:val="3"/>
      <w:numFmt w:val="decimal"/>
      <w:suff w:val="tab"/>
      <w:lvlText w:val="%1."/>
      <w:rPr>
        <w:color w:val="3370ff"/>
      </w:rPr>
    </w:lvl>
  </w:abstractNum>
  <w:abstractNum w:abstractNumId="20108">
    <w:lvl>
      <w:start w:val="4"/>
      <w:numFmt w:val="decimal"/>
      <w:suff w:val="tab"/>
      <w:lvlText w:val="%1."/>
      <w:rPr>
        <w:color w:val="3370ff"/>
      </w:rPr>
    </w:lvl>
  </w:abstractNum>
  <w:abstractNum w:abstractNumId="20109">
    <w:lvl>
      <w:numFmt w:val="bullet"/>
      <w:suff w:val="tab"/>
      <w:lvlText w:val="￮"/>
      <w:rPr>
        <w:color w:val="3370ff"/>
      </w:rPr>
    </w:lvl>
  </w:abstractNum>
  <w:abstractNum w:abstractNumId="20110">
    <w:lvl>
      <w:numFmt w:val="bullet"/>
      <w:suff w:val="tab"/>
      <w:lvlText w:val="￮"/>
      <w:rPr>
        <w:color w:val="3370ff"/>
      </w:rPr>
    </w:lvl>
  </w:abstractNum>
  <w:abstractNum w:abstractNumId="20111">
    <w:lvl>
      <w:start w:val="5"/>
      <w:numFmt w:val="decimal"/>
      <w:suff w:val="tab"/>
      <w:lvlText w:val="%1."/>
      <w:rPr>
        <w:color w:val="3370ff"/>
      </w:rPr>
    </w:lvl>
  </w:abstractNum>
  <w:abstractNum w:abstractNumId="20112">
    <w:lvl>
      <w:start w:val="1"/>
      <w:numFmt w:val="decimal"/>
      <w:suff w:val="tab"/>
      <w:lvlText w:val="%1."/>
      <w:rPr>
        <w:color w:val="3370ff"/>
      </w:rPr>
    </w:lvl>
  </w:abstractNum>
  <w:abstractNum w:abstractNumId="20113">
    <w:lvl>
      <w:start w:val="2"/>
      <w:numFmt w:val="decimal"/>
      <w:suff w:val="tab"/>
      <w:lvlText w:val="%1."/>
      <w:rPr>
        <w:color w:val="3370ff"/>
      </w:rPr>
    </w:lvl>
  </w:abstractNum>
  <w:abstractNum w:abstractNumId="20114">
    <w:lvl>
      <w:start w:val="3"/>
      <w:numFmt w:val="decimal"/>
      <w:suff w:val="tab"/>
      <w:lvlText w:val="%1."/>
      <w:rPr>
        <w:color w:val="3370ff"/>
      </w:rPr>
    </w:lvl>
  </w:abstractNum>
  <w:abstractNum w:abstractNumId="20115">
    <w:lvl>
      <w:numFmt w:val="bullet"/>
      <w:suff w:val="tab"/>
      <w:lvlText w:val="￮"/>
      <w:rPr>
        <w:color w:val="3370ff"/>
      </w:rPr>
    </w:lvl>
  </w:abstractNum>
  <w:abstractNum w:abstractNumId="20116">
    <w:lvl>
      <w:start w:val="1"/>
      <w:numFmt w:val="decimal"/>
      <w:suff w:val="tab"/>
      <w:lvlText w:val="%1."/>
      <w:rPr>
        <w:color w:val="3370ff"/>
      </w:rPr>
    </w:lvl>
  </w:abstractNum>
  <w:abstractNum w:abstractNumId="20117">
    <w:lvl>
      <w:start w:val="2"/>
      <w:numFmt w:val="decimal"/>
      <w:suff w:val="tab"/>
      <w:lvlText w:val="%1."/>
      <w:rPr>
        <w:color w:val="3370ff"/>
      </w:rPr>
    </w:lvl>
  </w:abstractNum>
  <w:abstractNum w:abstractNumId="20118">
    <w:lvl>
      <w:start w:val="3"/>
      <w:numFmt w:val="decimal"/>
      <w:suff w:val="tab"/>
      <w:lvlText w:val="%1."/>
      <w:rPr>
        <w:color w:val="3370ff"/>
      </w:rPr>
    </w:lvl>
  </w:abstractNum>
  <w:abstractNum w:abstractNumId="20119">
    <w:lvl>
      <w:numFmt w:val="bullet"/>
      <w:suff w:val="tab"/>
      <w:lvlText w:val="•"/>
      <w:rPr>
        <w:color w:val="3370ff"/>
      </w:rPr>
    </w:lvl>
  </w:abstractNum>
  <w:abstractNum w:abstractNumId="20120">
    <w:lvl>
      <w:numFmt w:val="bullet"/>
      <w:suff w:val="tab"/>
      <w:lvlText w:val="•"/>
      <w:rPr>
        <w:color w:val="3370ff"/>
      </w:rPr>
    </w:lvl>
  </w:abstractNum>
  <w:abstractNum w:abstractNumId="20121">
    <w:lvl>
      <w:numFmt w:val="bullet"/>
      <w:suff w:val="tab"/>
      <w:lvlText w:val="•"/>
      <w:rPr>
        <w:color w:val="3370ff"/>
      </w:rPr>
    </w:lvl>
  </w:abstractNum>
  <w:abstractNum w:abstractNumId="20122">
    <w:lvl>
      <w:start w:val="1"/>
      <w:numFmt w:val="decimal"/>
      <w:suff w:val="tab"/>
      <w:lvlText w:val="%1."/>
      <w:rPr>
        <w:color w:val="3370ff"/>
      </w:rPr>
    </w:lvl>
  </w:abstractNum>
  <w:abstractNum w:abstractNumId="20123">
    <w:lvl>
      <w:start w:val="2"/>
      <w:numFmt w:val="decimal"/>
      <w:suff w:val="tab"/>
      <w:lvlText w:val="%1."/>
      <w:rPr>
        <w:color w:val="3370ff"/>
      </w:rPr>
    </w:lvl>
  </w:abstractNum>
  <w:abstractNum w:abstractNumId="20124">
    <w:lvl>
      <w:start w:val="3"/>
      <w:numFmt w:val="decimal"/>
      <w:suff w:val="tab"/>
      <w:lvlText w:val="%1."/>
      <w:rPr>
        <w:color w:val="3370ff"/>
      </w:rPr>
    </w:lvl>
  </w:abstractNum>
  <w:abstractNum w:abstractNumId="20125">
    <w:lvl>
      <w:numFmt w:val="bullet"/>
      <w:suff w:val="tab"/>
      <w:lvlText w:val="￮"/>
      <w:rPr>
        <w:color w:val="3370ff"/>
      </w:rPr>
    </w:lvl>
  </w:abstractNum>
  <w:abstractNum w:abstractNumId="20126">
    <w:lvl>
      <w:start w:val="4"/>
      <w:numFmt w:val="decimal"/>
      <w:suff w:val="tab"/>
      <w:lvlText w:val="%1."/>
      <w:rPr>
        <w:color w:val="3370ff"/>
      </w:rPr>
    </w:lvl>
  </w:abstractNum>
  <w:abstractNum w:abstractNumId="20127">
    <w:lvl>
      <w:start w:val="1"/>
      <w:numFmt w:val="decimal"/>
      <w:suff w:val="tab"/>
      <w:lvlText w:val="%1."/>
      <w:rPr>
        <w:color w:val="3370ff"/>
      </w:rPr>
    </w:lvl>
  </w:abstractNum>
  <w:abstractNum w:abstractNumId="20128">
    <w:lvl>
      <w:numFmt w:val="bullet"/>
      <w:suff w:val="tab"/>
      <w:lvlText w:val="￮"/>
      <w:rPr>
        <w:color w:val="3370ff"/>
      </w:rPr>
    </w:lvl>
  </w:abstractNum>
  <w:abstractNum w:abstractNumId="20129">
    <w:lvl>
      <w:numFmt w:val="bullet"/>
      <w:suff w:val="tab"/>
      <w:lvlText w:val="￮"/>
      <w:rPr>
        <w:color w:val="3370ff"/>
      </w:rPr>
    </w:lvl>
  </w:abstractNum>
  <w:abstractNum w:abstractNumId="20130">
    <w:lvl>
      <w:start w:val="2"/>
      <w:numFmt w:val="decimal"/>
      <w:suff w:val="tab"/>
      <w:lvlText w:val="%1."/>
      <w:rPr>
        <w:color w:val="3370ff"/>
      </w:rPr>
    </w:lvl>
  </w:abstractNum>
  <w:abstractNum w:abstractNumId="20131">
    <w:lvl>
      <w:start w:val="1"/>
      <w:numFmt w:val="decimal"/>
      <w:suff w:val="tab"/>
      <w:lvlText w:val="%1."/>
      <w:rPr>
        <w:color w:val="3370ff"/>
      </w:rPr>
    </w:lvl>
  </w:abstractNum>
  <w:abstractNum w:abstractNumId="20132">
    <w:lvl>
      <w:start w:val="2"/>
      <w:numFmt w:val="decimal"/>
      <w:suff w:val="tab"/>
      <w:lvlText w:val="%1."/>
      <w:rPr>
        <w:color w:val="3370ff"/>
      </w:rPr>
    </w:lvl>
  </w:abstractNum>
  <w:abstractNum w:abstractNumId="20133">
    <w:lvl>
      <w:start w:val="3"/>
      <w:numFmt w:val="decimal"/>
      <w:suff w:val="tab"/>
      <w:lvlText w:val="%1."/>
      <w:rPr>
        <w:color w:val="3370ff"/>
      </w:rPr>
    </w:lvl>
  </w:abstractNum>
  <w:abstractNum w:abstractNumId="20134">
    <w:lvl>
      <w:numFmt w:val="bullet"/>
      <w:suff w:val="tab"/>
      <w:lvlText w:val="•"/>
      <w:rPr>
        <w:color w:val="3370ff"/>
      </w:rPr>
    </w:lvl>
  </w:abstractNum>
  <w:abstractNum w:abstractNumId="20135">
    <w:lvl>
      <w:numFmt w:val="bullet"/>
      <w:suff w:val="tab"/>
      <w:lvlText w:val="•"/>
      <w:rPr>
        <w:color w:val="3370ff"/>
      </w:rPr>
    </w:lvl>
  </w:abstractNum>
  <w:abstractNum w:abstractNumId="20136">
    <w:lvl>
      <w:numFmt w:val="bullet"/>
      <w:suff w:val="tab"/>
      <w:lvlText w:val="￮"/>
      <w:rPr>
        <w:color w:val="3370ff"/>
      </w:rPr>
    </w:lvl>
  </w:abstractNum>
  <w:abstractNum w:abstractNumId="20137">
    <w:lvl>
      <w:numFmt w:val="bullet"/>
      <w:suff w:val="tab"/>
      <w:lvlText w:val="￮"/>
      <w:rPr>
        <w:color w:val="3370ff"/>
      </w:rPr>
    </w:lvl>
  </w:abstractNum>
  <w:abstractNum w:abstractNumId="20138">
    <w:lvl>
      <w:numFmt w:val="bullet"/>
      <w:suff w:val="tab"/>
      <w:lvlText w:val="￮"/>
      <w:rPr>
        <w:color w:val="3370ff"/>
      </w:rPr>
    </w:lvl>
  </w:abstractNum>
  <w:abstractNum w:abstractNumId="20139">
    <w:lvl>
      <w:numFmt w:val="bullet"/>
      <w:suff w:val="tab"/>
      <w:lvlText w:val="￮"/>
      <w:rPr>
        <w:color w:val="3370ff"/>
      </w:rPr>
    </w:lvl>
  </w:abstractNum>
  <w:abstractNum w:abstractNumId="20140">
    <w:lvl>
      <w:numFmt w:val="bullet"/>
      <w:suff w:val="tab"/>
      <w:lvlText w:val="•"/>
      <w:rPr>
        <w:color w:val="3370ff"/>
      </w:rPr>
    </w:lvl>
  </w:abstractNum>
  <w:abstractNum w:abstractNumId="20141">
    <w:lvl>
      <w:numFmt w:val="bullet"/>
      <w:suff w:val="tab"/>
      <w:lvlText w:val="•"/>
      <w:rPr>
        <w:color w:val="3370ff"/>
      </w:rPr>
    </w:lvl>
  </w:abstractNum>
  <w:abstractNum w:abstractNumId="20142">
    <w:lvl>
      <w:numFmt w:val="bullet"/>
      <w:suff w:val="tab"/>
      <w:lvlText w:val="•"/>
      <w:rPr>
        <w:color w:val="3370ff"/>
      </w:rPr>
    </w:lvl>
  </w:abstractNum>
  <w:abstractNum w:abstractNumId="20143">
    <w:lvl>
      <w:numFmt w:val="bullet"/>
      <w:suff w:val="tab"/>
      <w:lvlText w:val="•"/>
      <w:rPr>
        <w:color w:val="3370ff"/>
      </w:rPr>
    </w:lvl>
  </w:abstractNum>
  <w:abstractNum w:abstractNumId="20144">
    <w:lvl>
      <w:numFmt w:val="bullet"/>
      <w:suff w:val="tab"/>
      <w:lvlText w:val="•"/>
      <w:rPr>
        <w:color w:val="3370ff"/>
      </w:rPr>
    </w:lvl>
  </w:abstractNum>
  <w:abstractNum w:abstractNumId="20145">
    <w:lvl>
      <w:numFmt w:val="bullet"/>
      <w:suff w:val="tab"/>
      <w:lvlText w:val="•"/>
      <w:rPr>
        <w:color w:val="3370ff"/>
      </w:rPr>
    </w:lvl>
  </w:abstractNum>
  <w:abstractNum w:abstractNumId="20146">
    <w:lvl>
      <w:numFmt w:val="bullet"/>
      <w:suff w:val="tab"/>
      <w:lvlText w:val="•"/>
      <w:rPr>
        <w:color w:val="3370ff"/>
      </w:rPr>
    </w:lvl>
  </w:abstractNum>
  <w:abstractNum w:abstractNumId="20147">
    <w:lvl>
      <w:numFmt w:val="bullet"/>
      <w:suff w:val="tab"/>
      <w:lvlText w:val="•"/>
      <w:rPr>
        <w:color w:val="3370ff"/>
      </w:rPr>
    </w:lvl>
  </w:abstractNum>
  <w:abstractNum w:abstractNumId="20148">
    <w:lvl>
      <w:numFmt w:val="bullet"/>
      <w:suff w:val="tab"/>
      <w:lvlText w:val="•"/>
      <w:rPr>
        <w:color w:val="3370ff"/>
      </w:rPr>
    </w:lvl>
  </w:abstractNum>
  <w:abstractNum w:abstractNumId="20149">
    <w:lvl>
      <w:numFmt w:val="bullet"/>
      <w:suff w:val="tab"/>
      <w:lvlText w:val="￮"/>
      <w:rPr>
        <w:color w:val="3370ff"/>
      </w:rPr>
    </w:lvl>
  </w:abstractNum>
  <w:abstractNum w:abstractNumId="20150">
    <w:lvl>
      <w:numFmt w:val="bullet"/>
      <w:suff w:val="tab"/>
      <w:lvlText w:val="￮"/>
      <w:rPr>
        <w:color w:val="3370ff"/>
      </w:rPr>
    </w:lvl>
  </w:abstractNum>
  <w:abstractNum w:abstractNumId="20151">
    <w:lvl>
      <w:numFmt w:val="bullet"/>
      <w:suff w:val="tab"/>
      <w:lvlText w:val="￮"/>
      <w:rPr>
        <w:color w:val="3370ff"/>
      </w:rPr>
    </w:lvl>
  </w:abstractNum>
  <w:abstractNum w:abstractNumId="20152">
    <w:lvl>
      <w:numFmt w:val="bullet"/>
      <w:suff w:val="tab"/>
      <w:lvlText w:val="•"/>
      <w:rPr>
        <w:color w:val="3370ff"/>
      </w:rPr>
    </w:lvl>
  </w:abstractNum>
  <w:abstractNum w:abstractNumId="20153">
    <w:lvl>
      <w:numFmt w:val="bullet"/>
      <w:suff w:val="tab"/>
      <w:lvlText w:val="•"/>
      <w:rPr>
        <w:color w:val="3370ff"/>
      </w:rPr>
    </w:lvl>
  </w:abstractNum>
  <w:abstractNum w:abstractNumId="20154">
    <w:lvl>
      <w:numFmt w:val="bullet"/>
      <w:suff w:val="tab"/>
      <w:lvlText w:val="•"/>
      <w:rPr>
        <w:color w:val="3370ff"/>
      </w:rPr>
    </w:lvl>
  </w:abstractNum>
  <w:abstractNum w:abstractNumId="20155">
    <w:lvl>
      <w:numFmt w:val="bullet"/>
      <w:suff w:val="tab"/>
      <w:lvlText w:val="•"/>
      <w:rPr>
        <w:color w:val="3370ff"/>
      </w:rPr>
    </w:lvl>
  </w:abstractNum>
  <w:abstractNum w:abstractNumId="20156">
    <w:lvl>
      <w:numFmt w:val="bullet"/>
      <w:suff w:val="tab"/>
      <w:lvlText w:val="•"/>
      <w:rPr>
        <w:color w:val="3370ff"/>
      </w:rPr>
    </w:lvl>
  </w:abstractNum>
  <w:abstractNum w:abstractNumId="20157">
    <w:lvl>
      <w:numFmt w:val="bullet"/>
      <w:suff w:val="tab"/>
      <w:lvlText w:val="•"/>
      <w:rPr>
        <w:color w:val="3370ff"/>
      </w:rPr>
    </w:lvl>
  </w:abstractNum>
  <w:abstractNum w:abstractNumId="20158">
    <w:lvl>
      <w:numFmt w:val="bullet"/>
      <w:suff w:val="tab"/>
      <w:lvlText w:val="•"/>
      <w:rPr>
        <w:color w:val="3370ff"/>
      </w:rPr>
    </w:lvl>
  </w:abstractNum>
  <w:abstractNum w:abstractNumId="20159">
    <w:lvl>
      <w:numFmt w:val="bullet"/>
      <w:suff w:val="tab"/>
      <w:lvlText w:val="•"/>
      <w:rPr>
        <w:color w:val="3370ff"/>
      </w:rPr>
    </w:lvl>
  </w:abstractNum>
  <w:abstractNum w:abstractNumId="20160">
    <w:lvl>
      <w:numFmt w:val="bullet"/>
      <w:suff w:val="tab"/>
      <w:lvlText w:val="•"/>
      <w:rPr>
        <w:color w:val="3370ff"/>
      </w:rPr>
    </w:lvl>
  </w:abstractNum>
  <w:abstractNum w:abstractNumId="20161">
    <w:lvl>
      <w:numFmt w:val="bullet"/>
      <w:suff w:val="tab"/>
      <w:lvlText w:val="•"/>
      <w:rPr>
        <w:color w:val="3370ff"/>
      </w:rPr>
    </w:lvl>
  </w:abstractNum>
  <w:abstractNum w:abstractNumId="20162">
    <w:lvl>
      <w:numFmt w:val="bullet"/>
      <w:suff w:val="tab"/>
      <w:lvlText w:val="•"/>
      <w:rPr>
        <w:color w:val="3370ff"/>
      </w:rPr>
    </w:lvl>
  </w:abstractNum>
  <w:abstractNum w:abstractNumId="20163">
    <w:lvl>
      <w:start w:val="1"/>
      <w:numFmt w:val="decimal"/>
      <w:suff w:val="tab"/>
      <w:lvlText w:val="%1."/>
      <w:rPr>
        <w:color w:val="3370ff"/>
      </w:rPr>
    </w:lvl>
  </w:abstractNum>
  <w:abstractNum w:abstractNumId="20164">
    <w:lvl>
      <w:start w:val="2"/>
      <w:numFmt w:val="decimal"/>
      <w:suff w:val="tab"/>
      <w:lvlText w:val="%1."/>
      <w:rPr>
        <w:color w:val="3370ff"/>
      </w:rPr>
    </w:lvl>
  </w:abstractNum>
  <w:abstractNum w:abstractNumId="20165">
    <w:lvl>
      <w:start w:val="3"/>
      <w:numFmt w:val="decimal"/>
      <w:suff w:val="tab"/>
      <w:lvlText w:val="%1."/>
      <w:rPr>
        <w:color w:val="3370ff"/>
      </w:rPr>
    </w:lvl>
  </w:abstractNum>
  <w:abstractNum w:abstractNumId="20166">
    <w:lvl>
      <w:numFmt w:val="bullet"/>
      <w:suff w:val="tab"/>
      <w:lvlText w:val="•"/>
      <w:rPr>
        <w:color w:val="3370ff"/>
      </w:rPr>
    </w:lvl>
  </w:abstractNum>
  <w:abstractNum w:abstractNumId="20167">
    <w:lvl>
      <w:numFmt w:val="bullet"/>
      <w:suff w:val="tab"/>
      <w:lvlText w:val="•"/>
      <w:rPr>
        <w:color w:val="3370ff"/>
      </w:rPr>
    </w:lvl>
  </w:abstractNum>
  <w:abstractNum w:abstractNumId="20168">
    <w:lvl>
      <w:numFmt w:val="bullet"/>
      <w:suff w:val="tab"/>
      <w:lvlText w:val="•"/>
      <w:rPr>
        <w:color w:val="3370ff"/>
      </w:rPr>
    </w:lvl>
  </w:abstractNum>
  <w:abstractNum w:abstractNumId="20169">
    <w:lvl>
      <w:numFmt w:val="bullet"/>
      <w:suff w:val="tab"/>
      <w:lvlText w:val="￮"/>
      <w:rPr>
        <w:color w:val="3370ff"/>
      </w:rPr>
    </w:lvl>
  </w:abstractNum>
  <w:abstractNum w:abstractNumId="20170">
    <w:lvl>
      <w:numFmt w:val="bullet"/>
      <w:suff w:val="tab"/>
      <w:lvlText w:val="￮"/>
      <w:rPr>
        <w:color w:val="3370ff"/>
      </w:rPr>
    </w:lvl>
  </w:abstractNum>
  <w:abstractNum w:abstractNumId="20171">
    <w:lvl>
      <w:numFmt w:val="bullet"/>
      <w:suff w:val="tab"/>
      <w:lvlText w:val="•"/>
      <w:rPr>
        <w:color w:val="3370ff"/>
      </w:rPr>
    </w:lvl>
  </w:abstractNum>
  <w:abstractNum w:abstractNumId="20172">
    <w:lvl>
      <w:numFmt w:val="bullet"/>
      <w:suff w:val="tab"/>
      <w:lvlText w:val="￮"/>
      <w:rPr>
        <w:color w:val="3370ff"/>
      </w:rPr>
    </w:lvl>
  </w:abstractNum>
  <w:abstractNum w:abstractNumId="20173">
    <w:lvl>
      <w:numFmt w:val="bullet"/>
      <w:suff w:val="tab"/>
      <w:lvlText w:val="￮"/>
      <w:rPr>
        <w:color w:val="3370ff"/>
      </w:rPr>
    </w:lvl>
  </w:abstractNum>
  <w:abstractNum w:abstractNumId="20174">
    <w:lvl>
      <w:numFmt w:val="bullet"/>
      <w:suff w:val="tab"/>
      <w:lvlText w:val="￮"/>
      <w:rPr>
        <w:color w:val="3370ff"/>
      </w:rPr>
    </w:lvl>
  </w:abstractNum>
  <w:abstractNum w:abstractNumId="20175">
    <w:lvl>
      <w:numFmt w:val="bullet"/>
      <w:suff w:val="tab"/>
      <w:lvlText w:val="▪"/>
      <w:rPr>
        <w:color w:val="3370ff"/>
        <w:sz w:val="11"/>
      </w:rPr>
    </w:lvl>
  </w:abstractNum>
  <w:abstractNum w:abstractNumId="20176">
    <w:lvl>
      <w:numFmt w:val="bullet"/>
      <w:suff w:val="tab"/>
      <w:lvlText w:val="▪"/>
      <w:rPr>
        <w:color w:val="3370ff"/>
        <w:sz w:val="11"/>
      </w:rPr>
    </w:lvl>
  </w:abstractNum>
  <w:abstractNum w:abstractNumId="20177">
    <w:lvl>
      <w:numFmt w:val="bullet"/>
      <w:suff w:val="tab"/>
      <w:lvlText w:val="▪"/>
      <w:rPr>
        <w:color w:val="3370ff"/>
        <w:sz w:val="11"/>
      </w:rPr>
    </w:lvl>
  </w:abstractNum>
  <w:abstractNum w:abstractNumId="20178">
    <w:lvl>
      <w:numFmt w:val="bullet"/>
      <w:suff w:val="tab"/>
      <w:lvlText w:val="▪"/>
      <w:rPr>
        <w:color w:val="3370ff"/>
        <w:sz w:val="11"/>
      </w:rPr>
    </w:lvl>
  </w:abstractNum>
  <w:abstractNum w:abstractNumId="20179">
    <w:lvl>
      <w:numFmt w:val="bullet"/>
      <w:suff w:val="tab"/>
      <w:lvlText w:val="•"/>
      <w:rPr>
        <w:color w:val="3370ff"/>
      </w:rPr>
    </w:lvl>
  </w:abstractNum>
  <w:abstractNum w:abstractNumId="20180">
    <w:lvl>
      <w:numFmt w:val="bullet"/>
      <w:suff w:val="tab"/>
      <w:lvlText w:val="•"/>
      <w:rPr>
        <w:color w:val="3370ff"/>
      </w:rPr>
    </w:lvl>
  </w:abstractNum>
  <w:abstractNum w:abstractNumId="20181">
    <w:lvl>
      <w:numFmt w:val="bullet"/>
      <w:suff w:val="tab"/>
      <w:lvlText w:val="￮"/>
      <w:rPr>
        <w:color w:val="3370ff"/>
      </w:rPr>
    </w:lvl>
  </w:abstractNum>
  <w:abstractNum w:abstractNumId="20182">
    <w:lvl>
      <w:numFmt w:val="bullet"/>
      <w:suff w:val="tab"/>
      <w:lvlText w:val="▪"/>
      <w:rPr>
        <w:color w:val="3370ff"/>
        <w:sz w:val="11"/>
      </w:rPr>
    </w:lvl>
  </w:abstractNum>
  <w:abstractNum w:abstractNumId="20183">
    <w:lvl>
      <w:numFmt w:val="bullet"/>
      <w:suff w:val="tab"/>
      <w:lvlText w:val="▪"/>
      <w:rPr>
        <w:color w:val="3370ff"/>
        <w:sz w:val="11"/>
      </w:rPr>
    </w:lvl>
  </w:abstractNum>
  <w:abstractNum w:abstractNumId="20184">
    <w:lvl>
      <w:numFmt w:val="bullet"/>
      <w:suff w:val="tab"/>
      <w:lvlText w:val="￮"/>
      <w:rPr>
        <w:color w:val="3370ff"/>
      </w:rPr>
    </w:lvl>
  </w:abstractNum>
  <w:abstractNum w:abstractNumId="20185">
    <w:lvl>
      <w:numFmt w:val="bullet"/>
      <w:suff w:val="tab"/>
      <w:lvlText w:val="￮"/>
      <w:rPr>
        <w:color w:val="3370ff"/>
      </w:rPr>
    </w:lvl>
  </w:abstractNum>
  <w:abstractNum w:abstractNumId="20186">
    <w:lvl>
      <w:numFmt w:val="bullet"/>
      <w:suff w:val="tab"/>
      <w:lvlText w:val="•"/>
      <w:rPr>
        <w:color w:val="3370ff"/>
      </w:rPr>
    </w:lvl>
  </w:abstractNum>
  <w:abstractNum w:abstractNumId="20187">
    <w:lvl>
      <w:numFmt w:val="bullet"/>
      <w:suff w:val="tab"/>
      <w:lvlText w:val="•"/>
      <w:rPr>
        <w:color w:val="3370ff"/>
      </w:rPr>
    </w:lvl>
  </w:abstractNum>
  <w:abstractNum w:abstractNumId="20188">
    <w:lvl>
      <w:numFmt w:val="bullet"/>
      <w:suff w:val="tab"/>
      <w:lvlText w:val="￮"/>
      <w:rPr>
        <w:color w:val="3370ff"/>
      </w:rPr>
    </w:lvl>
  </w:abstractNum>
  <w:abstractNum w:abstractNumId="20189">
    <w:lvl>
      <w:numFmt w:val="bullet"/>
      <w:suff w:val="tab"/>
      <w:lvlText w:val="￮"/>
      <w:rPr>
        <w:color w:val="3370ff"/>
      </w:rPr>
    </w:lvl>
  </w:abstractNum>
  <w:abstractNum w:abstractNumId="20190">
    <w:lvl>
      <w:start w:val="1"/>
      <w:numFmt w:val="decimal"/>
      <w:suff w:val="tab"/>
      <w:lvlText w:val="%1."/>
      <w:rPr>
        <w:color w:val="3370ff"/>
      </w:rPr>
    </w:lvl>
  </w:abstractNum>
  <w:abstractNum w:abstractNumId="20191">
    <w:lvl>
      <w:start w:val="2"/>
      <w:numFmt w:val="decimal"/>
      <w:suff w:val="tab"/>
      <w:lvlText w:val="%1."/>
      <w:rPr>
        <w:color w:val="3370ff"/>
      </w:rPr>
    </w:lvl>
  </w:abstractNum>
  <w:abstractNum w:abstractNumId="20192">
    <w:lvl>
      <w:numFmt w:val="bullet"/>
      <w:suff w:val="tab"/>
      <w:lvlText w:val="￮"/>
      <w:rPr>
        <w:color w:val="3370ff"/>
      </w:rPr>
    </w:lvl>
  </w:abstractNum>
  <w:abstractNum w:abstractNumId="20193">
    <w:lvl>
      <w:numFmt w:val="bullet"/>
      <w:suff w:val="tab"/>
      <w:lvlText w:val="￮"/>
      <w:rPr>
        <w:color w:val="3370ff"/>
      </w:rPr>
    </w:lvl>
  </w:abstractNum>
  <w:abstractNum w:abstractNumId="20194">
    <w:lvl>
      <w:start w:val="3"/>
      <w:numFmt w:val="decimal"/>
      <w:suff w:val="tab"/>
      <w:lvlText w:val="%1."/>
      <w:rPr>
        <w:color w:val="3370ff"/>
      </w:rPr>
    </w:lvl>
  </w:abstractNum>
  <w:abstractNum w:abstractNumId="20195">
    <w:lvl>
      <w:start w:val="4"/>
      <w:numFmt w:val="decimal"/>
      <w:suff w:val="tab"/>
      <w:lvlText w:val="%1."/>
      <w:rPr>
        <w:color w:val="3370ff"/>
      </w:rPr>
    </w:lvl>
  </w:abstractNum>
  <w:abstractNum w:abstractNumId="20196">
    <w:lvl>
      <w:numFmt w:val="bullet"/>
      <w:suff w:val="tab"/>
      <w:lvlText w:val="•"/>
      <w:rPr>
        <w:color w:val="3370ff"/>
      </w:rPr>
    </w:lvl>
  </w:abstractNum>
  <w:abstractNum w:abstractNumId="20197">
    <w:lvl>
      <w:numFmt w:val="bullet"/>
      <w:suff w:val="tab"/>
      <w:lvlText w:val="•"/>
      <w:rPr>
        <w:color w:val="3370ff"/>
      </w:rPr>
    </w:lvl>
  </w:abstractNum>
  <w:abstractNum w:abstractNumId="20198">
    <w:lvl>
      <w:numFmt w:val="bullet"/>
      <w:suff w:val="tab"/>
      <w:lvlText w:val="￮"/>
      <w:rPr>
        <w:color w:val="3370ff"/>
      </w:rPr>
    </w:lvl>
  </w:abstractNum>
  <w:abstractNum w:abstractNumId="20199">
    <w:lvl>
      <w:numFmt w:val="bullet"/>
      <w:suff w:val="tab"/>
      <w:lvlText w:val="￮"/>
      <w:rPr>
        <w:color w:val="3370ff"/>
      </w:rPr>
    </w:lvl>
  </w:abstractNum>
  <w:abstractNum w:abstractNumId="20200">
    <w:lvl>
      <w:numFmt w:val="bullet"/>
      <w:suff w:val="tab"/>
      <w:lvlText w:val="•"/>
      <w:rPr>
        <w:color w:val="3370ff"/>
      </w:rPr>
    </w:lvl>
  </w:abstractNum>
  <w:abstractNum w:abstractNumId="20201">
    <w:lvl>
      <w:numFmt w:val="bullet"/>
      <w:suff w:val="tab"/>
      <w:lvlText w:val="•"/>
      <w:rPr>
        <w:color w:val="3370ff"/>
      </w:rPr>
    </w:lvl>
  </w:abstractNum>
  <w:abstractNum w:abstractNumId="20202">
    <w:lvl>
      <w:numFmt w:val="bullet"/>
      <w:suff w:val="tab"/>
      <w:lvlText w:val="•"/>
      <w:rPr>
        <w:color w:val="3370ff"/>
      </w:rPr>
    </w:lvl>
  </w:abstractNum>
  <w:abstractNum w:abstractNumId="20203">
    <w:lvl>
      <w:numFmt w:val="bullet"/>
      <w:suff w:val="tab"/>
      <w:lvlText w:val="￮"/>
      <w:rPr>
        <w:color w:val="3370ff"/>
      </w:rPr>
    </w:lvl>
  </w:abstractNum>
  <w:abstractNum w:abstractNumId="20204">
    <w:lvl>
      <w:numFmt w:val="bullet"/>
      <w:suff w:val="tab"/>
      <w:lvlText w:val="￮"/>
      <w:rPr>
        <w:color w:val="3370ff"/>
      </w:rPr>
    </w:lvl>
  </w:abstractNum>
  <w:abstractNum w:abstractNumId="20205">
    <w:lvl>
      <w:numFmt w:val="bullet"/>
      <w:suff w:val="tab"/>
      <w:lvlText w:val="￮"/>
      <w:rPr>
        <w:color w:val="3370ff"/>
      </w:rPr>
    </w:lvl>
  </w:abstractNum>
  <w:abstractNum w:abstractNumId="20206">
    <w:lvl>
      <w:start w:val="1"/>
      <w:numFmt w:val="decimal"/>
      <w:suff w:val="tab"/>
      <w:lvlText w:val="%1."/>
      <w:rPr>
        <w:color w:val="3370ff"/>
      </w:rPr>
    </w:lvl>
  </w:abstractNum>
  <w:abstractNum w:abstractNumId="20207">
    <w:lvl>
      <w:numFmt w:val="bullet"/>
      <w:suff w:val="tab"/>
      <w:lvlText w:val="￮"/>
      <w:rPr>
        <w:color w:val="3370ff"/>
      </w:rPr>
    </w:lvl>
  </w:abstractNum>
  <w:abstractNum w:abstractNumId="20208">
    <w:lvl>
      <w:numFmt w:val="bullet"/>
      <w:suff w:val="tab"/>
      <w:lvlText w:val="￮"/>
      <w:rPr>
        <w:color w:val="3370ff"/>
      </w:rPr>
    </w:lvl>
  </w:abstractNum>
  <w:abstractNum w:abstractNumId="20209">
    <w:lvl>
      <w:numFmt w:val="bullet"/>
      <w:suff w:val="tab"/>
      <w:lvlText w:val="￮"/>
      <w:rPr>
        <w:color w:val="3370ff"/>
      </w:rPr>
    </w:lvl>
  </w:abstractNum>
  <w:abstractNum w:abstractNumId="20210">
    <w:lvl>
      <w:numFmt w:val="bullet"/>
      <w:suff w:val="tab"/>
      <w:lvlText w:val="￮"/>
      <w:rPr>
        <w:color w:val="3370ff"/>
      </w:rPr>
    </w:lvl>
  </w:abstractNum>
  <w:abstractNum w:abstractNumId="20211">
    <w:lvl>
      <w:start w:val="2"/>
      <w:numFmt w:val="decimal"/>
      <w:suff w:val="tab"/>
      <w:lvlText w:val="%1."/>
      <w:rPr>
        <w:color w:val="3370ff"/>
      </w:rPr>
    </w:lvl>
  </w:abstractNum>
  <w:abstractNum w:abstractNumId="20212">
    <w:lvl>
      <w:numFmt w:val="bullet"/>
      <w:suff w:val="tab"/>
      <w:lvlText w:val="￮"/>
      <w:rPr>
        <w:color w:val="3370ff"/>
      </w:rPr>
    </w:lvl>
  </w:abstractNum>
  <w:abstractNum w:abstractNumId="20213">
    <w:lvl>
      <w:numFmt w:val="bullet"/>
      <w:suff w:val="tab"/>
      <w:lvlText w:val="￮"/>
      <w:rPr>
        <w:color w:val="3370ff"/>
      </w:rPr>
    </w:lvl>
  </w:abstractNum>
  <w:abstractNum w:abstractNumId="20214">
    <w:lvl>
      <w:numFmt w:val="bullet"/>
      <w:suff w:val="tab"/>
      <w:lvlText w:val="￮"/>
      <w:rPr>
        <w:color w:val="3370ff"/>
      </w:rPr>
    </w:lvl>
  </w:abstractNum>
  <w:abstractNum w:abstractNumId="20215">
    <w:lvl>
      <w:numFmt w:val="bullet"/>
      <w:suff w:val="tab"/>
      <w:lvlText w:val="￮"/>
      <w:rPr>
        <w:color w:val="3370ff"/>
      </w:rPr>
    </w:lvl>
  </w:abstractNum>
  <w:abstractNum w:abstractNumId="20216">
    <w:lvl>
      <w:numFmt w:val="bullet"/>
      <w:suff w:val="tab"/>
      <w:lvlText w:val="￮"/>
      <w:rPr>
        <w:color w:val="3370ff"/>
      </w:rPr>
    </w:lvl>
  </w:abstractNum>
  <w:abstractNum w:abstractNumId="20217">
    <w:lvl>
      <w:start w:val="3"/>
      <w:numFmt w:val="decimal"/>
      <w:suff w:val="tab"/>
      <w:lvlText w:val="%1."/>
      <w:rPr>
        <w:color w:val="3370ff"/>
      </w:rPr>
    </w:lvl>
  </w:abstractNum>
  <w:abstractNum w:abstractNumId="20218">
    <w:lvl>
      <w:numFmt w:val="bullet"/>
      <w:suff w:val="tab"/>
      <w:lvlText w:val="￮"/>
      <w:rPr>
        <w:color w:val="3370ff"/>
      </w:rPr>
    </w:lvl>
  </w:abstractNum>
  <w:abstractNum w:abstractNumId="20219">
    <w:lvl>
      <w:numFmt w:val="bullet"/>
      <w:suff w:val="tab"/>
      <w:lvlText w:val="￮"/>
      <w:rPr>
        <w:color w:val="3370ff"/>
      </w:rPr>
    </w:lvl>
  </w:abstractNum>
  <w:abstractNum w:abstractNumId="20220">
    <w:lvl>
      <w:numFmt w:val="bullet"/>
      <w:suff w:val="tab"/>
      <w:lvlText w:val="￮"/>
      <w:rPr>
        <w:color w:val="3370ff"/>
      </w:rPr>
    </w:lvl>
  </w:abstractNum>
  <w:num w:numId="1">
    <w:abstractNumId w:val="20092"/>
  </w:num>
  <w:num w:numId="2">
    <w:abstractNumId w:val="20093"/>
  </w:num>
  <w:num w:numId="3">
    <w:abstractNumId w:val="20094"/>
  </w:num>
  <w:num w:numId="4">
    <w:abstractNumId w:val="20095"/>
  </w:num>
  <w:num w:numId="5">
    <w:abstractNumId w:val="20096"/>
  </w:num>
  <w:num w:numId="6">
    <w:abstractNumId w:val="20097"/>
  </w:num>
  <w:num w:numId="7">
    <w:abstractNumId w:val="20098"/>
  </w:num>
  <w:num w:numId="8">
    <w:abstractNumId w:val="20099"/>
  </w:num>
  <w:num w:numId="9">
    <w:abstractNumId w:val="20100"/>
  </w:num>
  <w:num w:numId="10">
    <w:abstractNumId w:val="20101"/>
  </w:num>
  <w:num w:numId="11">
    <w:abstractNumId w:val="20102"/>
  </w:num>
  <w:num w:numId="12">
    <w:abstractNumId w:val="20103"/>
  </w:num>
  <w:num w:numId="13">
    <w:abstractNumId w:val="20104"/>
  </w:num>
  <w:num w:numId="14">
    <w:abstractNumId w:val="20105"/>
  </w:num>
  <w:num w:numId="15">
    <w:abstractNumId w:val="20106"/>
  </w:num>
  <w:num w:numId="16">
    <w:abstractNumId w:val="20107"/>
  </w:num>
  <w:num w:numId="17">
    <w:abstractNumId w:val="20108"/>
  </w:num>
  <w:num w:numId="18">
    <w:abstractNumId w:val="20109"/>
  </w:num>
  <w:num w:numId="19">
    <w:abstractNumId w:val="20110"/>
  </w:num>
  <w:num w:numId="20">
    <w:abstractNumId w:val="20111"/>
  </w:num>
  <w:num w:numId="21">
    <w:abstractNumId w:val="20112"/>
  </w:num>
  <w:num w:numId="22">
    <w:abstractNumId w:val="20113"/>
  </w:num>
  <w:num w:numId="23">
    <w:abstractNumId w:val="20114"/>
  </w:num>
  <w:num w:numId="24">
    <w:abstractNumId w:val="20115"/>
  </w:num>
  <w:num w:numId="25">
    <w:abstractNumId w:val="20116"/>
  </w:num>
  <w:num w:numId="26">
    <w:abstractNumId w:val="20117"/>
  </w:num>
  <w:num w:numId="27">
    <w:abstractNumId w:val="20118"/>
  </w:num>
  <w:num w:numId="28">
    <w:abstractNumId w:val="20119"/>
  </w:num>
  <w:num w:numId="29">
    <w:abstractNumId w:val="20120"/>
  </w:num>
  <w:num w:numId="30">
    <w:abstractNumId w:val="20121"/>
  </w:num>
  <w:num w:numId="31">
    <w:abstractNumId w:val="20122"/>
  </w:num>
  <w:num w:numId="32">
    <w:abstractNumId w:val="20123"/>
  </w:num>
  <w:num w:numId="33">
    <w:abstractNumId w:val="20124"/>
  </w:num>
  <w:num w:numId="34">
    <w:abstractNumId w:val="20125"/>
  </w:num>
  <w:num w:numId="35">
    <w:abstractNumId w:val="20126"/>
  </w:num>
  <w:num w:numId="36">
    <w:abstractNumId w:val="20127"/>
  </w:num>
  <w:num w:numId="37">
    <w:abstractNumId w:val="20128"/>
  </w:num>
  <w:num w:numId="38">
    <w:abstractNumId w:val="20129"/>
  </w:num>
  <w:num w:numId="39">
    <w:abstractNumId w:val="20130"/>
  </w:num>
  <w:num w:numId="40">
    <w:abstractNumId w:val="20131"/>
  </w:num>
  <w:num w:numId="41">
    <w:abstractNumId w:val="20132"/>
  </w:num>
  <w:num w:numId="42">
    <w:abstractNumId w:val="20133"/>
  </w:num>
  <w:num w:numId="43">
    <w:abstractNumId w:val="20134"/>
  </w:num>
  <w:num w:numId="44">
    <w:abstractNumId w:val="20135"/>
  </w:num>
  <w:num w:numId="45">
    <w:abstractNumId w:val="20136"/>
  </w:num>
  <w:num w:numId="46">
    <w:abstractNumId w:val="20137"/>
  </w:num>
  <w:num w:numId="47">
    <w:abstractNumId w:val="20138"/>
  </w:num>
  <w:num w:numId="48">
    <w:abstractNumId w:val="20139"/>
  </w:num>
  <w:num w:numId="49">
    <w:abstractNumId w:val="20140"/>
  </w:num>
  <w:num w:numId="50">
    <w:abstractNumId w:val="20141"/>
  </w:num>
  <w:num w:numId="51">
    <w:abstractNumId w:val="20142"/>
  </w:num>
  <w:num w:numId="52">
    <w:abstractNumId w:val="20143"/>
  </w:num>
  <w:num w:numId="53">
    <w:abstractNumId w:val="20144"/>
  </w:num>
  <w:num w:numId="54">
    <w:abstractNumId w:val="20145"/>
  </w:num>
  <w:num w:numId="55">
    <w:abstractNumId w:val="20146"/>
  </w:num>
  <w:num w:numId="56">
    <w:abstractNumId w:val="20147"/>
  </w:num>
  <w:num w:numId="57">
    <w:abstractNumId w:val="20148"/>
  </w:num>
  <w:num w:numId="58">
    <w:abstractNumId w:val="20149"/>
  </w:num>
  <w:num w:numId="59">
    <w:abstractNumId w:val="20150"/>
  </w:num>
  <w:num w:numId="60">
    <w:abstractNumId w:val="20151"/>
  </w:num>
  <w:num w:numId="61">
    <w:abstractNumId w:val="20152"/>
  </w:num>
  <w:num w:numId="62">
    <w:abstractNumId w:val="20153"/>
  </w:num>
  <w:num w:numId="63">
    <w:abstractNumId w:val="20154"/>
  </w:num>
  <w:num w:numId="64">
    <w:abstractNumId w:val="20155"/>
  </w:num>
  <w:num w:numId="65">
    <w:abstractNumId w:val="20156"/>
  </w:num>
  <w:num w:numId="66">
    <w:abstractNumId w:val="20157"/>
  </w:num>
  <w:num w:numId="67">
    <w:abstractNumId w:val="20158"/>
  </w:num>
  <w:num w:numId="68">
    <w:abstractNumId w:val="20159"/>
  </w:num>
  <w:num w:numId="69">
    <w:abstractNumId w:val="20160"/>
  </w:num>
  <w:num w:numId="70">
    <w:abstractNumId w:val="20161"/>
  </w:num>
  <w:num w:numId="71">
    <w:abstractNumId w:val="20162"/>
  </w:num>
  <w:num w:numId="72">
    <w:abstractNumId w:val="20163"/>
  </w:num>
  <w:num w:numId="73">
    <w:abstractNumId w:val="20164"/>
  </w:num>
  <w:num w:numId="74">
    <w:abstractNumId w:val="20165"/>
  </w:num>
  <w:num w:numId="75">
    <w:abstractNumId w:val="20166"/>
  </w:num>
  <w:num w:numId="76">
    <w:abstractNumId w:val="20167"/>
  </w:num>
  <w:num w:numId="77">
    <w:abstractNumId w:val="20168"/>
  </w:num>
  <w:num w:numId="78">
    <w:abstractNumId w:val="20169"/>
  </w:num>
  <w:num w:numId="79">
    <w:abstractNumId w:val="20170"/>
  </w:num>
  <w:num w:numId="80">
    <w:abstractNumId w:val="20171"/>
  </w:num>
  <w:num w:numId="81">
    <w:abstractNumId w:val="20172"/>
  </w:num>
  <w:num w:numId="82">
    <w:abstractNumId w:val="20173"/>
  </w:num>
  <w:num w:numId="83">
    <w:abstractNumId w:val="20174"/>
  </w:num>
  <w:num w:numId="84">
    <w:abstractNumId w:val="20175"/>
  </w:num>
  <w:num w:numId="85">
    <w:abstractNumId w:val="20176"/>
  </w:num>
  <w:num w:numId="86">
    <w:abstractNumId w:val="20177"/>
  </w:num>
  <w:num w:numId="87">
    <w:abstractNumId w:val="20178"/>
  </w:num>
  <w:num w:numId="88">
    <w:abstractNumId w:val="20179"/>
  </w:num>
  <w:num w:numId="89">
    <w:abstractNumId w:val="20180"/>
  </w:num>
  <w:num w:numId="90">
    <w:abstractNumId w:val="20181"/>
  </w:num>
  <w:num w:numId="91">
    <w:abstractNumId w:val="20182"/>
  </w:num>
  <w:num w:numId="92">
    <w:abstractNumId w:val="20183"/>
  </w:num>
  <w:num w:numId="93">
    <w:abstractNumId w:val="20184"/>
  </w:num>
  <w:num w:numId="94">
    <w:abstractNumId w:val="20185"/>
  </w:num>
  <w:num w:numId="95">
    <w:abstractNumId w:val="20186"/>
  </w:num>
  <w:num w:numId="96">
    <w:abstractNumId w:val="20187"/>
  </w:num>
  <w:num w:numId="97">
    <w:abstractNumId w:val="20188"/>
  </w:num>
  <w:num w:numId="98">
    <w:abstractNumId w:val="20189"/>
  </w:num>
  <w:num w:numId="99">
    <w:abstractNumId w:val="20190"/>
  </w:num>
  <w:num w:numId="100">
    <w:abstractNumId w:val="20191"/>
  </w:num>
  <w:num w:numId="101">
    <w:abstractNumId w:val="20192"/>
  </w:num>
  <w:num w:numId="102">
    <w:abstractNumId w:val="20193"/>
  </w:num>
  <w:num w:numId="103">
    <w:abstractNumId w:val="20194"/>
  </w:num>
  <w:num w:numId="104">
    <w:abstractNumId w:val="20195"/>
  </w:num>
  <w:num w:numId="105">
    <w:abstractNumId w:val="20196"/>
  </w:num>
  <w:num w:numId="106">
    <w:abstractNumId w:val="20197"/>
  </w:num>
  <w:num w:numId="107">
    <w:abstractNumId w:val="20198"/>
  </w:num>
  <w:num w:numId="108">
    <w:abstractNumId w:val="20199"/>
  </w:num>
  <w:num w:numId="109">
    <w:abstractNumId w:val="20200"/>
  </w:num>
  <w:num w:numId="110">
    <w:abstractNumId w:val="20201"/>
  </w:num>
  <w:num w:numId="111">
    <w:abstractNumId w:val="20202"/>
  </w:num>
  <w:num w:numId="112">
    <w:abstractNumId w:val="20203"/>
  </w:num>
  <w:num w:numId="113">
    <w:abstractNumId w:val="20204"/>
  </w:num>
  <w:num w:numId="114">
    <w:abstractNumId w:val="20205"/>
  </w:num>
  <w:num w:numId="115">
    <w:abstractNumId w:val="20206"/>
  </w:num>
  <w:num w:numId="116">
    <w:abstractNumId w:val="20207"/>
  </w:num>
  <w:num w:numId="117">
    <w:abstractNumId w:val="20208"/>
  </w:num>
  <w:num w:numId="118">
    <w:abstractNumId w:val="20209"/>
  </w:num>
  <w:num w:numId="119">
    <w:abstractNumId w:val="20210"/>
  </w:num>
  <w:num w:numId="120">
    <w:abstractNumId w:val="20211"/>
  </w:num>
  <w:num w:numId="121">
    <w:abstractNumId w:val="20212"/>
  </w:num>
  <w:num w:numId="122">
    <w:abstractNumId w:val="20213"/>
  </w:num>
  <w:num w:numId="123">
    <w:abstractNumId w:val="20214"/>
  </w:num>
  <w:num w:numId="124">
    <w:abstractNumId w:val="20215"/>
  </w:num>
  <w:num w:numId="125">
    <w:abstractNumId w:val="20216"/>
  </w:num>
  <w:num w:numId="126">
    <w:abstractNumId w:val="20217"/>
  </w:num>
  <w:num w:numId="127">
    <w:abstractNumId w:val="20218"/>
  </w:num>
  <w:num w:numId="128">
    <w:abstractNumId w:val="20219"/>
  </w:num>
  <w:num w:numId="129">
    <w:abstractNumId w:val="2022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https://www.paddlepaddle.org.cn/documentation/docs/zh/3.2/guides/beginner/model_save_load_cn.html?utm_source=chatgpt.com" TargetMode="External" Type="http://schemas.openxmlformats.org/officeDocument/2006/relationships/hyperlink"/><Relationship Id="rId12" Target="https://www.paddlepaddle.org.cn/documentation/docs/zh/guides/infer/inference/inference_cn.html?utm_source=chatgpt.com" TargetMode="External" Type="http://schemas.openxmlformats.org/officeDocument/2006/relationships/hyperlink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2026-03-24T12:32:19Z</dcterms:created>
  <dc:creator>Apache POI</dc:creator>
</cp:coreProperties>
</file>