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微软雅黑" w:cs="微软雅黑" w:eastAsia="微软雅黑" w:hAnsi="微软雅黑"/>
          <w:b/>
          <w:bCs/>
          <w:color w:val="1D4ED8"/>
          <w:sz w:val="52"/>
          <w:szCs w:val="52"/>
        </w:rPr>
        <w:t xml:space="preserve">一口价促销活动 PRD 文档</w:t>
      </w:r>
    </w:p>
    <w:p>
      <w:pPr>
        <w:spacing w:after="600"/>
        <w:jc w:val="center"/>
      </w:pPr>
      <w:r>
        <w:rPr>
          <w:rFonts w:ascii="微软雅黑" w:cs="微软雅黑" w:eastAsia="微软雅黑" w:hAnsi="微软雅黑"/>
          <w:color w:val="595959"/>
          <w:sz w:val="24"/>
          <w:szCs w:val="24"/>
        </w:rPr>
        <w:t xml:space="preserve">促销中心 / 促销活动 / 一口价（直降价型）</w:t>
      </w:r>
    </w:p>
    <w:tbl>
      <w:tblPr>
        <w:tblW w:type="pct" w:w="85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模板</w:t>
            </w:r>
          </w:p>
        </w:tc>
        <w:tc>
          <w:tcPr>
            <w:tcW w:type="pct" w:w="7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T-1010 一口价（直降类型）</w:t>
            </w:r>
          </w:p>
        </w:tc>
      </w:tr>
      <w:tr>
        <w:tc>
          <w:tcPr>
            <w:tcW w:type="pct" w:w="2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路由</w:t>
            </w:r>
          </w:p>
        </w:tc>
        <w:tc>
          <w:tcPr>
            <w:tcW w:type="pct" w:w="7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促销活动 → 新增 → 选择“一口价”模板</w:t>
            </w:r>
          </w:p>
        </w:tc>
      </w:tr>
      <w:tr>
        <w:tc>
          <w:tcPr>
            <w:tcW w:type="pct" w:w="2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文档版本</w:t>
            </w:r>
          </w:p>
        </w:tc>
        <w:tc>
          <w:tcPr>
            <w:tcW w:type="pct" w:w="7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V1.0（功能需求为核心，合并业务逻辑/操作/字段逻辑）</w:t>
            </w:r>
          </w:p>
        </w:tc>
      </w:tr>
      <w:tr>
        <w:tc>
          <w:tcPr>
            <w:tcW w:type="pct" w:w="2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对应原型版本</w:t>
            </w:r>
          </w:p>
        </w:tc>
        <w:tc>
          <w:tcPr>
            <w:tcW w:type="pct" w:w="7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2026-06-23</w:t>
            </w:r>
          </w:p>
        </w:tc>
      </w:tr>
      <w:tr>
        <w:tc>
          <w:tcPr>
            <w:tcW w:type="pct" w:w="2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编制说明</w:t>
            </w:r>
          </w:p>
        </w:tc>
        <w:tc>
          <w:tcPr>
            <w:tcW w:type="pct" w:w="7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仅基于原型现有实现梳理，需求与逻辑据原型填充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微软雅黑" w:cs="微软雅黑" w:eastAsia="微软雅黑" w:hAnsi="微软雅黑"/>
          <w:b/>
          <w:bCs/>
          <w:color w:val="1D4ED8"/>
          <w:sz w:val="36"/>
          <w:szCs w:val="36"/>
        </w:rPr>
        <w:t xml:space="preserve">1. 整体说明</w:t>
      </w:r>
    </w:p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color w:val="1D4ED8"/>
          <w:sz w:val="28"/>
          <w:szCs w:val="28"/>
        </w:rPr>
        <w:t xml:space="preserve">1.1 业务定义</w:t>
      </w:r>
    </w:p>
    <w:p>
      <w:pPr>
        <w:spacing w:after="80" w:before="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一口价是直降（特价）类型下的定价类促销活动：对选定商品，按“购满条件（满X元购N件）”以固定价格售卖。典型场景如“日百纺织 9.9 元”“618 日百 19.9 元”，即消费者满足购满条件后，指定商品按一口价成交。</w:t>
      </w:r>
    </w:p>
    <w:p>
      <w:pPr>
        <w:spacing w:after="80" w:before="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一口价活动基于模板 T-1010（一口价，templateType=直降）创建。模板预置：仅单品、线下渠道、按门店、面向全部用户、适用品类 日百/纺织。</w:t>
      </w:r>
    </w:p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color w:val="1D4ED8"/>
          <w:sz w:val="28"/>
          <w:szCs w:val="28"/>
        </w:rPr>
        <w:t xml:space="preserve">1.2 模块边界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范围内</w:t>
            </w:r>
          </w:p>
        </w:tc>
        <w:tc>
          <w:tcPr>
            <w:tcW w:type="pct" w:w="5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范围外</w:t>
            </w:r>
          </w:p>
        </w:tc>
      </w:tr>
      <w:tr>
        <w:tc>
          <w:tcPr>
            <w:tcW w:type="pct" w:w="5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一口价活动的新增、编辑、查询、详情、提交审核、审核、生效、终止</w:t>
            </w:r>
          </w:p>
        </w:tc>
        <w:tc>
          <w:tcPr>
            <w:tcW w:type="pct" w:w="5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一口价模板本身的维护（在“促销模板”模块）</w:t>
            </w:r>
          </w:p>
        </w:tc>
      </w:tr>
      <w:tr>
        <w:tc>
          <w:tcPr>
            <w:tcW w:type="pct" w:w="5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一口价活动的购满条件与商品范围配置</w:t>
            </w:r>
          </w:p>
        </w:tc>
        <w:tc>
          <w:tcPr>
            <w:tcW w:type="pct" w:w="5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商品/门店/会员等主档数据维护（在“主档信息”模块）</w:t>
            </w:r>
          </w:p>
        </w:tc>
      </w:tr>
      <w:tr>
        <w:tc>
          <w:tcPr>
            <w:tcW w:type="pct" w:w="5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一口价活动状态生命周期管理</w:t>
            </w:r>
          </w:p>
        </w:tc>
        <w:tc>
          <w:tcPr>
            <w:tcW w:type="pct" w:w="5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算价引擎实际计算（在“促销计算”模块，原型未实现一口价算价）</w:t>
            </w:r>
          </w:p>
        </w:tc>
      </w:tr>
    </w:tbl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color w:val="1D4ED8"/>
          <w:sz w:val="28"/>
          <w:szCs w:val="28"/>
        </w:rPr>
        <w:t xml:space="preserve">1.3 核心概念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购满条件（combos）：一组“购满金额 + 购买数量”的组合，如“满199元购1件”“满399元购2件”，支持多组。这是一口价区别于普通特价的核心配置。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一口价商品：参与活动的商品清单，记录商品编码、条码、名称、规格、单位、进价、售价；一口价成交价由购满条件与商品售价在算价阶段确定。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活动状态：输入 → 审核中 → 生效 → （终止）；与所有促销活动共享同一状态机。</w:t>
      </w:r>
    </w:p>
    <w:p>
      <w:pPr>
        <w:pStyle w:val="Heading1"/>
        <w:spacing w:after="160" w:before="320"/>
      </w:pPr>
      <w:r>
        <w:rPr>
          <w:rFonts w:ascii="微软雅黑" w:cs="微软雅黑" w:eastAsia="微软雅黑" w:hAnsi="微软雅黑"/>
          <w:b/>
          <w:bCs/>
          <w:color w:val="1D4ED8"/>
          <w:sz w:val="36"/>
          <w:szCs w:val="36"/>
        </w:rPr>
        <w:t xml:space="preserve">2. 操作流程图</w:t>
      </w:r>
    </w:p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color w:val="1D4ED8"/>
          <w:sz w:val="28"/>
          <w:szCs w:val="28"/>
        </w:rPr>
        <w:t xml:space="preserve">2.1 一口价活动生命周期</w:t>
      </w:r>
    </w:p>
    <w:p>
      <w:pPr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新增一口价活动（选 T-1010 模板）</w:t>
      </w:r>
    </w:p>
    <w:p>
      <w:pPr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  │ 配置：基础信息 / 用户范围 / 门店范围 / 商品范围 / 承担规则</w:t>
      </w:r>
    </w:p>
    <w:p>
      <w:pPr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  ▼</w:t>
      </w:r>
    </w:p>
    <w:p>
      <w:pPr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输入（草稿） ─── 可反复编辑</w:t>
      </w:r>
    </w:p>
    <w:p>
      <w:pPr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  │ 提交审核</w:t>
      </w:r>
    </w:p>
    <w:p>
      <w:pPr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  ▼</w:t>
      </w:r>
    </w:p>
    <w:p>
      <w:pPr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审核中 ──审核通过──▶ 生效 ──终止──▶ 已终止</w:t>
      </w:r>
    </w:p>
    <w:p>
      <w:pPr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        └─审核驳回─▶ 回到 输入</w:t>
      </w:r>
    </w:p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color w:val="1D4ED8"/>
          <w:sz w:val="28"/>
          <w:szCs w:val="28"/>
        </w:rPr>
        <w:t xml:space="preserve">2.2 新增一口价活动向导</w:t>
      </w:r>
    </w:p>
    <w:p>
      <w:pPr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基础信息          用户范围        门店范围        商品范围           承担规则</w:t>
      </w:r>
    </w:p>
    <w:p>
      <w:pPr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┌──────────┐    ┌──────────┐   ┌──────────┐   ┌──────────────┐   ┌──────────┐</w:t>
      </w:r>
    </w:p>
    <w:p>
      <w:pPr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│活动主题   │ ▶ │渠道/用户  │ ▶ │门店清单   │ ▶ │购满条件+商品  │ ▶ │承担方式  │</w:t>
      </w:r>
    </w:p>
    <w:p>
      <w:pPr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│模板/档期   │    │会员等级   │   │           │   │(满X元购N件)  │    │供货/采购 │</w:t>
      </w:r>
    </w:p>
    <w:p>
      <w:pPr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│时间/周期   │    │会员标签   │   │           │   │商品清单       │    │          │</w:t>
      </w:r>
    </w:p>
    <w:p>
      <w:pPr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│销售目标   │    │           │   │           │   │              │    │          │</w:t>
      </w:r>
    </w:p>
    <w:p>
      <w:pPr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└──────────┘    └──────────┘   └──────────┘   └──────────────┘   └──────────┘</w:t>
      </w:r>
    </w:p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color w:val="1D4ED8"/>
          <w:sz w:val="28"/>
          <w:szCs w:val="28"/>
        </w:rPr>
        <w:t xml:space="preserve">2.3 业务场景示例</w:t>
      </w:r>
    </w:p>
    <w:p>
      <w:pPr>
        <w:spacing w:after="80" w:before="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样例：一口价-日百纺织9.9元（ACT-2026-0140）。购满条件：满199元购1件、满399元购2件；商品：纯棉毛巾、竹纤维方巾、压缩毛巾等，统一 9.9 元一口价；门店：华东旗舰店、华南社区店；周期：周一至周五。</w:t>
      </w:r>
    </w:p>
    <w:p>
      <w:pPr>
        <w:pStyle w:val="Heading1"/>
        <w:spacing w:after="160" w:before="320"/>
      </w:pPr>
      <w:r>
        <w:rPr>
          <w:rFonts w:ascii="微软雅黑" w:cs="微软雅黑" w:eastAsia="微软雅黑" w:hAnsi="微软雅黑"/>
          <w:b/>
          <w:bCs/>
          <w:color w:val="1D4ED8"/>
          <w:sz w:val="36"/>
          <w:szCs w:val="36"/>
        </w:rPr>
        <w:t xml:space="preserve">3. 当前界面</w:t>
      </w:r>
    </w:p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color w:val="1D4ED8"/>
          <w:sz w:val="28"/>
          <w:szCs w:val="28"/>
        </w:rPr>
        <w:t xml:space="preserve">3.1 界面清单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界面</w:t>
            </w:r>
          </w:p>
        </w:tc>
        <w:tc>
          <w:tcPr>
            <w:tcW w:type="pct" w:w="3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入口</w:t>
            </w:r>
          </w:p>
        </w:tc>
        <w:tc>
          <w:tcPr>
            <w:tcW w:type="pct" w:w="4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活动列表</w:t>
            </w:r>
          </w:p>
        </w:tc>
        <w:tc>
          <w:tcPr>
            <w:tcW w:type="pct" w:w="3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促销活动 → 一口价 二级菜单</w:t>
            </w:r>
          </w:p>
        </w:tc>
        <w:tc>
          <w:tcPr>
            <w:tcW w:type="pct" w:w="4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查询、列表、单行操作</w:t>
            </w:r>
          </w:p>
        </w:tc>
      </w:tr>
      <w:tr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一口价新增向导</w:t>
            </w:r>
          </w:p>
        </w:tc>
        <w:tc>
          <w:tcPr>
            <w:tcW w:type="pct" w:w="3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列表“新增”→选一口价模板</w:t>
            </w:r>
          </w:p>
        </w:tc>
        <w:tc>
          <w:tcPr>
            <w:tcW w:type="pct" w:w="4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5 个 tab 切换式配置</w:t>
            </w:r>
          </w:p>
        </w:tc>
      </w:tr>
      <w:tr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一口价编辑向导</w:t>
            </w:r>
          </w:p>
        </w:tc>
        <w:tc>
          <w:tcPr>
            <w:tcW w:type="pct" w:w="3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列表“编辑”（仅输入态）</w:t>
            </w:r>
          </w:p>
        </w:tc>
        <w:tc>
          <w:tcPr>
            <w:tcW w:type="pct" w:w="4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同新增</w:t>
            </w:r>
          </w:p>
        </w:tc>
      </w:tr>
      <w:tr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一口价活动详情</w:t>
            </w:r>
          </w:p>
        </w:tc>
        <w:tc>
          <w:tcPr>
            <w:tcW w:type="pct" w:w="3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列表“详情”</w:t>
            </w:r>
          </w:p>
        </w:tc>
        <w:tc>
          <w:tcPr>
            <w:tcW w:type="pct" w:w="4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只读 5 tab + 购满条件/商品展示</w:t>
            </w:r>
          </w:p>
        </w:tc>
      </w:tr>
    </w:tbl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color w:val="1D4ED8"/>
          <w:sz w:val="28"/>
          <w:szCs w:val="28"/>
        </w:rPr>
        <w:t xml:space="preserve">3.2 向导 tab 结构</w:t>
      </w:r>
    </w:p>
    <w:p>
      <w:pPr>
        <w:spacing w:after="80" w:before="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一口价活动向导采用 tab 切换式（非线性步骤），共 5 个 tab：基础信息 / 用户范围 / 门店范围 / 商品范围 / 承担规则。底部提供“上一步/下一步/保存/提交审核”。</w:t>
      </w:r>
    </w:p>
    <w:p>
      <w:pPr>
        <w:pStyle w:val="Heading1"/>
        <w:spacing w:after="160" w:before="320"/>
      </w:pPr>
      <w:r>
        <w:rPr>
          <w:rFonts w:ascii="微软雅黑" w:cs="微软雅黑" w:eastAsia="微软雅黑" w:hAnsi="微软雅黑"/>
          <w:b/>
          <w:bCs/>
          <w:color w:val="1D4ED8"/>
          <w:sz w:val="36"/>
          <w:szCs w:val="36"/>
        </w:rPr>
        <w:t xml:space="preserve">4. 非功能需求（含权限设计方案）</w:t>
      </w:r>
    </w:p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color w:val="1D4ED8"/>
          <w:sz w:val="28"/>
          <w:szCs w:val="28"/>
        </w:rPr>
        <w:t xml:space="preserve">4.1 性能与兼容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列表查询响应 ≤ 1s；新增/编辑保存响应 ≤ 1.5s；支持 50 并发查询、10 并发写入。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浏览器：Chrome/Edge/Safari 最新两个大版本；分辨率最低 1366×768，推荐 1920×1080；PC Web 为主。</w:t>
      </w:r>
    </w:p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color w:val="1D4ED8"/>
          <w:sz w:val="28"/>
          <w:szCs w:val="28"/>
        </w:rPr>
        <w:t xml:space="preserve">4.2 数据安全与审计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活动创建/编辑/提交/审核/生效/终止全程记录操作人、时间、前后快照，审计日志保留 ≥ 1 年。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活动编码服务端统一分配；生效态活动不可直接编辑（需先终止或新建）；终止操作不可自动恢复。</w:t>
      </w:r>
    </w:p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color w:val="1D4ED8"/>
          <w:sz w:val="28"/>
          <w:szCs w:val="28"/>
        </w:rPr>
        <w:t xml:space="preserve">4.3 权限设计方案</w:t>
      </w:r>
    </w:p>
    <w:p>
      <w:pPr>
        <w:spacing w:after="80" w:before="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沿用促销中心统一角色模型：促销配置员（PROMO_CONFIG）、促销审核员（PROMO_AUDIT）、促销管理员（PROMO_ADMIN）、只读查看者（PROMO_VIEW）。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4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操作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配置员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审核员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管理员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查看者</w:t>
            </w:r>
          </w:p>
        </w:tc>
      </w:tr>
      <w:tr>
        <w:tc>
          <w:tcPr>
            <w:tcW w:type="pct" w:w="4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查询/查看列表与详情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✓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✓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✓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pct" w:w="4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新增/编辑/保存/提交审核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✓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—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✓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4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审核通过/驳回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—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✓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✓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4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生效/终止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—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—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✓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4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导出/打印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✓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✓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✓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—</w:t>
            </w:r>
          </w:p>
        </w:tc>
      </w:tr>
    </w:tbl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审核分离：同一人不可既提交又审核同一活动。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数据权限：管理员可看全集团；区域配置员仅维护本区域门店的活动。</w:t>
      </w:r>
    </w:p>
    <w:p>
      <w:pPr>
        <w:pStyle w:val="Heading1"/>
        <w:spacing w:after="160" w:before="320"/>
      </w:pPr>
      <w:r>
        <w:rPr>
          <w:rFonts w:ascii="微软雅黑" w:cs="微软雅黑" w:eastAsia="微软雅黑" w:hAnsi="微软雅黑"/>
          <w:b/>
          <w:bCs/>
          <w:color w:val="1D4ED8"/>
          <w:sz w:val="36"/>
          <w:szCs w:val="36"/>
        </w:rPr>
        <w:t xml:space="preserve">6. 功能需求</w:t>
      </w:r>
    </w:p>
    <w:p>
      <w:pPr>
        <w:spacing w:after="80" w:before="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本章为文档核心。每个功能点统一包含三部分：业务逻辑与规则、操作说明、字段逻辑解释（如涉及）。</w:t>
      </w:r>
    </w:p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color w:val="1D4ED8"/>
          <w:sz w:val="28"/>
          <w:szCs w:val="28"/>
        </w:rPr>
        <w:t xml:space="preserve">6.0 功能总览与状态机</w:t>
      </w:r>
    </w:p>
    <w:p>
      <w:pPr>
        <w:spacing w:after="80" w:before="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一口价活动共 8 个功能点：查询列表、新增（核心）、编辑、详情、提交审核、审核、生效与终止、删除/复制。其中“新增一口价活动”承载全部配置，是核心功能。</w:t>
      </w:r>
    </w:p>
    <w:p>
      <w:pPr>
        <w:shd w:fill="F4F7FB" w:color="auto" w:val="clear"/>
        <w:spacing w:after="60" w:before="120"/>
      </w:pPr>
      <w:r>
        <w:rPr>
          <w:rFonts w:ascii="微软雅黑" w:cs="微软雅黑" w:eastAsia="微软雅黑" w:hAnsi="微软雅黑"/>
          <w:b/>
          <w:bCs/>
          <w:color w:val="1D4ED8"/>
          <w:sz w:val="22"/>
          <w:szCs w:val="22"/>
        </w:rPr>
        <w:t xml:space="preserve">▎活动状态流转规则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当前状态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允许操作</w:t>
            </w:r>
          </w:p>
        </w:tc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目标状态</w:t>
            </w:r>
          </w:p>
        </w:tc>
        <w:tc>
          <w:tcPr>
            <w:tcW w:type="pct" w:w="4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前置校验</w:t>
            </w:r>
          </w:p>
        </w:tc>
      </w:tr>
      <w:tr>
        <w:tc>
          <w:tcPr>
            <w:tcW w:type="pct" w:w="1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输入（草稿）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编辑 / 保存</w:t>
            </w:r>
          </w:p>
        </w:tc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输入</w:t>
            </w:r>
          </w:p>
        </w:tc>
        <w:tc>
          <w:tcPr>
            <w:tcW w:type="pct" w:w="4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仅输入态可编辑</w:t>
            </w:r>
          </w:p>
        </w:tc>
      </w:tr>
      <w:tr>
        <w:tc>
          <w:tcPr>
            <w:tcW w:type="pct" w:w="1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输入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提交审核</w:t>
            </w:r>
          </w:p>
        </w:tc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审核中</w:t>
            </w:r>
          </w:p>
        </w:tc>
        <w:tc>
          <w:tcPr>
            <w:tcW w:type="pct" w:w="4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必填项校验（见 6.2）</w:t>
            </w:r>
          </w:p>
        </w:tc>
      </w:tr>
      <w:tr>
        <w:tc>
          <w:tcPr>
            <w:tcW w:type="pct" w:w="1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审核中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审核通过</w:t>
            </w:r>
          </w:p>
        </w:tc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生效</w:t>
            </w:r>
          </w:p>
        </w:tc>
        <w:tc>
          <w:tcPr>
            <w:tcW w:type="pct" w:w="4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审核人 ≠ 提交人</w:t>
            </w:r>
          </w:p>
        </w:tc>
      </w:tr>
      <w:tr>
        <w:tc>
          <w:tcPr>
            <w:tcW w:type="pct" w:w="1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审核中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审核驳回</w:t>
            </w:r>
          </w:p>
        </w:tc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输入</w:t>
            </w:r>
          </w:p>
        </w:tc>
        <w:tc>
          <w:tcPr>
            <w:tcW w:type="pct" w:w="4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记录驳回原因</w:t>
            </w:r>
          </w:p>
        </w:tc>
      </w:tr>
      <w:tr>
        <w:tc>
          <w:tcPr>
            <w:tcW w:type="pct" w:w="1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生效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终止</w:t>
            </w:r>
          </w:p>
        </w:tc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已终止</w:t>
            </w:r>
          </w:p>
        </w:tc>
        <w:tc>
          <w:tcPr>
            <w:tcW w:type="pct" w:w="4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二次确认</w:t>
            </w:r>
          </w:p>
        </w:tc>
      </w:tr>
      <w:tr>
        <w:tc>
          <w:tcPr>
            <w:tcW w:type="pct" w:w="1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输入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删除</w:t>
            </w:r>
          </w:p>
        </w:tc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（物理删除）</w:t>
            </w:r>
          </w:p>
        </w:tc>
        <w:tc>
          <w:tcPr>
            <w:tcW w:type="pct" w:w="4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仅输入态可删</w:t>
            </w:r>
          </w:p>
        </w:tc>
      </w:tr>
    </w:tbl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color w:val="1D4ED8"/>
          <w:sz w:val="28"/>
          <w:szCs w:val="28"/>
        </w:rPr>
        <w:t xml:space="preserve">6.1 FR-01 活动查询与列表</w:t>
      </w:r>
    </w:p>
    <w:p>
      <w:pPr>
        <w:shd w:fill="F4F7FB" w:color="auto" w:val="clear"/>
        <w:spacing w:after="60" w:before="120"/>
      </w:pPr>
      <w:r>
        <w:rPr>
          <w:rFonts w:ascii="微软雅黑" w:cs="微软雅黑" w:eastAsia="微软雅黑" w:hAnsi="微软雅黑"/>
          <w:b/>
          <w:bCs/>
          <w:color w:val="1D4ED8"/>
          <w:sz w:val="22"/>
          <w:szCs w:val="22"/>
        </w:rPr>
        <w:t xml:space="preserve">▎业务逻辑与规则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进入“促销活动 → 一口价”二级菜单，展示该类型活动列表。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支持按活动编号、活动主题（模糊）、促销类型、活动状态、档期、时间范围等条件组合查询。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操作列按活动状态动态展示：编辑（输入态）、提交（输入态）、审核（审核中）、详情（任意）、终止（生效态）、删除（输入态）。</w:t>
      </w:r>
    </w:p>
    <w:p>
      <w:pPr>
        <w:shd w:fill="F4F7FB" w:color="auto" w:val="clear"/>
        <w:spacing w:after="60" w:before="120"/>
      </w:pPr>
      <w:r>
        <w:rPr>
          <w:rFonts w:ascii="微软雅黑" w:cs="微软雅黑" w:eastAsia="微软雅黑" w:hAnsi="微软雅黑"/>
          <w:b/>
          <w:bCs/>
          <w:color w:val="1D4ED8"/>
          <w:sz w:val="22"/>
          <w:szCs w:val="22"/>
        </w:rPr>
        <w:t xml:space="preserve">▎操作说明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操作</w:t>
            </w:r>
          </w:p>
        </w:tc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入口</w:t>
            </w:r>
          </w:p>
        </w:tc>
        <w:tc>
          <w:tcPr>
            <w:tcW w:type="pct" w:w="2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前置条件</w:t>
            </w:r>
          </w:p>
        </w:tc>
        <w:tc>
          <w:tcPr>
            <w:tcW w:type="pct" w:w="3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执行结果</w:t>
            </w:r>
          </w:p>
        </w:tc>
      </w:tr>
      <w:tr>
        <w:tc>
          <w:tcPr>
            <w:tcW w:type="pct" w:w="1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查询</w:t>
            </w:r>
          </w:p>
        </w:tc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查询按钮</w:t>
            </w:r>
          </w:p>
        </w:tc>
        <w:tc>
          <w:tcPr>
            <w:tcW w:type="pct" w:w="2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无</w:t>
            </w:r>
          </w:p>
        </w:tc>
        <w:tc>
          <w:tcPr>
            <w:tcW w:type="pct" w:w="3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按条件刷新列表</w:t>
            </w:r>
          </w:p>
        </w:tc>
      </w:tr>
      <w:tr>
        <w:tc>
          <w:tcPr>
            <w:tcW w:type="pct" w:w="1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重置</w:t>
            </w:r>
          </w:p>
        </w:tc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重置按钮</w:t>
            </w:r>
          </w:p>
        </w:tc>
        <w:tc>
          <w:tcPr>
            <w:tcW w:type="pct" w:w="2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无</w:t>
            </w:r>
          </w:p>
        </w:tc>
        <w:tc>
          <w:tcPr>
            <w:tcW w:type="pct" w:w="3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清空筛选条件</w:t>
            </w:r>
          </w:p>
        </w:tc>
      </w:tr>
      <w:tr>
        <w:tc>
          <w:tcPr>
            <w:tcW w:type="pct" w:w="1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翻页</w:t>
            </w:r>
          </w:p>
        </w:tc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分页区</w:t>
            </w:r>
          </w:p>
        </w:tc>
        <w:tc>
          <w:tcPr>
            <w:tcW w:type="pct" w:w="2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无</w:t>
            </w:r>
          </w:p>
        </w:tc>
        <w:tc>
          <w:tcPr>
            <w:tcW w:type="pct" w:w="3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切换页码</w:t>
            </w:r>
          </w:p>
        </w:tc>
      </w:tr>
      <w:tr>
        <w:tc>
          <w:tcPr>
            <w:tcW w:type="pct" w:w="1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新增</w:t>
            </w:r>
          </w:p>
        </w:tc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工具栏“新增”</w:t>
            </w:r>
          </w:p>
        </w:tc>
        <w:tc>
          <w:tcPr>
            <w:tcW w:type="pct" w:w="2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有新建权限</w:t>
            </w:r>
          </w:p>
        </w:tc>
        <w:tc>
          <w:tcPr>
            <w:tcW w:type="pct" w:w="3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跳转新增向导，选一口价模板</w:t>
            </w:r>
          </w:p>
        </w:tc>
      </w:tr>
    </w:tbl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color w:val="1D4ED8"/>
          <w:sz w:val="28"/>
          <w:szCs w:val="28"/>
        </w:rPr>
        <w:t xml:space="preserve">6.2 FR-02 新增一口价活动（核心）</w:t>
      </w:r>
    </w:p>
    <w:p>
      <w:pPr>
        <w:shd w:fill="F4F7FB" w:color="auto" w:val="clear"/>
        <w:spacing w:after="60" w:before="120"/>
      </w:pPr>
      <w:r>
        <w:rPr>
          <w:rFonts w:ascii="微软雅黑" w:cs="微软雅黑" w:eastAsia="微软雅黑" w:hAnsi="微软雅黑"/>
          <w:b/>
          <w:bCs/>
          <w:color w:val="1D4ED8"/>
          <w:sz w:val="22"/>
          <w:szCs w:val="22"/>
        </w:rPr>
        <w:t xml:space="preserve">▎业务逻辑与规则（总）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入口：列表“新增”→选择模板 T-1010（一口价）→进入 5 tab 向导。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活动编码：新建时系统自动产生（保存时生成），用户不可编辑。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促销类型、模板名称、活动类型在选定模板后自动带出，不可改。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商品范围 tab 为一口价核心：先配“购满条件”（满X元购N件），再维护“商品清单”。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校验：基础信息必填项（活动主题/模板/档期/起止时间）；商品范围需至少一组购满条件，且金额&gt;0、数量为正整数。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两种保存：“保存”（留在输入态，可继续编辑）；“提交审核”（进入审核中）。</w:t>
      </w:r>
    </w:p>
    <w:p>
      <w:pPr>
        <w:pStyle w:val="Heading3"/>
        <w:spacing w:after="80" w:before="180"/>
      </w:pPr>
      <w:r>
        <w:rPr>
          <w:rFonts w:ascii="微软雅黑" w:cs="微软雅黑" w:eastAsia="微软雅黑" w:hAnsi="微软雅黑"/>
          <w:b/>
          <w:bCs/>
          <w:color w:val="1F2937"/>
          <w:sz w:val="24"/>
          <w:szCs w:val="24"/>
        </w:rPr>
        <w:t xml:space="preserve">6.2.1 基础信息 tab</w:t>
      </w:r>
    </w:p>
    <w:p>
      <w:pPr>
        <w:shd w:fill="F4F7FB" w:color="auto" w:val="clear"/>
        <w:spacing w:after="60" w:before="120"/>
      </w:pPr>
      <w:r>
        <w:rPr>
          <w:rFonts w:ascii="微软雅黑" w:cs="微软雅黑" w:eastAsia="微软雅黑" w:hAnsi="微软雅黑"/>
          <w:b/>
          <w:bCs/>
          <w:color w:val="1D4ED8"/>
          <w:sz w:val="22"/>
          <w:szCs w:val="22"/>
        </w:rPr>
        <w:t xml:space="preserve">▎操作说明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操作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入口</w:t>
            </w:r>
          </w:p>
        </w:tc>
        <w:tc>
          <w:tcPr>
            <w:tcW w:type="pct" w:w="5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执行结果</w:t>
            </w:r>
          </w:p>
        </w:tc>
      </w:tr>
      <w:tr>
        <w:tc>
          <w:tcPr>
            <w:tcW w:type="pct" w:w="2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填写/选择基础信息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表单</w:t>
            </w:r>
          </w:p>
        </w:tc>
        <w:tc>
          <w:tcPr>
            <w:tcW w:type="pct" w:w="5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暂存于活动草稿</w:t>
            </w:r>
          </w:p>
        </w:tc>
      </w:tr>
      <w:tr>
        <w:tc>
          <w:tcPr>
            <w:tcW w:type="pct" w:w="2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下一步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底部按钮</w:t>
            </w:r>
          </w:p>
        </w:tc>
        <w:tc>
          <w:tcPr>
            <w:tcW w:type="pct" w:w="5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校验必填后切到下一 tab</w:t>
            </w:r>
          </w:p>
        </w:tc>
      </w:tr>
      <w:tr>
        <w:tc>
          <w:tcPr>
            <w:tcW w:type="pct" w:w="2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保存 / 提交审核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顶部按钮</w:t>
            </w:r>
          </w:p>
        </w:tc>
        <w:tc>
          <w:tcPr>
            <w:tcW w:type="pct" w:w="5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保存为输入态 / 提交进入审核中</w:t>
            </w:r>
          </w:p>
        </w:tc>
      </w:tr>
    </w:tbl>
    <w:p>
      <w:pPr>
        <w:shd w:fill="F4F7FB" w:color="auto" w:val="clear"/>
        <w:spacing w:after="60" w:before="120"/>
      </w:pPr>
      <w:r>
        <w:rPr>
          <w:rFonts w:ascii="微软雅黑" w:cs="微软雅黑" w:eastAsia="微软雅黑" w:hAnsi="微软雅黑"/>
          <w:b/>
          <w:bCs/>
          <w:color w:val="1D4ED8"/>
          <w:sz w:val="22"/>
          <w:szCs w:val="22"/>
        </w:rPr>
        <w:t xml:space="preserve">▎字段逻辑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字段名</w:t>
            </w:r>
          </w:p>
        </w:tc>
        <w:tc>
          <w:tcPr>
            <w:tcW w:type="pct" w:w="1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字段描述</w:t>
            </w:r>
          </w:p>
        </w:tc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长度</w:t>
            </w:r>
          </w:p>
        </w:tc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必填</w:t>
            </w:r>
          </w:p>
        </w:tc>
        <w:tc>
          <w:tcPr>
            <w:tcW w:type="pct" w:w="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主键</w:t>
            </w:r>
          </w:p>
        </w:tc>
        <w:tc>
          <w:tcPr>
            <w:tcW w:type="pct" w:w="3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规则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activityNo</w:t>
            </w:r>
          </w:p>
        </w:tc>
        <w:tc>
          <w:tcPr>
            <w:tcW w:type="pct" w:w="1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活动编码</w:t>
            </w:r>
          </w:p>
        </w:tc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32</w:t>
            </w:r>
          </w:p>
        </w:tc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否</w:t>
            </w:r>
          </w:p>
        </w:tc>
        <w:tc>
          <w:tcPr>
            <w:tcW w:type="pct" w:w="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是</w:t>
            </w:r>
          </w:p>
        </w:tc>
        <w:tc>
          <w:tcPr>
            <w:tcW w:type="pct" w:w="3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保存时自动产生，格式 ACT-YYYY-XXXX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不可编辑</w:t>
            </w:r>
          </w:p>
        </w:tc>
      </w:tr>
      <w:t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activitySubject</w:t>
            </w:r>
          </w:p>
        </w:tc>
        <w:tc>
          <w:tcPr>
            <w:tcW w:type="pct" w:w="1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活动主题</w:t>
            </w:r>
          </w:p>
        </w:tc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100</w:t>
            </w:r>
          </w:p>
        </w:tc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是</w:t>
            </w:r>
          </w:p>
        </w:tc>
        <w:tc>
          <w:tcPr>
            <w:tcW w:type="pct" w:w="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否</w:t>
            </w:r>
          </w:p>
        </w:tc>
        <w:tc>
          <w:tcPr>
            <w:tcW w:type="pct" w:w="3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不可为空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如：一口价-日百纺织9.9元</w:t>
            </w:r>
          </w:p>
        </w:tc>
      </w:tr>
      <w:t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templateId/templateName</w:t>
            </w:r>
          </w:p>
        </w:tc>
        <w:tc>
          <w:tcPr>
            <w:tcW w:type="pct" w:w="1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促销模板</w:t>
            </w:r>
          </w:p>
        </w:tc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—</w:t>
            </w:r>
          </w:p>
        </w:tc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是</w:t>
            </w:r>
          </w:p>
        </w:tc>
        <w:tc>
          <w:tcPr>
            <w:tcW w:type="pct" w:w="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否</w:t>
            </w:r>
          </w:p>
        </w:tc>
        <w:tc>
          <w:tcPr>
            <w:tcW w:type="pct" w:w="3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选 T-1010 一口价；选定后不可改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带出模板</w:t>
            </w:r>
          </w:p>
        </w:tc>
      </w:tr>
      <w:t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activityType</w:t>
            </w:r>
          </w:p>
        </w:tc>
        <w:tc>
          <w:tcPr>
            <w:tcW w:type="pct" w:w="1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促销类型</w:t>
            </w:r>
          </w:p>
        </w:tc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20</w:t>
            </w:r>
          </w:p>
        </w:tc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否</w:t>
            </w:r>
          </w:p>
        </w:tc>
        <w:tc>
          <w:tcPr>
            <w:tcW w:type="pct" w:w="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否</w:t>
            </w:r>
          </w:p>
        </w:tc>
        <w:tc>
          <w:tcPr>
            <w:tcW w:type="pct" w:w="3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自动带出“直降”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只读</w:t>
            </w:r>
          </w:p>
        </w:tc>
      </w:tr>
      <w:t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scheduleId</w:t>
            </w:r>
          </w:p>
        </w:tc>
        <w:tc>
          <w:tcPr>
            <w:tcW w:type="pct" w:w="1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活动档期</w:t>
            </w:r>
          </w:p>
        </w:tc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20</w:t>
            </w:r>
          </w:p>
        </w:tc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是</w:t>
            </w:r>
          </w:p>
        </w:tc>
        <w:tc>
          <w:tcPr>
            <w:tcW w:type="pct" w:w="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否</w:t>
            </w:r>
          </w:p>
        </w:tc>
        <w:tc>
          <w:tcPr>
            <w:tcW w:type="pct" w:w="3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下拉选实际档期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必选</w:t>
            </w:r>
          </w:p>
        </w:tc>
      </w:tr>
      <w:t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activityMode</w:t>
            </w:r>
          </w:p>
        </w:tc>
        <w:tc>
          <w:tcPr>
            <w:tcW w:type="pct" w:w="1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活动模式</w:t>
            </w:r>
          </w:p>
        </w:tc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10</w:t>
            </w:r>
          </w:p>
        </w:tc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否</w:t>
            </w:r>
          </w:p>
        </w:tc>
        <w:tc>
          <w:tcPr>
            <w:tcW w:type="pct" w:w="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否</w:t>
            </w:r>
          </w:p>
        </w:tc>
        <w:tc>
          <w:tcPr>
            <w:tcW w:type="pct" w:w="3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枚举：集团/区域；默认集团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salesTarget</w:t>
            </w:r>
          </w:p>
        </w:tc>
        <w:tc>
          <w:tcPr>
            <w:tcW w:type="pct" w:w="1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销售目标（元）</w:t>
            </w:r>
          </w:p>
        </w:tc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—</w:t>
            </w:r>
          </w:p>
        </w:tc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否</w:t>
            </w:r>
          </w:p>
        </w:tc>
        <w:tc>
          <w:tcPr>
            <w:tcW w:type="pct" w:w="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否</w:t>
            </w:r>
          </w:p>
        </w:tc>
        <w:tc>
          <w:tcPr>
            <w:tcW w:type="pct" w:w="3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数值，仅新增时可填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可选</w:t>
            </w:r>
          </w:p>
        </w:tc>
      </w:tr>
      <w:t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desc</w:t>
            </w:r>
          </w:p>
        </w:tc>
        <w:tc>
          <w:tcPr>
            <w:tcW w:type="pct" w:w="1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活动说明</w:t>
            </w:r>
          </w:p>
        </w:tc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200</w:t>
            </w:r>
          </w:p>
        </w:tc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否</w:t>
            </w:r>
          </w:p>
        </w:tc>
        <w:tc>
          <w:tcPr>
            <w:tcW w:type="pct" w:w="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否</w:t>
            </w:r>
          </w:p>
        </w:tc>
        <w:tc>
          <w:tcPr>
            <w:tcW w:type="pct" w:w="3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自由文本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startAt</w:t>
            </w:r>
          </w:p>
        </w:tc>
        <w:tc>
          <w:tcPr>
            <w:tcW w:type="pct" w:w="1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开始时间</w:t>
            </w:r>
          </w:p>
        </w:tc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—</w:t>
            </w:r>
          </w:p>
        </w:tc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是</w:t>
            </w:r>
          </w:p>
        </w:tc>
        <w:tc>
          <w:tcPr>
            <w:tcW w:type="pct" w:w="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否</w:t>
            </w:r>
          </w:p>
        </w:tc>
        <w:tc>
          <w:tcPr>
            <w:tcW w:type="pct" w:w="3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datetime，需早于结束时间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endAt</w:t>
            </w:r>
          </w:p>
        </w:tc>
        <w:tc>
          <w:tcPr>
            <w:tcW w:type="pct" w:w="1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结束时间</w:t>
            </w:r>
          </w:p>
        </w:tc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—</w:t>
            </w:r>
          </w:p>
        </w:tc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是</w:t>
            </w:r>
          </w:p>
        </w:tc>
        <w:tc>
          <w:tcPr>
            <w:tcW w:type="pct" w:w="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否</w:t>
            </w:r>
          </w:p>
        </w:tc>
        <w:tc>
          <w:tcPr>
            <w:tcW w:type="pct" w:w="3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datetime，需晚于开始时间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cycle</w:t>
            </w:r>
          </w:p>
        </w:tc>
        <w:tc>
          <w:tcPr>
            <w:tcW w:type="pct" w:w="1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活动周期</w:t>
            </w:r>
          </w:p>
        </w:tc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—</w:t>
            </w:r>
          </w:p>
        </w:tc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否</w:t>
            </w:r>
          </w:p>
        </w:tc>
        <w:tc>
          <w:tcPr>
            <w:tcW w:type="pct" w:w="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否</w:t>
            </w:r>
          </w:p>
        </w:tc>
        <w:tc>
          <w:tcPr>
            <w:tcW w:type="pct" w:w="3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周一…周日 多选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如：周一至周五</w:t>
            </w:r>
          </w:p>
        </w:tc>
      </w:tr>
    </w:tbl>
    <w:p>
      <w:pPr>
        <w:pStyle w:val="Heading3"/>
        <w:spacing w:after="80" w:before="180"/>
      </w:pPr>
      <w:r>
        <w:rPr>
          <w:rFonts w:ascii="微软雅黑" w:cs="微软雅黑" w:eastAsia="微软雅黑" w:hAnsi="微软雅黑"/>
          <w:b/>
          <w:bCs/>
          <w:color w:val="1F2937"/>
          <w:sz w:val="24"/>
          <w:szCs w:val="24"/>
        </w:rPr>
        <w:t xml:space="preserve">6.2.2 用户范围 tab</w:t>
      </w:r>
    </w:p>
    <w:p>
      <w:pPr>
        <w:shd w:fill="F4F7FB" w:color="auto" w:val="clear"/>
        <w:spacing w:after="60" w:before="120"/>
      </w:pPr>
      <w:r>
        <w:rPr>
          <w:rFonts w:ascii="微软雅黑" w:cs="微软雅黑" w:eastAsia="微软雅黑" w:hAnsi="微软雅黑"/>
          <w:b/>
          <w:bCs/>
          <w:color w:val="1D4ED8"/>
          <w:sz w:val="22"/>
          <w:szCs w:val="22"/>
        </w:rPr>
        <w:t xml:space="preserve">▎业务逻辑与规则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配置活动面向的渠道、用户范围、会员等级、会员标签。模板默认：渠道线下、用户全部。</w:t>
      </w:r>
    </w:p>
    <w:p>
      <w:pPr>
        <w:shd w:fill="F4F7FB" w:color="auto" w:val="clear"/>
        <w:spacing w:after="60" w:before="120"/>
      </w:pPr>
      <w:r>
        <w:rPr>
          <w:rFonts w:ascii="微软雅黑" w:cs="微软雅黑" w:eastAsia="微软雅黑" w:hAnsi="微软雅黑"/>
          <w:b/>
          <w:bCs/>
          <w:color w:val="1D4ED8"/>
          <w:sz w:val="22"/>
          <w:szCs w:val="22"/>
        </w:rPr>
        <w:t xml:space="preserve">▎字段逻辑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字段名</w:t>
            </w:r>
          </w:p>
        </w:tc>
        <w:tc>
          <w:tcPr>
            <w:tcW w:type="pct" w:w="1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字段描述</w:t>
            </w:r>
          </w:p>
        </w:tc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长度</w:t>
            </w:r>
          </w:p>
        </w:tc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必填</w:t>
            </w:r>
          </w:p>
        </w:tc>
        <w:tc>
          <w:tcPr>
            <w:tcW w:type="pct" w:w="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主键</w:t>
            </w:r>
          </w:p>
        </w:tc>
        <w:tc>
          <w:tcPr>
            <w:tcW w:type="pct" w:w="3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规则</w:t>
            </w:r>
          </w:p>
        </w:tc>
        <w:tc>
          <w:tcPr>
            <w:tcW w:type="pct" w:w="1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scope.channel</w:t>
            </w:r>
          </w:p>
        </w:tc>
        <w:tc>
          <w:tcPr>
            <w:tcW w:type="pct" w:w="1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渠道范围</w:t>
            </w:r>
          </w:p>
        </w:tc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10</w:t>
            </w:r>
          </w:p>
        </w:tc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是</w:t>
            </w:r>
          </w:p>
        </w:tc>
        <w:tc>
          <w:tcPr>
            <w:tcW w:type="pct" w:w="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否</w:t>
            </w:r>
          </w:p>
        </w:tc>
        <w:tc>
          <w:tcPr>
            <w:tcW w:type="pct" w:w="3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枚举：全渠道/线上渠道/线下渠道</w:t>
            </w:r>
          </w:p>
        </w:tc>
        <w:tc>
          <w:tcPr>
            <w:tcW w:type="pct" w:w="1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默认全渠道</w:t>
            </w:r>
          </w:p>
        </w:tc>
      </w:tr>
      <w:t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scope.userScope</w:t>
            </w:r>
          </w:p>
        </w:tc>
        <w:tc>
          <w:tcPr>
            <w:tcW w:type="pct" w:w="1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用户范围</w:t>
            </w:r>
          </w:p>
        </w:tc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10</w:t>
            </w:r>
          </w:p>
        </w:tc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是</w:t>
            </w:r>
          </w:p>
        </w:tc>
        <w:tc>
          <w:tcPr>
            <w:tcW w:type="pct" w:w="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否</w:t>
            </w:r>
          </w:p>
        </w:tc>
        <w:tc>
          <w:tcPr>
            <w:tcW w:type="pct" w:w="3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枚举：全部/会员/不限制</w:t>
            </w:r>
          </w:p>
        </w:tc>
        <w:tc>
          <w:tcPr>
            <w:tcW w:type="pct" w:w="1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scope.memberGrades</w:t>
            </w:r>
          </w:p>
        </w:tc>
        <w:tc>
          <w:tcPr>
            <w:tcW w:type="pct" w:w="1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会员等级</w:t>
            </w:r>
          </w:p>
        </w:tc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—</w:t>
            </w:r>
          </w:p>
        </w:tc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否</w:t>
            </w:r>
          </w:p>
        </w:tc>
        <w:tc>
          <w:tcPr>
            <w:tcW w:type="pct" w:w="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否</w:t>
            </w:r>
          </w:p>
        </w:tc>
        <w:tc>
          <w:tcPr>
            <w:tcW w:type="pct" w:w="3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多选，取自主档会员等级</w:t>
            </w:r>
          </w:p>
        </w:tc>
        <w:tc>
          <w:tcPr>
            <w:tcW w:type="pct" w:w="1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userScope=会员时启用</w:t>
            </w:r>
          </w:p>
        </w:tc>
      </w:tr>
      <w:t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scope.memberTags</w:t>
            </w:r>
          </w:p>
        </w:tc>
        <w:tc>
          <w:tcPr>
            <w:tcW w:type="pct" w:w="1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会员标签</w:t>
            </w:r>
          </w:p>
        </w:tc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—</w:t>
            </w:r>
          </w:p>
        </w:tc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否</w:t>
            </w:r>
          </w:p>
        </w:tc>
        <w:tc>
          <w:tcPr>
            <w:tcW w:type="pct" w:w="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否</w:t>
            </w:r>
          </w:p>
        </w:tc>
        <w:tc>
          <w:tcPr>
            <w:tcW w:type="pct" w:w="3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多选，取自主档会员标签</w:t>
            </w:r>
          </w:p>
        </w:tc>
        <w:tc>
          <w:tcPr>
            <w:tcW w:type="pct" w:w="1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/>
            </w:r>
          </w:p>
        </w:tc>
      </w:tr>
    </w:tbl>
    <w:p>
      <w:pPr>
        <w:pStyle w:val="Heading3"/>
        <w:spacing w:after="80" w:before="180"/>
      </w:pPr>
      <w:r>
        <w:rPr>
          <w:rFonts w:ascii="微软雅黑" w:cs="微软雅黑" w:eastAsia="微软雅黑" w:hAnsi="微软雅黑"/>
          <w:b/>
          <w:bCs/>
          <w:color w:val="1F2937"/>
          <w:sz w:val="24"/>
          <w:szCs w:val="24"/>
        </w:rPr>
        <w:t xml:space="preserve">6.2.3 门店范围 tab</w:t>
      </w:r>
    </w:p>
    <w:p>
      <w:pPr>
        <w:shd w:fill="F4F7FB" w:color="auto" w:val="clear"/>
        <w:spacing w:after="60" w:before="120"/>
      </w:pPr>
      <w:r>
        <w:rPr>
          <w:rFonts w:ascii="微软雅黑" w:cs="微软雅黑" w:eastAsia="微软雅黑" w:hAnsi="微软雅黑"/>
          <w:b/>
          <w:bCs/>
          <w:color w:val="1D4ED8"/>
          <w:sz w:val="22"/>
          <w:szCs w:val="22"/>
        </w:rPr>
        <w:t xml:space="preserve">▎业务逻辑与规则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配置活动生效门店；模板默认按门店。支持按门店清单导入。</w:t>
      </w:r>
    </w:p>
    <w:p>
      <w:pPr>
        <w:shd w:fill="F4F7FB" w:color="auto" w:val="clear"/>
        <w:spacing w:after="60" w:before="120"/>
      </w:pPr>
      <w:r>
        <w:rPr>
          <w:rFonts w:ascii="微软雅黑" w:cs="微软雅黑" w:eastAsia="微软雅黑" w:hAnsi="微软雅黑"/>
          <w:b/>
          <w:bCs/>
          <w:color w:val="1D4ED8"/>
          <w:sz w:val="22"/>
          <w:szCs w:val="22"/>
        </w:rPr>
        <w:t xml:space="preserve">▎字段逻辑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字段名</w:t>
            </w:r>
          </w:p>
        </w:tc>
        <w:tc>
          <w:tcPr>
            <w:tcW w:type="pct" w:w="1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字段描述</w:t>
            </w:r>
          </w:p>
        </w:tc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长度</w:t>
            </w:r>
          </w:p>
        </w:tc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必填</w:t>
            </w:r>
          </w:p>
        </w:tc>
        <w:tc>
          <w:tcPr>
            <w:tcW w:type="pct" w:w="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主键</w:t>
            </w:r>
          </w:p>
        </w:tc>
        <w:tc>
          <w:tcPr>
            <w:tcW w:type="pct" w:w="2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规则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pct" w:w="2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storeScope.storeType</w:t>
            </w:r>
          </w:p>
        </w:tc>
        <w:tc>
          <w:tcPr>
            <w:tcW w:type="pct" w:w="1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门店类型</w:t>
            </w:r>
          </w:p>
        </w:tc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10</w:t>
            </w:r>
          </w:p>
        </w:tc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是</w:t>
            </w:r>
          </w:p>
        </w:tc>
        <w:tc>
          <w:tcPr>
            <w:tcW w:type="pct" w:w="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否</w:t>
            </w:r>
          </w:p>
        </w:tc>
        <w:tc>
          <w:tcPr>
            <w:tcW w:type="pct" w:w="2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枚举：门店/区域/价格组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默认门店</w:t>
            </w:r>
          </w:p>
        </w:tc>
      </w:tr>
      <w:tr>
        <w:tc>
          <w:tcPr>
            <w:tcW w:type="pct" w:w="2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storeScope.stores[]</w:t>
            </w:r>
          </w:p>
        </w:tc>
        <w:tc>
          <w:tcPr>
            <w:tcW w:type="pct" w:w="1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门店清单</w:t>
            </w:r>
          </w:p>
        </w:tc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—</w:t>
            </w:r>
          </w:p>
        </w:tc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否</w:t>
            </w:r>
          </w:p>
        </w:tc>
        <w:tc>
          <w:tcPr>
            <w:tcW w:type="pct" w:w="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否</w:t>
            </w:r>
          </w:p>
        </w:tc>
        <w:tc>
          <w:tcPr>
            <w:tcW w:type="pct" w:w="2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数组，元素 {storeCode,storeName,region,priceGroup,format}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支持导入</w:t>
            </w:r>
          </w:p>
        </w:tc>
      </w:tr>
      <w:tr>
        <w:tc>
          <w:tcPr>
            <w:tcW w:type="pct" w:w="2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storeScope.stores[].storeCode</w:t>
            </w:r>
          </w:p>
        </w:tc>
        <w:tc>
          <w:tcPr>
            <w:tcW w:type="pct" w:w="1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门店编码</w:t>
            </w:r>
          </w:p>
        </w:tc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20</w:t>
            </w:r>
          </w:p>
        </w:tc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否</w:t>
            </w:r>
          </w:p>
        </w:tc>
        <w:tc>
          <w:tcPr>
            <w:tcW w:type="pct" w:w="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否</w:t>
            </w:r>
          </w:p>
        </w:tc>
        <w:tc>
          <w:tcPr>
            <w:tcW w:type="pct" w:w="2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主档门店编码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storeScope.stores[].storeName</w:t>
            </w:r>
          </w:p>
        </w:tc>
        <w:tc>
          <w:tcPr>
            <w:tcW w:type="pct" w:w="1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门店名称</w:t>
            </w:r>
          </w:p>
        </w:tc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50</w:t>
            </w:r>
          </w:p>
        </w:tc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否</w:t>
            </w:r>
          </w:p>
        </w:tc>
        <w:tc>
          <w:tcPr>
            <w:tcW w:type="pct" w:w="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否</w:t>
            </w:r>
          </w:p>
        </w:tc>
        <w:tc>
          <w:tcPr>
            <w:tcW w:type="pct" w:w="2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主档门店名称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storeScope.stores[].region</w:t>
            </w:r>
          </w:p>
        </w:tc>
        <w:tc>
          <w:tcPr>
            <w:tcW w:type="pct" w:w="1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区域</w:t>
            </w:r>
          </w:p>
        </w:tc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20</w:t>
            </w:r>
          </w:p>
        </w:tc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否</w:t>
            </w:r>
          </w:p>
        </w:tc>
        <w:tc>
          <w:tcPr>
            <w:tcW w:type="pct" w:w="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否</w:t>
            </w:r>
          </w:p>
        </w:tc>
        <w:tc>
          <w:tcPr>
            <w:tcW w:type="pct" w:w="2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如：华东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storeScope.stores[].priceGroup</w:t>
            </w:r>
          </w:p>
        </w:tc>
        <w:tc>
          <w:tcPr>
            <w:tcW w:type="pct" w:w="1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价格组</w:t>
            </w:r>
          </w:p>
        </w:tc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20</w:t>
            </w:r>
          </w:p>
        </w:tc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否</w:t>
            </w:r>
          </w:p>
        </w:tc>
        <w:tc>
          <w:tcPr>
            <w:tcW w:type="pct" w:w="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否</w:t>
            </w:r>
          </w:p>
        </w:tc>
        <w:tc>
          <w:tcPr>
            <w:tcW w:type="pct" w:w="2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如：PG-01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storeScope.stores[].format</w:t>
            </w:r>
          </w:p>
        </w:tc>
        <w:tc>
          <w:tcPr>
            <w:tcW w:type="pct" w:w="1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业态</w:t>
            </w:r>
          </w:p>
        </w:tc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20</w:t>
            </w:r>
          </w:p>
        </w:tc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否</w:t>
            </w:r>
          </w:p>
        </w:tc>
        <w:tc>
          <w:tcPr>
            <w:tcW w:type="pct" w:w="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否</w:t>
            </w:r>
          </w:p>
        </w:tc>
        <w:tc>
          <w:tcPr>
            <w:tcW w:type="pct" w:w="2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如：大卖场/社区店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/>
            </w:r>
          </w:p>
        </w:tc>
      </w:tr>
    </w:tbl>
    <w:p>
      <w:pPr>
        <w:pStyle w:val="Heading3"/>
        <w:spacing w:after="80" w:before="180"/>
      </w:pPr>
      <w:r>
        <w:rPr>
          <w:rFonts w:ascii="微软雅黑" w:cs="微软雅黑" w:eastAsia="微软雅黑" w:hAnsi="微软雅黑"/>
          <w:b/>
          <w:bCs/>
          <w:color w:val="1F2937"/>
          <w:sz w:val="24"/>
          <w:szCs w:val="24"/>
        </w:rPr>
        <w:t xml:space="preserve">6.2.4 商品范围 tab（一口价核心）</w:t>
      </w:r>
    </w:p>
    <w:p>
      <w:pPr>
        <w:shd w:fill="F4F7FB" w:color="auto" w:val="clear"/>
        <w:spacing w:after="60" w:before="120"/>
      </w:pPr>
      <w:r>
        <w:rPr>
          <w:rFonts w:ascii="微软雅黑" w:cs="微软雅黑" w:eastAsia="微软雅黑" w:hAnsi="微软雅黑"/>
          <w:b/>
          <w:bCs/>
          <w:color w:val="1D4ED8"/>
          <w:sz w:val="22"/>
          <w:szCs w:val="22"/>
        </w:rPr>
        <w:t xml:space="preserve">▎业务逻辑与规则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商品范围 tab 自上而下含两个区块：购满条件 + 商品。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购满条件：每组“购满金额 + 购买数量”，可新增多组；金额&gt;0、数量为正整数；至少一组。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商品：维护参与活动的商品清单（编码/条码/名称/规格/单位/进价/售价）；支持查询、新增行、导入、选择。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一口价商品表不展示促销价/折扣/扣率/限购数量列（区别于普通特价）；一口价成交价由购满条件与售价在算价阶段确定。</w:t>
      </w:r>
    </w:p>
    <w:p>
      <w:pPr>
        <w:shd w:fill="F4F7FB" w:color="auto" w:val="clear"/>
        <w:spacing w:after="60" w:before="120"/>
      </w:pPr>
      <w:r>
        <w:rPr>
          <w:rFonts w:ascii="微软雅黑" w:cs="微软雅黑" w:eastAsia="微软雅黑" w:hAnsi="微软雅黑"/>
          <w:b/>
          <w:bCs/>
          <w:color w:val="1D4ED8"/>
          <w:sz w:val="22"/>
          <w:szCs w:val="22"/>
        </w:rPr>
        <w:t xml:space="preserve">▎操作说明 · 购满条件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操作</w:t>
            </w:r>
          </w:p>
        </w:tc>
        <w:tc>
          <w:tcPr>
            <w:tcW w:type="pct" w:w="3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入口</w:t>
            </w:r>
          </w:p>
        </w:tc>
        <w:tc>
          <w:tcPr>
            <w:tcW w:type="pct" w:w="4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执行结果</w:t>
            </w:r>
          </w:p>
        </w:tc>
      </w:tr>
      <w:tr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新增一组</w:t>
            </w:r>
          </w:p>
        </w:tc>
        <w:tc>
          <w:tcPr>
            <w:tcW w:type="pct" w:w="3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购满条件“新增一组”按钮</w:t>
            </w:r>
          </w:p>
        </w:tc>
        <w:tc>
          <w:tcPr>
            <w:tcW w:type="pct" w:w="4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追加一行空白条件</w:t>
            </w:r>
          </w:p>
        </w:tc>
      </w:tr>
      <w:tr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填写金额/数量</w:t>
            </w:r>
          </w:p>
        </w:tc>
        <w:tc>
          <w:tcPr>
            <w:tcW w:type="pct" w:w="3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条件行输入框</w:t>
            </w:r>
          </w:p>
        </w:tc>
        <w:tc>
          <w:tcPr>
            <w:tcW w:type="pct" w:w="4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实时存入 onePriceScope.combos</w:t>
            </w:r>
          </w:p>
        </w:tc>
      </w:tr>
      <w:tr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删除</w:t>
            </w:r>
          </w:p>
        </w:tc>
        <w:tc>
          <w:tcPr>
            <w:tcW w:type="pct" w:w="3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条件行“删除”</w:t>
            </w:r>
          </w:p>
        </w:tc>
        <w:tc>
          <w:tcPr>
            <w:tcW w:type="pct" w:w="4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移除该组条件</w:t>
            </w:r>
          </w:p>
        </w:tc>
      </w:tr>
    </w:tbl>
    <w:p>
      <w:pPr>
        <w:shd w:fill="F4F7FB" w:color="auto" w:val="clear"/>
        <w:spacing w:after="60" w:before="120"/>
      </w:pPr>
      <w:r>
        <w:rPr>
          <w:rFonts w:ascii="微软雅黑" w:cs="微软雅黑" w:eastAsia="微软雅黑" w:hAnsi="微软雅黑"/>
          <w:b/>
          <w:bCs/>
          <w:color w:val="1D4ED8"/>
          <w:sz w:val="22"/>
          <w:szCs w:val="22"/>
        </w:rPr>
        <w:t xml:space="preserve">▎字段逻辑 · 购满条件（onePriceScope.combos[]）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字段名</w:t>
            </w:r>
          </w:p>
        </w:tc>
        <w:tc>
          <w:tcPr>
            <w:tcW w:type="pct" w:w="1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字段描述</w:t>
            </w:r>
          </w:p>
        </w:tc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长度</w:t>
            </w:r>
          </w:p>
        </w:tc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必填</w:t>
            </w:r>
          </w:p>
        </w:tc>
        <w:tc>
          <w:tcPr>
            <w:tcW w:type="pct" w:w="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主键</w:t>
            </w:r>
          </w:p>
        </w:tc>
        <w:tc>
          <w:tcPr>
            <w:tcW w:type="pct" w:w="3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规则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amountThreshold</w:t>
            </w:r>
          </w:p>
        </w:tc>
        <w:tc>
          <w:tcPr>
            <w:tcW w:type="pct" w:w="1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购满金额</w:t>
            </w:r>
          </w:p>
        </w:tc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—</w:t>
            </w:r>
          </w:p>
        </w:tc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是</w:t>
            </w:r>
          </w:p>
        </w:tc>
        <w:tc>
          <w:tcPr>
            <w:tcW w:type="pct" w:w="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否</w:t>
            </w:r>
          </w:p>
        </w:tc>
        <w:tc>
          <w:tcPr>
            <w:tcW w:type="pct" w:w="3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数值，&gt;0，保留两位小数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如：199</w:t>
            </w:r>
          </w:p>
        </w:tc>
      </w:tr>
      <w:t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buyQty</w:t>
            </w:r>
          </w:p>
        </w:tc>
        <w:tc>
          <w:tcPr>
            <w:tcW w:type="pct" w:w="1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购买数量</w:t>
            </w:r>
          </w:p>
        </w:tc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—</w:t>
            </w:r>
          </w:p>
        </w:tc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是</w:t>
            </w:r>
          </w:p>
        </w:tc>
        <w:tc>
          <w:tcPr>
            <w:tcW w:type="pct" w:w="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否</w:t>
            </w:r>
          </w:p>
        </w:tc>
        <w:tc>
          <w:tcPr>
            <w:tcW w:type="pct" w:w="3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正整数，&gt;0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如：1</w:t>
            </w:r>
          </w:p>
        </w:tc>
      </w:tr>
    </w:tbl>
    <w:p>
      <w:pPr>
        <w:shd w:fill="F4F7FB" w:color="auto" w:val="clear"/>
        <w:spacing w:after="60" w:before="120"/>
      </w:pPr>
      <w:r>
        <w:rPr>
          <w:rFonts w:ascii="微软雅黑" w:cs="微软雅黑" w:eastAsia="微软雅黑" w:hAnsi="微软雅黑"/>
          <w:b/>
          <w:bCs/>
          <w:color w:val="1D4ED8"/>
          <w:sz w:val="22"/>
          <w:szCs w:val="22"/>
        </w:rPr>
        <w:t xml:space="preserve">▎操作说明 · 商品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操作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入口</w:t>
            </w:r>
          </w:p>
        </w:tc>
        <w:tc>
          <w:tcPr>
            <w:tcW w:type="pct" w:w="6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执行结果</w:t>
            </w:r>
          </w:p>
        </w:tc>
      </w:tr>
      <w:tr>
        <w:tc>
          <w:tcPr>
            <w:tcW w:type="pct" w:w="1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查询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查询按钮</w:t>
            </w:r>
          </w:p>
        </w:tc>
        <w:tc>
          <w:tcPr>
            <w:tcW w:type="pct" w:w="6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按编码/条码/名称/规格过滤商品行</w:t>
            </w:r>
          </w:p>
        </w:tc>
      </w:tr>
      <w:tr>
        <w:tc>
          <w:tcPr>
            <w:tcW w:type="pct" w:w="1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重置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重置按钮</w:t>
            </w:r>
          </w:p>
        </w:tc>
        <w:tc>
          <w:tcPr>
            <w:tcW w:type="pct" w:w="6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清空查询</w:t>
            </w:r>
          </w:p>
        </w:tc>
      </w:tr>
      <w:tr>
        <w:tc>
          <w:tcPr>
            <w:tcW w:type="pct" w:w="1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新增一行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按钮</w:t>
            </w:r>
          </w:p>
        </w:tc>
        <w:tc>
          <w:tcPr>
            <w:tcW w:type="pct" w:w="6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追加一行空白商品</w:t>
            </w:r>
          </w:p>
        </w:tc>
      </w:tr>
      <w:tr>
        <w:tc>
          <w:tcPr>
            <w:tcW w:type="pct" w:w="1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导入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按钮</w:t>
            </w:r>
          </w:p>
        </w:tc>
        <w:tc>
          <w:tcPr>
            <w:tcW w:type="pct" w:w="6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按模板批量导入商品</w:t>
            </w:r>
          </w:p>
        </w:tc>
      </w:tr>
      <w:tr>
        <w:tc>
          <w:tcPr>
            <w:tcW w:type="pct" w:w="1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选择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按钮</w:t>
            </w:r>
          </w:p>
        </w:tc>
        <w:tc>
          <w:tcPr>
            <w:tcW w:type="pct" w:w="6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从商品主档选择商品</w:t>
            </w:r>
          </w:p>
        </w:tc>
      </w:tr>
    </w:tbl>
    <w:p>
      <w:pPr>
        <w:shd w:fill="F4F7FB" w:color="auto" w:val="clear"/>
        <w:spacing w:after="60" w:before="120"/>
      </w:pPr>
      <w:r>
        <w:rPr>
          <w:rFonts w:ascii="微软雅黑" w:cs="微软雅黑" w:eastAsia="微软雅黑" w:hAnsi="微软雅黑"/>
          <w:b/>
          <w:bCs/>
          <w:color w:val="1D4ED8"/>
          <w:sz w:val="22"/>
          <w:szCs w:val="22"/>
        </w:rPr>
        <w:t xml:space="preserve">▎字段逻辑 · 商品清单（goodsScope.goods[]）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字段名</w:t>
            </w:r>
          </w:p>
        </w:tc>
        <w:tc>
          <w:tcPr>
            <w:tcW w:type="pct" w:w="1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字段描述</w:t>
            </w:r>
          </w:p>
        </w:tc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长度</w:t>
            </w:r>
          </w:p>
        </w:tc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必填</w:t>
            </w:r>
          </w:p>
        </w:tc>
        <w:tc>
          <w:tcPr>
            <w:tcW w:type="pct" w:w="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主键</w:t>
            </w:r>
          </w:p>
        </w:tc>
        <w:tc>
          <w:tcPr>
            <w:tcW w:type="pct" w:w="2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规则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pct" w:w="1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skuCode</w:t>
            </w:r>
          </w:p>
        </w:tc>
        <w:tc>
          <w:tcPr>
            <w:tcW w:type="pct" w:w="1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商品编码</w:t>
            </w:r>
          </w:p>
        </w:tc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32</w:t>
            </w:r>
          </w:p>
        </w:tc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是</w:t>
            </w:r>
          </w:p>
        </w:tc>
        <w:tc>
          <w:tcPr>
            <w:tcW w:type="pct" w:w="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否</w:t>
            </w:r>
          </w:p>
        </w:tc>
        <w:tc>
          <w:tcPr>
            <w:tcW w:type="pct" w:w="2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主档商品编码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barcode</w:t>
            </w:r>
          </w:p>
        </w:tc>
        <w:tc>
          <w:tcPr>
            <w:tcW w:type="pct" w:w="1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商品条码</w:t>
            </w:r>
          </w:p>
        </w:tc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32</w:t>
            </w:r>
          </w:p>
        </w:tc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否</w:t>
            </w:r>
          </w:p>
        </w:tc>
        <w:tc>
          <w:tcPr>
            <w:tcW w:type="pct" w:w="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否</w:t>
            </w:r>
          </w:p>
        </w:tc>
        <w:tc>
          <w:tcPr>
            <w:tcW w:type="pct" w:w="2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主档商品条码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skuName</w:t>
            </w:r>
          </w:p>
        </w:tc>
        <w:tc>
          <w:tcPr>
            <w:tcW w:type="pct" w:w="1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商品名称</w:t>
            </w:r>
          </w:p>
        </w:tc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100</w:t>
            </w:r>
          </w:p>
        </w:tc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否</w:t>
            </w:r>
          </w:p>
        </w:tc>
        <w:tc>
          <w:tcPr>
            <w:tcW w:type="pct" w:w="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否</w:t>
            </w:r>
          </w:p>
        </w:tc>
        <w:tc>
          <w:tcPr>
            <w:tcW w:type="pct" w:w="2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主档商品名称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spec</w:t>
            </w:r>
          </w:p>
        </w:tc>
        <w:tc>
          <w:tcPr>
            <w:tcW w:type="pct" w:w="1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商品规格</w:t>
            </w:r>
          </w:p>
        </w:tc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50</w:t>
            </w:r>
          </w:p>
        </w:tc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否</w:t>
            </w:r>
          </w:p>
        </w:tc>
        <w:tc>
          <w:tcPr>
            <w:tcW w:type="pct" w:w="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否</w:t>
            </w:r>
          </w:p>
        </w:tc>
        <w:tc>
          <w:tcPr>
            <w:tcW w:type="pct" w:w="2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如：34*76cm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unit</w:t>
            </w:r>
          </w:p>
        </w:tc>
        <w:tc>
          <w:tcPr>
            <w:tcW w:type="pct" w:w="1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商品单位</w:t>
            </w:r>
          </w:p>
        </w:tc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10</w:t>
            </w:r>
          </w:p>
        </w:tc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否</w:t>
            </w:r>
          </w:p>
        </w:tc>
        <w:tc>
          <w:tcPr>
            <w:tcW w:type="pct" w:w="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否</w:t>
            </w:r>
          </w:p>
        </w:tc>
        <w:tc>
          <w:tcPr>
            <w:tcW w:type="pct" w:w="2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如：条/包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costPrice</w:t>
            </w:r>
          </w:p>
        </w:tc>
        <w:tc>
          <w:tcPr>
            <w:tcW w:type="pct" w:w="1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商品进价</w:t>
            </w:r>
          </w:p>
        </w:tc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—</w:t>
            </w:r>
          </w:p>
        </w:tc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否</w:t>
            </w:r>
          </w:p>
        </w:tc>
        <w:tc>
          <w:tcPr>
            <w:tcW w:type="pct" w:w="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否</w:t>
            </w:r>
          </w:p>
        </w:tc>
        <w:tc>
          <w:tcPr>
            <w:tcW w:type="pct" w:w="2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数值，≥0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可选</w:t>
            </w:r>
          </w:p>
        </w:tc>
      </w:tr>
      <w:tr>
        <w:tc>
          <w:tcPr>
            <w:tcW w:type="pct" w:w="1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price</w:t>
            </w:r>
          </w:p>
        </w:tc>
        <w:tc>
          <w:tcPr>
            <w:tcW w:type="pct" w:w="1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商品售价</w:t>
            </w:r>
          </w:p>
        </w:tc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—</w:t>
            </w:r>
          </w:p>
        </w:tc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是</w:t>
            </w:r>
          </w:p>
        </w:tc>
        <w:tc>
          <w:tcPr>
            <w:tcW w:type="pct" w:w="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否</w:t>
            </w:r>
          </w:p>
        </w:tc>
        <w:tc>
          <w:tcPr>
            <w:tcW w:type="pct" w:w="2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数值，&gt;0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原售价</w:t>
            </w:r>
          </w:p>
        </w:tc>
      </w:tr>
    </w:tbl>
    <w:p>
      <w:pPr>
        <w:pStyle w:val="Heading3"/>
        <w:spacing w:after="80" w:before="180"/>
      </w:pPr>
      <w:r>
        <w:rPr>
          <w:rFonts w:ascii="微软雅黑" w:cs="微软雅黑" w:eastAsia="微软雅黑" w:hAnsi="微软雅黑"/>
          <w:b/>
          <w:bCs/>
          <w:color w:val="1F2937"/>
          <w:sz w:val="24"/>
          <w:szCs w:val="24"/>
        </w:rPr>
        <w:t xml:space="preserve">6.2.5 承担规则 tab</w:t>
      </w:r>
    </w:p>
    <w:p>
      <w:pPr>
        <w:shd w:fill="F4F7FB" w:color="auto" w:val="clear"/>
        <w:spacing w:after="60" w:before="120"/>
      </w:pPr>
      <w:r>
        <w:rPr>
          <w:rFonts w:ascii="微软雅黑" w:cs="微软雅黑" w:eastAsia="微软雅黑" w:hAnsi="微软雅黑"/>
          <w:b/>
          <w:bCs/>
          <w:color w:val="1D4ED8"/>
          <w:sz w:val="22"/>
          <w:szCs w:val="22"/>
        </w:rPr>
        <w:t xml:space="preserve">▎业务逻辑与规则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配置费用承担方式（一口价模板未启用成本分摊，仅通用承担）。</w:t>
      </w:r>
    </w:p>
    <w:p>
      <w:pPr>
        <w:shd w:fill="F4F7FB" w:color="auto" w:val="clear"/>
        <w:spacing w:after="60" w:before="120"/>
      </w:pPr>
      <w:r>
        <w:rPr>
          <w:rFonts w:ascii="微软雅黑" w:cs="微软雅黑" w:eastAsia="微软雅黑" w:hAnsi="微软雅黑"/>
          <w:b/>
          <w:bCs/>
          <w:color w:val="1D4ED8"/>
          <w:sz w:val="22"/>
          <w:szCs w:val="22"/>
        </w:rPr>
        <w:t xml:space="preserve">▎字段逻辑（burden）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字段名</w:t>
            </w:r>
          </w:p>
        </w:tc>
        <w:tc>
          <w:tcPr>
            <w:tcW w:type="pct" w:w="1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字段描述</w:t>
            </w:r>
          </w:p>
        </w:tc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长度</w:t>
            </w:r>
          </w:p>
        </w:tc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必填</w:t>
            </w:r>
          </w:p>
        </w:tc>
        <w:tc>
          <w:tcPr>
            <w:tcW w:type="pct" w:w="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主键</w:t>
            </w:r>
          </w:p>
        </w:tc>
        <w:tc>
          <w:tcPr>
            <w:tcW w:type="pct" w:w="3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规则</w:t>
            </w:r>
          </w:p>
        </w:tc>
        <w:tc>
          <w:tcPr>
            <w:tcW w:type="pct" w:w="1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pct" w:w="1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burden.method</w:t>
            </w:r>
          </w:p>
        </w:tc>
        <w:tc>
          <w:tcPr>
            <w:tcW w:type="pct" w:w="1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承担方式</w:t>
            </w:r>
          </w:p>
        </w:tc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10</w:t>
            </w:r>
          </w:p>
        </w:tc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否</w:t>
            </w:r>
          </w:p>
        </w:tc>
        <w:tc>
          <w:tcPr>
            <w:tcW w:type="pct" w:w="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否</w:t>
            </w:r>
          </w:p>
        </w:tc>
        <w:tc>
          <w:tcPr>
            <w:tcW w:type="pct" w:w="3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枚举：比例/固定金额</w:t>
            </w:r>
          </w:p>
        </w:tc>
        <w:tc>
          <w:tcPr>
            <w:tcW w:type="pct" w:w="1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如：比例</w:t>
            </w:r>
          </w:p>
        </w:tc>
      </w:tr>
      <w:tr>
        <w:tc>
          <w:tcPr>
            <w:tcW w:type="pct" w:w="1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burden.supplier</w:t>
            </w:r>
          </w:p>
        </w:tc>
        <w:tc>
          <w:tcPr>
            <w:tcW w:type="pct" w:w="1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供货商承担</w:t>
            </w:r>
          </w:p>
        </w:tc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—</w:t>
            </w:r>
          </w:p>
        </w:tc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否</w:t>
            </w:r>
          </w:p>
        </w:tc>
        <w:tc>
          <w:tcPr>
            <w:tcW w:type="pct" w:w="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否</w:t>
            </w:r>
          </w:p>
        </w:tc>
        <w:tc>
          <w:tcPr>
            <w:tcW w:type="pct" w:w="3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比例或金额</w:t>
            </w:r>
          </w:p>
        </w:tc>
        <w:tc>
          <w:tcPr>
            <w:tcW w:type="pct" w:w="1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burden.purchase</w:t>
            </w:r>
          </w:p>
        </w:tc>
        <w:tc>
          <w:tcPr>
            <w:tcW w:type="pct" w:w="1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采购承担</w:t>
            </w:r>
          </w:p>
        </w:tc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—</w:t>
            </w:r>
          </w:p>
        </w:tc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否</w:t>
            </w:r>
          </w:p>
        </w:tc>
        <w:tc>
          <w:tcPr>
            <w:tcW w:type="pct" w:w="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否</w:t>
            </w:r>
          </w:p>
        </w:tc>
        <w:tc>
          <w:tcPr>
            <w:tcW w:type="pct" w:w="3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比例或金额</w:t>
            </w:r>
          </w:p>
        </w:tc>
        <w:tc>
          <w:tcPr>
            <w:tcW w:type="pct" w:w="1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color w:val="1D4ED8"/>
          <w:sz w:val="28"/>
          <w:szCs w:val="28"/>
        </w:rPr>
        <w:t xml:space="preserve">6.3 FR-03 编辑活动</w:t>
      </w:r>
    </w:p>
    <w:p>
      <w:pPr>
        <w:shd w:fill="F4F7FB" w:color="auto" w:val="clear"/>
        <w:spacing w:after="60" w:before="120"/>
      </w:pPr>
      <w:r>
        <w:rPr>
          <w:rFonts w:ascii="微软雅黑" w:cs="微软雅黑" w:eastAsia="微软雅黑" w:hAnsi="微软雅黑"/>
          <w:b/>
          <w:bCs/>
          <w:color w:val="1D4ED8"/>
          <w:sz w:val="22"/>
          <w:szCs w:val="22"/>
        </w:rPr>
        <w:t xml:space="preserve">▎业务逻辑与规则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仅 status=输入 的活动可编辑；其他状态点击“编辑”跳转详情（只读）。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编辑表单与新增一致（5 tab）；活动编码、模板、促销类型、创建人/时间只读。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修改人/修改时间每次保存自动更新。</w:t>
      </w:r>
    </w:p>
    <w:p>
      <w:pPr>
        <w:shd w:fill="F4F7FB" w:color="auto" w:val="clear"/>
        <w:spacing w:after="60" w:before="120"/>
      </w:pPr>
      <w:r>
        <w:rPr>
          <w:rFonts w:ascii="微软雅黑" w:cs="微软雅黑" w:eastAsia="微软雅黑" w:hAnsi="微软雅黑"/>
          <w:b/>
          <w:bCs/>
          <w:color w:val="1D4ED8"/>
          <w:sz w:val="22"/>
          <w:szCs w:val="22"/>
        </w:rPr>
        <w:t xml:space="preserve">▎操作说明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操作</w:t>
            </w:r>
          </w:p>
        </w:tc>
        <w:tc>
          <w:tcPr>
            <w:tcW w:type="pct" w:w="1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入口</w:t>
            </w:r>
          </w:p>
        </w:tc>
        <w:tc>
          <w:tcPr>
            <w:tcW w:type="pct" w:w="3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前置条件</w:t>
            </w:r>
          </w:p>
        </w:tc>
        <w:tc>
          <w:tcPr>
            <w:tcW w:type="pct" w:w="3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执行结果</w:t>
            </w:r>
          </w:p>
        </w:tc>
      </w:tr>
      <w:tr>
        <w:tc>
          <w:tcPr>
            <w:tcW w:type="pct" w:w="1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编辑</w:t>
            </w:r>
          </w:p>
        </w:tc>
        <w:tc>
          <w:tcPr>
            <w:tcW w:type="pct" w:w="1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列表行操作</w:t>
            </w:r>
          </w:p>
        </w:tc>
        <w:tc>
          <w:tcPr>
            <w:tcW w:type="pct" w:w="3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status=输入 + 配置员/管理员</w:t>
            </w:r>
          </w:p>
        </w:tc>
        <w:tc>
          <w:tcPr>
            <w:tcW w:type="pct" w:w="3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进入编辑向导</w:t>
            </w:r>
          </w:p>
        </w:tc>
      </w:tr>
      <w:tr>
        <w:tc>
          <w:tcPr>
            <w:tcW w:type="pct" w:w="1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保存</w:t>
            </w:r>
          </w:p>
        </w:tc>
        <w:tc>
          <w:tcPr>
            <w:tcW w:type="pct" w:w="1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向导内</w:t>
            </w:r>
          </w:p>
        </w:tc>
        <w:tc>
          <w:tcPr>
            <w:tcW w:type="pct" w:w="3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必填项校验通过</w:t>
            </w:r>
          </w:p>
        </w:tc>
        <w:tc>
          <w:tcPr>
            <w:tcW w:type="pct" w:w="3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更新活动，刷新修改人/时间</w:t>
            </w:r>
          </w:p>
        </w:tc>
      </w:tr>
    </w:tbl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color w:val="1D4ED8"/>
          <w:sz w:val="28"/>
          <w:szCs w:val="28"/>
        </w:rPr>
        <w:t xml:space="preserve">6.4 FR-04 活动详情</w:t>
      </w:r>
    </w:p>
    <w:p>
      <w:pPr>
        <w:shd w:fill="F4F7FB" w:color="auto" w:val="clear"/>
        <w:spacing w:after="60" w:before="120"/>
      </w:pPr>
      <w:r>
        <w:rPr>
          <w:rFonts w:ascii="微软雅黑" w:cs="微软雅黑" w:eastAsia="微软雅黑" w:hAnsi="微软雅黑"/>
          <w:b/>
          <w:bCs/>
          <w:color w:val="1D4ED8"/>
          <w:sz w:val="22"/>
          <w:szCs w:val="22"/>
        </w:rPr>
        <w:t xml:space="preserve">▎业务逻辑与规则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任意状态可查看；以只读 5 tab 展示（基础信息/用户范围/门店范围/商品范围/承担规则）。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商品范围 tab 展示：购满条件只读表（序号/购满金额/购买数量）+ 商品清单表。</w:t>
      </w:r>
    </w:p>
    <w:p>
      <w:pPr>
        <w:shd w:fill="F4F7FB" w:color="auto" w:val="clear"/>
        <w:spacing w:after="60" w:before="120"/>
      </w:pPr>
      <w:r>
        <w:rPr>
          <w:rFonts w:ascii="微软雅黑" w:cs="微软雅黑" w:eastAsia="微软雅黑" w:hAnsi="微软雅黑"/>
          <w:b/>
          <w:bCs/>
          <w:color w:val="1D4ED8"/>
          <w:sz w:val="22"/>
          <w:szCs w:val="22"/>
        </w:rPr>
        <w:t xml:space="preserve">▎操作说明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操作</w:t>
            </w:r>
          </w:p>
        </w:tc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入口</w:t>
            </w:r>
          </w:p>
        </w:tc>
        <w:tc>
          <w:tcPr>
            <w:tcW w:type="pct" w:w="5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执行结果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查看详情</w:t>
            </w:r>
          </w:p>
        </w:tc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列表“详情”</w:t>
            </w:r>
          </w:p>
        </w:tc>
        <w:tc>
          <w:tcPr>
            <w:tcW w:type="pct" w:w="5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打开只读详情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切换 tab</w:t>
            </w:r>
          </w:p>
        </w:tc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详情 tab 导航</w:t>
            </w:r>
          </w:p>
        </w:tc>
        <w:tc>
          <w:tcPr>
            <w:tcW w:type="pct" w:w="5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切换只读 tab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返回</w:t>
            </w:r>
          </w:p>
        </w:tc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返回按钮</w:t>
            </w:r>
          </w:p>
        </w:tc>
        <w:tc>
          <w:tcPr>
            <w:tcW w:type="pct" w:w="5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回到列表</w:t>
            </w:r>
          </w:p>
        </w:tc>
      </w:tr>
    </w:tbl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color w:val="1D4ED8"/>
          <w:sz w:val="28"/>
          <w:szCs w:val="28"/>
        </w:rPr>
        <w:t xml:space="preserve">6.5 FR-05 提交审核</w:t>
      </w:r>
    </w:p>
    <w:p>
      <w:pPr>
        <w:shd w:fill="F4F7FB" w:color="auto" w:val="clear"/>
        <w:spacing w:after="60" w:before="120"/>
      </w:pPr>
      <w:r>
        <w:rPr>
          <w:rFonts w:ascii="微软雅黑" w:cs="微软雅黑" w:eastAsia="微软雅黑" w:hAnsi="微软雅黑"/>
          <w:b/>
          <w:bCs/>
          <w:color w:val="1D4ED8"/>
          <w:sz w:val="22"/>
          <w:szCs w:val="22"/>
        </w:rPr>
        <w:t xml:space="preserve">▎业务逻辑与规则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入口：列表行“提交”或向导“提交审核”。前置：status=输入，且必填项与购满条件校验通过。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流转：输入 → 审核中。提交人记录为当前操作人。</w:t>
      </w:r>
    </w:p>
    <w:p>
      <w:pPr>
        <w:shd w:fill="F4F7FB" w:color="auto" w:val="clear"/>
        <w:spacing w:after="60" w:before="120"/>
      </w:pPr>
      <w:r>
        <w:rPr>
          <w:rFonts w:ascii="微软雅黑" w:cs="微软雅黑" w:eastAsia="微软雅黑" w:hAnsi="微软雅黑"/>
          <w:b/>
          <w:bCs/>
          <w:color w:val="1D4ED8"/>
          <w:sz w:val="22"/>
          <w:szCs w:val="22"/>
        </w:rPr>
        <w:t xml:space="preserve">▎操作说明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操作</w:t>
            </w:r>
          </w:p>
        </w:tc>
        <w:tc>
          <w:tcPr>
            <w:tcW w:type="pct" w:w="2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入口</w:t>
            </w:r>
          </w:p>
        </w:tc>
        <w:tc>
          <w:tcPr>
            <w:tcW w:type="pct" w:w="3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前置条件</w:t>
            </w:r>
          </w:p>
        </w:tc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执行结果</w:t>
            </w:r>
          </w:p>
        </w:tc>
      </w:tr>
      <w:tr>
        <w:tc>
          <w:tcPr>
            <w:tcW w:type="pct" w:w="1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提交审核</w:t>
            </w:r>
          </w:p>
        </w:tc>
        <w:tc>
          <w:tcPr>
            <w:tcW w:type="pct" w:w="2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行操作 / 向导按钮</w:t>
            </w:r>
          </w:p>
        </w:tc>
        <w:tc>
          <w:tcPr>
            <w:tcW w:type="pct" w:w="3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status=输入 + 必填校验通过</w:t>
            </w:r>
          </w:p>
        </w:tc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状态 → 审核中</w:t>
            </w:r>
          </w:p>
        </w:tc>
      </w:tr>
    </w:tbl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color w:val="1D4ED8"/>
          <w:sz w:val="28"/>
          <w:szCs w:val="28"/>
        </w:rPr>
        <w:t xml:space="preserve">6.6 FR-06 活动审核</w:t>
      </w:r>
    </w:p>
    <w:p>
      <w:pPr>
        <w:shd w:fill="F4F7FB" w:color="auto" w:val="clear"/>
        <w:spacing w:after="60" w:before="120"/>
      </w:pPr>
      <w:r>
        <w:rPr>
          <w:rFonts w:ascii="微软雅黑" w:cs="微软雅黑" w:eastAsia="微软雅黑" w:hAnsi="微软雅黑"/>
          <w:b/>
          <w:bCs/>
          <w:color w:val="1D4ED8"/>
          <w:sz w:val="22"/>
          <w:szCs w:val="22"/>
        </w:rPr>
        <w:t xml:space="preserve">▎业务逻辑与规则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入口：列表行“审核”。前置：status=审核中。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审核通过：status → 生效；审核人必须 ≠ 提交人（审核分离）。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审核驳回：status → 输入；必须填驳回原因并记入审计。</w:t>
      </w:r>
    </w:p>
    <w:p>
      <w:pPr>
        <w:shd w:fill="F4F7FB" w:color="auto" w:val="clear"/>
        <w:spacing w:after="60" w:before="120"/>
      </w:pPr>
      <w:r>
        <w:rPr>
          <w:rFonts w:ascii="微软雅黑" w:cs="微软雅黑" w:eastAsia="微软雅黑" w:hAnsi="微软雅黑"/>
          <w:b/>
          <w:bCs/>
          <w:color w:val="1D4ED8"/>
          <w:sz w:val="22"/>
          <w:szCs w:val="22"/>
        </w:rPr>
        <w:t xml:space="preserve">▎操作说明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操作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入口</w:t>
            </w:r>
          </w:p>
        </w:tc>
        <w:tc>
          <w:tcPr>
            <w:tcW w:type="pct" w:w="3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前置条件</w:t>
            </w:r>
          </w:p>
        </w:tc>
        <w:tc>
          <w:tcPr>
            <w:tcW w:type="pct" w:w="2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执行结果</w:t>
            </w:r>
          </w:p>
        </w:tc>
      </w:tr>
      <w:tr>
        <w:tc>
          <w:tcPr>
            <w:tcW w:type="pct" w:w="1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审核通过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行操作 + 二次确认</w:t>
            </w:r>
          </w:p>
        </w:tc>
        <w:tc>
          <w:tcPr>
            <w:tcW w:type="pct" w:w="3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status=审核中 + 审核权限 + 审核人≠提交人</w:t>
            </w:r>
          </w:p>
        </w:tc>
        <w:tc>
          <w:tcPr>
            <w:tcW w:type="pct" w:w="2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状态 → 生效</w:t>
            </w:r>
          </w:p>
        </w:tc>
      </w:tr>
      <w:tr>
        <w:tc>
          <w:tcPr>
            <w:tcW w:type="pct" w:w="1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审核驳回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行操作</w:t>
            </w:r>
          </w:p>
        </w:tc>
        <w:tc>
          <w:tcPr>
            <w:tcW w:type="pct" w:w="3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status=审核中 + 审核权限</w:t>
            </w:r>
          </w:p>
        </w:tc>
        <w:tc>
          <w:tcPr>
            <w:tcW w:type="pct" w:w="2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状态 → 输入，需填驳回原因</w:t>
            </w:r>
          </w:p>
        </w:tc>
      </w:tr>
    </w:tbl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color w:val="1D4ED8"/>
          <w:sz w:val="28"/>
          <w:szCs w:val="28"/>
        </w:rPr>
        <w:t xml:space="preserve">6.7 FR-07 活动生效与终止</w:t>
      </w:r>
    </w:p>
    <w:p>
      <w:pPr>
        <w:shd w:fill="F4F7FB" w:color="auto" w:val="clear"/>
        <w:spacing w:after="60" w:before="120"/>
      </w:pPr>
      <w:r>
        <w:rPr>
          <w:rFonts w:ascii="微软雅黑" w:cs="微软雅黑" w:eastAsia="微软雅黑" w:hAnsi="微软雅黑"/>
          <w:b/>
          <w:bCs/>
          <w:color w:val="1D4ED8"/>
          <w:sz w:val="22"/>
          <w:szCs w:val="22"/>
        </w:rPr>
        <w:t xml:space="preserve">▎业务逻辑与规则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生效：审核通过后状态=生效；到达开始时间后活动自动生效，按门店/用户/周期运行。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终止：对生效态活动可终止；终止后从对应商品范围中剔除已生效商品，不可自动恢复，需二次确认。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终止不影响已发生的交易（按快照）。</w:t>
      </w:r>
    </w:p>
    <w:p>
      <w:pPr>
        <w:shd w:fill="F4F7FB" w:color="auto" w:val="clear"/>
        <w:spacing w:after="60" w:before="120"/>
      </w:pPr>
      <w:r>
        <w:rPr>
          <w:rFonts w:ascii="微软雅黑" w:cs="微软雅黑" w:eastAsia="微软雅黑" w:hAnsi="微软雅黑"/>
          <w:b/>
          <w:bCs/>
          <w:color w:val="1D4ED8"/>
          <w:sz w:val="22"/>
          <w:szCs w:val="22"/>
        </w:rPr>
        <w:t xml:space="preserve">▎操作说明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操作</w:t>
            </w:r>
          </w:p>
        </w:tc>
        <w:tc>
          <w:tcPr>
            <w:tcW w:type="pct" w:w="2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入口</w:t>
            </w:r>
          </w:p>
        </w:tc>
        <w:tc>
          <w:tcPr>
            <w:tcW w:type="pct" w:w="3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前置条件</w:t>
            </w:r>
          </w:p>
        </w:tc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执行结果</w:t>
            </w:r>
          </w:p>
        </w:tc>
      </w:tr>
      <w:tr>
        <w:tc>
          <w:tcPr>
            <w:tcW w:type="pct" w:w="1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终止</w:t>
            </w:r>
          </w:p>
        </w:tc>
        <w:tc>
          <w:tcPr>
            <w:tcW w:type="pct" w:w="2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行操作 + 二次确认</w:t>
            </w:r>
          </w:p>
        </w:tc>
        <w:tc>
          <w:tcPr>
            <w:tcW w:type="pct" w:w="3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status=生效 + 管理员权限</w:t>
            </w:r>
          </w:p>
        </w:tc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状态 → 已终止，剔除生效商品</w:t>
            </w:r>
          </w:p>
        </w:tc>
      </w:tr>
    </w:tbl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color w:val="1D4ED8"/>
          <w:sz w:val="28"/>
          <w:szCs w:val="28"/>
        </w:rPr>
        <w:t xml:space="preserve">6.8 FR-08 活动删除/复制</w:t>
      </w:r>
    </w:p>
    <w:p>
      <w:pPr>
        <w:shd w:fill="F4F7FB" w:color="auto" w:val="clear"/>
        <w:spacing w:after="60" w:before="120"/>
      </w:pPr>
      <w:r>
        <w:rPr>
          <w:rFonts w:ascii="微软雅黑" w:cs="微软雅黑" w:eastAsia="微软雅黑" w:hAnsi="微软雅黑"/>
          <w:b/>
          <w:bCs/>
          <w:color w:val="1D4ED8"/>
          <w:sz w:val="22"/>
          <w:szCs w:val="22"/>
        </w:rPr>
        <w:t xml:space="preserve">▎业务逻辑与规则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删除：仅 status=输入 可删；删除后不可恢复，需二次确认。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复制：基于已有活动深拷贝生成新活动草稿（输入态），新活动编码自动产生，名称后缀加“- 复制”。</w:t>
      </w:r>
    </w:p>
    <w:p>
      <w:pPr>
        <w:shd w:fill="F4F7FB" w:color="auto" w:val="clear"/>
        <w:spacing w:after="60" w:before="120"/>
      </w:pPr>
      <w:r>
        <w:rPr>
          <w:rFonts w:ascii="微软雅黑" w:cs="微软雅黑" w:eastAsia="微软雅黑" w:hAnsi="微软雅黑"/>
          <w:b/>
          <w:bCs/>
          <w:color w:val="1D4ED8"/>
          <w:sz w:val="22"/>
          <w:szCs w:val="22"/>
        </w:rPr>
        <w:t xml:space="preserve">▎操作说明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操作</w:t>
            </w:r>
          </w:p>
        </w:tc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入口</w:t>
            </w:r>
          </w:p>
        </w:tc>
        <w:tc>
          <w:tcPr>
            <w:tcW w:type="pct" w:w="3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前置条件</w:t>
            </w:r>
          </w:p>
        </w:tc>
        <w:tc>
          <w:tcPr>
            <w:tcW w:type="pct" w:w="2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执行结果</w:t>
            </w:r>
          </w:p>
        </w:tc>
      </w:tr>
      <w:tr>
        <w:tc>
          <w:tcPr>
            <w:tcW w:type="pct" w:w="1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删除</w:t>
            </w:r>
          </w:p>
        </w:tc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行操作 + 二次确认</w:t>
            </w:r>
          </w:p>
        </w:tc>
        <w:tc>
          <w:tcPr>
            <w:tcW w:type="pct" w:w="3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status=输入 + 配置员/管理员</w:t>
            </w:r>
          </w:p>
        </w:tc>
        <w:tc>
          <w:tcPr>
            <w:tcW w:type="pct" w:w="2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物理删除</w:t>
            </w:r>
          </w:p>
        </w:tc>
      </w:tr>
      <w:tr>
        <w:tc>
          <w:tcPr>
            <w:tcW w:type="pct" w:w="1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复制</w:t>
            </w:r>
          </w:p>
        </w:tc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行操作/详情</w:t>
            </w:r>
          </w:p>
        </w:tc>
        <w:tc>
          <w:tcPr>
            <w:tcW w:type="pct" w:w="3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任意状态</w:t>
            </w:r>
          </w:p>
        </w:tc>
        <w:tc>
          <w:tcPr>
            <w:tcW w:type="pct" w:w="2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生成新输入态活动，名称加“- 复制”</w:t>
            </w:r>
          </w:p>
        </w:tc>
      </w:tr>
    </w:tbl>
    <w:p>
      <w:pPr>
        <w:pStyle w:val="Heading1"/>
        <w:spacing w:after="160" w:before="320"/>
      </w:pPr>
      <w:r>
        <w:rPr>
          <w:rFonts w:ascii="微软雅黑" w:cs="微软雅黑" w:eastAsia="微软雅黑" w:hAnsi="微软雅黑"/>
          <w:b/>
          <w:bCs/>
          <w:color w:val="1D4ED8"/>
          <w:sz w:val="36"/>
          <w:szCs w:val="36"/>
        </w:rPr>
        <w:t xml:space="preserve">7. 流程说明</w:t>
      </w:r>
    </w:p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color w:val="1D4ED8"/>
          <w:sz w:val="28"/>
          <w:szCs w:val="28"/>
        </w:rPr>
        <w:t xml:space="preserve">7.1 新建并上线一个一口价活动</w:t>
      </w:r>
    </w:p>
    <w:p>
      <w:pPr>
        <w:spacing w:after="80" w:before="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1. 配置员进入“促销活动 → 一口价”，点“新增”选择 T-1010 模板。</w:t>
      </w:r>
    </w:p>
    <w:p>
      <w:pPr>
        <w:spacing w:after="80" w:before="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2. 依次填写基础信息、用户范围、门店范围。</w:t>
      </w:r>
    </w:p>
    <w:p>
      <w:pPr>
        <w:spacing w:after="80" w:before="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3. 在商品范围 tab：先“新增一组”购满条件（如满199元购1件），再维护商品清单。</w:t>
      </w:r>
    </w:p>
    <w:p>
      <w:pPr>
        <w:spacing w:after="80" w:before="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4. 填写承担规则，“保存”（输入态）或“提交审核”（审核中）。</w:t>
      </w:r>
    </w:p>
    <w:p>
      <w:pPr>
        <w:spacing w:after="80" w:before="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5. 审核员审核通过 → 生效；到开始时间后活动按门店/周期自动运行。</w:t>
      </w:r>
    </w:p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color w:val="1D4ED8"/>
          <w:sz w:val="28"/>
          <w:szCs w:val="28"/>
        </w:rPr>
        <w:t xml:space="preserve">7.2 终止一口价活动</w:t>
      </w:r>
    </w:p>
    <w:p>
      <w:pPr>
        <w:spacing w:after="80" w:before="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对生效态活动点“终止”，二次确认后状态=已终止，对应商品从生效清单剔除；已发生交易不受影响。</w:t>
      </w:r>
    </w:p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color w:val="1D4ED8"/>
          <w:sz w:val="28"/>
          <w:szCs w:val="28"/>
        </w:rPr>
        <w:t xml:space="preserve">7.3 异常处理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场景</w:t>
            </w:r>
          </w:p>
        </w:tc>
        <w:tc>
          <w:tcPr>
            <w:tcW w:type="pct" w:w="6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处理</w:t>
            </w:r>
          </w:p>
        </w:tc>
      </w:tr>
      <w:tr>
        <w:tc>
          <w:tcPr>
            <w:tcW w:type="pct" w:w="3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未配购满条件就提交</w:t>
            </w:r>
          </w:p>
        </w:tc>
        <w:tc>
          <w:tcPr>
            <w:tcW w:type="pct" w:w="6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拦截，提示“请至少新增一组购满条件”</w:t>
            </w:r>
          </w:p>
        </w:tc>
      </w:tr>
      <w:tr>
        <w:tc>
          <w:tcPr>
            <w:tcW w:type="pct" w:w="3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购满金额 ≤ 0</w:t>
            </w:r>
          </w:p>
        </w:tc>
        <w:tc>
          <w:tcPr>
            <w:tcW w:type="pct" w:w="6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拦截，提示“第N组：购满金额需大于0”</w:t>
            </w:r>
          </w:p>
        </w:tc>
      </w:tr>
      <w:tr>
        <w:tc>
          <w:tcPr>
            <w:tcW w:type="pct" w:w="3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购买数量非正整数</w:t>
            </w:r>
          </w:p>
        </w:tc>
        <w:tc>
          <w:tcPr>
            <w:tcW w:type="pct" w:w="6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拦截，提示“第N组：购买数量需为正整数”</w:t>
            </w:r>
          </w:p>
        </w:tc>
      </w:tr>
      <w:tr>
        <w:tc>
          <w:tcPr>
            <w:tcW w:type="pct" w:w="3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非输入态点击编辑</w:t>
            </w:r>
          </w:p>
        </w:tc>
        <w:tc>
          <w:tcPr>
            <w:tcW w:type="pct" w:w="6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跳转详情页（只读）</w:t>
            </w:r>
          </w:p>
        </w:tc>
      </w:tr>
      <w:tr>
        <w:tc>
          <w:tcPr>
            <w:tcW w:type="pct" w:w="3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审核驳回</w:t>
            </w:r>
          </w:p>
        </w:tc>
        <w:tc>
          <w:tcPr>
            <w:tcW w:type="pct" w:w="6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状态回退输入，强制填写驳回原因</w:t>
            </w:r>
          </w:p>
        </w:tc>
      </w:tr>
      <w:tr>
        <w:tc>
          <w:tcPr>
            <w:tcW w:type="pct" w:w="3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审核人与提交人相同</w:t>
            </w:r>
          </w:p>
        </w:tc>
        <w:tc>
          <w:tcPr>
            <w:tcW w:type="pct" w:w="6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拦截，提示“不可审核自己提交的活动”</w:t>
            </w:r>
          </w:p>
        </w:tc>
      </w:tr>
    </w:tbl>
    <w:p>
      <w:pPr>
        <w:spacing w:before="300"/>
      </w:pPr>
      <w:r>
        <w:rPr>
          <w:rFonts w:ascii="微软雅黑" w:cs="微软雅黑" w:eastAsia="微软雅黑" w:hAnsi="微软雅黑"/>
          <w:i/>
          <w:iCs/>
          <w:color w:val="595959"/>
          <w:sz w:val="20"/>
          <w:szCs w:val="20"/>
        </w:rPr>
        <w:t xml:space="preserve">附：本 PRD 仅基于促销中心原型 2026-06-23 版本梳理一口价活动现状（向导 5 tab、购满条件表、商品清单、承担规则）；算价引擎的实际一口价计算原型未实现，待后端落地时补充。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cs="微软雅黑" w:eastAsia="微软雅黑" w:hAnsi="微软雅黑"/>
        <w:sz w:val="22"/>
        <w:szCs w:val="22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一口价促销活动 PRD 文档</dc:title>
  <dc:creator>促销中心</dc:creator>
  <dc:description>One Price Promotion PRD</dc:description>
  <cp:lastModifiedBy>Un-named</cp:lastModifiedBy>
  <cp:revision>1</cp:revision>
  <dcterms:created xsi:type="dcterms:W3CDTF">2026-06-23T03:01:46.653Z</dcterms:created>
  <dcterms:modified xsi:type="dcterms:W3CDTF">2026-06-23T03:01:46.662Z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