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6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40"/>
          <w:szCs w:val="40"/>
        </w:rPr>
        <w:t xml:space="preserve">  一口价活动 · 需求详述</w:t>
      </w:r>
    </w:p>
    <w:p>
      <w:pPr>
        <w:spacing w:after="200" w:before="4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模块：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18"/>
          <w:szCs w:val="18"/>
        </w:rPr>
        <w:t xml:space="preserve">促销中心 / 促销活动 / 一口价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   ｜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文档版本：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18"/>
          <w:szCs w:val="18"/>
        </w:rPr>
        <w:t xml:space="preserve">V1.0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   ｜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对应原型版本：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18"/>
          <w:szCs w:val="18"/>
        </w:rPr>
        <w:t xml:space="preserve">2026-07-03</w:t>
      </w:r>
    </w:p>
    <w:p>
      <w:pPr>
        <w:pStyle w:val="Heading1"/>
        <w:pBdr>
          <w:bottom w:val="single" w:color="1F4E79" w:sz="12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0"/>
          <w:szCs w:val="30"/>
        </w:rPr>
        <w:t xml:space="preserve">1. 业务概述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1.1 业务定位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一口价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属于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直降类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促销，指将指定商品（或商品组合）以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一个固定的促销价格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对外销售，例如“日百纺织统一 9.9 元”“618 日百 19.9 元”。它是促销中心“促销活动”模块下，基于“一口价”促销模板创建的具体活动实例。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一口价与“组合价”共用同一套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组合价活动（Combo Campaign）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配置框架：通过“组合编码”把一个或多个商品打包成一个组合，对整组统一定价。因此一口价支持“单商品定价”和“多商品组合定价”两种形态，并支持“任选 N 件一口价”的玩法。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1.2 核心业务概念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字段/术语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组合编码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comboCode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把参与同一口价的多商品归为一个“组合”的编号（001~999）。同一组合内商品共享同一促销价与承担规则。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商品范围</w:t>
            </w:r>
          </w:p>
        </w:tc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comboScope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圈定参与活动的商品维度，取值：单品 / 类别 / 品牌。决定“商品信息”表的呈现形态。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补差方式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supplySubsidyMethod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供应商对促销让利的补差口径，取值：销售补差 / 活动补差。决定是否需要在商品行维护“销售分摊比例”。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优惠分摊方式</w:t>
            </w:r>
          </w:p>
        </w:tc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discountShareMethod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组合内多商品之间的优惠金额分摊方法，取值：销售占比 / 固定比例 / 按平均单价。决定“承担规则”步骤是否可见。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组合模式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comboMode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组合的成团方式：固定组合 / 任选组合（任选 N 件一口价）。决定“条件设置”表是否出现“任选 X 件”列。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优惠方式</w:t>
            </w:r>
          </w:p>
        </w:tc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discountWay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组合价的计算口径：倍数 / 阶梯。决定“条件设置”表是否出现“组合数量”“上限”列。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承担规则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burdenRule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促销让利费用在供货商、采购、门店三方之间的分摊规则。仅在“优惠分摊方式=固定比例”时启用。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1.3 业务流程总览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一口价活动按 5 个步骤的向导进行配置，整体流程如下：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核心配置内容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是否必填校验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基础信息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活动名称、促销类型(自动)、活动模式、临时调价、档期、活动时间、周期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用户范围</w:t>
            </w:r>
          </w:p>
        </w:tc>
        <w:tc>
          <w:tcPr>
            <w:tcW w:type="pct" w:w="5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渠道范围、用户范围、会员等级、会员标签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否（默认全渠道/全部）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门店范围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门店范围类型、门店明细（编码/名称/区域/价格组）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商品范围</w:t>
            </w:r>
          </w:p>
        </w:tc>
        <w:tc>
          <w:tcPr>
            <w:tcW w:type="pct" w:w="5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商品范围、补差方式、优惠分摊方式、商品明细、条件设置（促销价/优惠方式）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承担规则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分摊方式、供货商/采购/门店承担比例（固定比例时启用）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条件性必填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1.4 活动生命周期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一口价活动沿用促销活动统一状态机，状态字段 status：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可执行操作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目标状态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输入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草稿态，新建/编辑保存后默认状态，可反复修改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编辑 / 保存 / 提交审核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审核中</w:t>
            </w:r>
          </w:p>
        </w:tc>
      </w:tr>
      <w:tr>
        <w:tc>
          <w:tcPr>
            <w:tcW w:type="pct" w:w="1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审核中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已提交待审核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审核通过 / 审核驳回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通过→待生效；驳回→输入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待生效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审核通过但未到活动开始时间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—（到达 startAt 自动生效）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生效</w:t>
            </w:r>
          </w:p>
        </w:tc>
      </w:tr>
      <w:tr>
        <w:tc>
          <w:tcPr>
            <w:tcW w:type="pct" w:w="1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生效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活动进行中，对前台算价生效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终止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终止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终止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活动提前结束（人工终止或到期后处理）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—（终态）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top w:val="single" w:color="E2A93B" w:sz="4" w:space="2"/>
          <w:bottom w:val="single" w:color="E2A93B" w:sz="4" w:space="2"/>
          <w:left w:val="single" w:color="E2A93B" w:sz="18" w:space="8"/>
          <w:right w:val="single" w:color="E2A93B" w:sz="4" w:space="2"/>
        </w:pBdr>
        <w:shd w:fill="FFF2CC" w:color="auto" w:val="clear"/>
        <w:spacing w:after="120" w:before="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0"/>
          <w:szCs w:val="20"/>
        </w:rPr>
        <w:t xml:space="preserve">说明：活动状态独立于审核状态；状态流转需记录操作人、操作时间，所有状态变更纳入审计日志。</w:t>
      </w:r>
    </w:p>
    <w:p>
      <w:pPr>
        <w:pStyle w:val="Heading1"/>
        <w:pBdr>
          <w:bottom w:val="single" w:color="1F4E79" w:sz="12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0"/>
          <w:szCs w:val="30"/>
        </w:rPr>
        <w:t xml:space="preserve">2. 功能详述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2.1 活动列表页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活动列表页（路由 /campaigns，促销类型=一口价）用于查询、维护一口价活动，提供查询、新增、查看、编辑、提交、审核、生效、终止、删除、导出等操作。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2.1.1 查询条件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查询条件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控件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取值/说明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活动编码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文本框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模糊匹配 activityNo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活动主题</w:t>
            </w:r>
          </w:p>
        </w:tc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文本框</w:t>
            </w:r>
          </w:p>
        </w:tc>
        <w:tc>
          <w:tcPr>
            <w:tcW w:type="pct" w:w="6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模糊匹配 activitySubject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促销类型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下拉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满减 / 折扣 / 赠品 / 一口价 / 满赠券；一口价活动查询时默认=一口价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活动状态</w:t>
            </w:r>
          </w:p>
        </w:tc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下拉</w:t>
            </w:r>
          </w:p>
        </w:tc>
        <w:tc>
          <w:tcPr>
            <w:tcW w:type="pct" w:w="6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全部 / 输入 / 审核中 / 待生效 / 生效 / 终止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档期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下拉/文本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按档期名称或 ID 筛选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活动时间</w:t>
            </w:r>
          </w:p>
        </w:tc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日期区间</w:t>
            </w:r>
          </w:p>
        </w:tc>
        <w:tc>
          <w:tcPr>
            <w:tcW w:type="pct" w:w="6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按活动开始/结束时间区间筛选</w:t>
            </w:r>
          </w:p>
        </w:tc>
      </w:tr>
    </w:tbl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2.1.2 列表字段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列字段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活动编码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activityNo，点击可进入详情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活动主题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activitySubject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促销类型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promoType（一口价）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模版编码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templateNo（1010）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档期ID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scheduleId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渠道范围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scope.channel 汇总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用户范围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scope.userScope 汇总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活动开始时间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startAt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9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活动结束时间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endAt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活动周期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cycle（周一~周日）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活动状态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12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创建人 / 创建时间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creator / createAt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审核人 / 审核时间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auditor / auditAt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14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生效人 / 生效时间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effectiveBy / effectiveAt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15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操作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按状态动态显示：编辑/提交/审核/详情/生效/终止/删除</w:t>
            </w:r>
          </w:p>
        </w:tc>
      </w:tr>
    </w:tbl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2.1.3 操作列规则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前置状态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前置权限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新增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配置权限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进入 5 步新建向导</w:t>
            </w:r>
          </w:p>
        </w:tc>
      </w:tr>
      <w:tr>
        <w:tc>
          <w:tcPr>
            <w:tcW w:type="pct" w:w="1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编辑</w:t>
            </w:r>
          </w:p>
        </w:tc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输入</w:t>
            </w:r>
          </w:p>
        </w:tc>
        <w:tc>
          <w:tcPr>
            <w:tcW w:type="pct" w:w="2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配置权限</w:t>
            </w:r>
          </w:p>
        </w:tc>
        <w:tc>
          <w:tcPr>
            <w:tcW w:type="pct" w:w="4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进入编辑向导（仅输入态可改）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提交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输入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配置权限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状态 → 审核中</w:t>
            </w:r>
          </w:p>
        </w:tc>
      </w:tr>
      <w:tr>
        <w:tc>
          <w:tcPr>
            <w:tcW w:type="pct" w:w="1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</w:t>
            </w:r>
          </w:p>
        </w:tc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审核中</w:t>
            </w:r>
          </w:p>
        </w:tc>
        <w:tc>
          <w:tcPr>
            <w:tcW w:type="pct" w:w="2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审核权限（≠提交人）</w:t>
            </w:r>
          </w:p>
        </w:tc>
        <w:tc>
          <w:tcPr>
            <w:tcW w:type="pct" w:w="4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通过 → 待生效；驳回 → 输入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生效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待生效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配置权限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状态 → 生效（也可到时自动生效）</w:t>
            </w:r>
          </w:p>
        </w:tc>
      </w:tr>
      <w:tr>
        <w:tc>
          <w:tcPr>
            <w:tcW w:type="pct" w:w="1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终止</w:t>
            </w:r>
          </w:p>
        </w:tc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生效</w:t>
            </w:r>
          </w:p>
        </w:tc>
        <w:tc>
          <w:tcPr>
            <w:tcW w:type="pct" w:w="2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管理权限</w:t>
            </w:r>
          </w:p>
        </w:tc>
        <w:tc>
          <w:tcPr>
            <w:tcW w:type="pct" w:w="4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状态 → 终止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详情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任意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查看权限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打开只读详情抽屉</w:t>
            </w:r>
          </w:p>
        </w:tc>
      </w:tr>
      <w:tr>
        <w:tc>
          <w:tcPr>
            <w:tcW w:type="pct" w:w="1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删除</w:t>
            </w:r>
          </w:p>
        </w:tc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输入 / 终止</w:t>
            </w:r>
          </w:p>
        </w:tc>
        <w:tc>
          <w:tcPr>
            <w:tcW w:type="pct" w:w="2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管理权限</w:t>
            </w:r>
          </w:p>
        </w:tc>
        <w:tc>
          <w:tcPr>
            <w:tcW w:type="pct" w:w="4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物理删除，二次确认</w:t>
            </w:r>
          </w:p>
        </w:tc>
      </w:tr>
      <w:t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导出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查看权限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按筛选/勾选导出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2.2 新增/编辑活动（5 步向导）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一口价活动新增（/campaigns-create）与编辑（/campaigns-edit）共用 5 步向导：基础信息 → 用户范围 → 门店范围 → 商品范围 → 承担规则。每步支持“上一步/下一步”，最后一步提供“保存草稿 / 提交”。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2.2.1 步骤一：基础信息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维护活动的标识、归属与生效时间。其中“促销模版”“促销类型”由所选模板带入，不可手动修改。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活动编码：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新建时自动生成（规则 ACT-yyyy-####），不可编辑；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活动名称：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必填，描述性文本，如“一口价-日百纺织9.9元”；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活动模式：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集团 / 区域，决定活动归属层级，默认集团；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是否临时调价：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是 / 否，默认否。选“是”时，活动档期变为非必填；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活动档期：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下拉选择已存在的活动档期，临时调价=否 时必填；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活动时间 + 周：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活动时间（起止）必填；周可多选周一~周日，限定一周内哪些天生效。</w:t>
      </w:r>
    </w:p>
    <w:p>
      <w:pPr>
        <w:pBdr>
          <w:top w:val="single" w:color="E2A93B" w:sz="4" w:space="2"/>
          <w:bottom w:val="single" w:color="E2A93B" w:sz="4" w:space="2"/>
          <w:left w:val="single" w:color="E2A93B" w:sz="18" w:space="8"/>
          <w:right w:val="single" w:color="E2A93B" w:sz="4" w:space="2"/>
        </w:pBdr>
        <w:shd w:fill="FFF2CC" w:color="auto" w:val="clear"/>
        <w:spacing w:after="120" w:before="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0"/>
          <w:szCs w:val="20"/>
        </w:rPr>
        <w:t xml:space="preserve">校验：活动名称不可为空；非临时调价时档期不可为空；活动时间起 &lt; 止。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2.2.2 步骤二：用户范围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限定活动面向的渠道与用户群体，未选时默认全渠道、全部用户。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渠道范围：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全渠道 / 线上渠道 / 线下渠道，默认全渠道；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用户范围：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全部 / 会员，默认全部；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会员等级 / 会员标签：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下拉，数据来源于会员主档；当用户范围=会员时，会员等级/标签才参与前台命中计算。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2.2.3 步骤三：门店范围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限定活动参与的门店集合。支持按门店、区域、价格组三种范围类型圈定，并提供门店明细表（门店编码、门店名称、区域、价格组、备注），支持新增、批量导入与查询筛选。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门店范围类型：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门店 / 区域 / 价格组，默认门店；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门店明细：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每行维护门店编码、门店名称、区域、价格组、备注；至少需要维护一行（或选择全场）。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2.2.4 步骤四：商品范围（核心）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商品范围是配置的重点，分为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“条件范围”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“商品信息”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“条件设置”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三个区块。其中条件范围区在 2026-07-03 版本做了字段调整：</w:t>
      </w:r>
    </w:p>
    <w:p>
      <w:pPr>
        <w:pStyle w:val="ListParagraph"/>
        <w:numPr>
          <w:ilvl w:val="1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595959"/>
          <w:sz w:val="21"/>
          <w:szCs w:val="21"/>
        </w:rPr>
        <w:t xml:space="preserve">(去掉) 购买类型：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原购买类型（组合/全场）已移除；</w:t>
      </w:r>
    </w:p>
    <w:p>
      <w:pPr>
        <w:pStyle w:val="ListParagraph"/>
        <w:numPr>
          <w:ilvl w:val="1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595959"/>
          <w:sz w:val="21"/>
          <w:szCs w:val="21"/>
        </w:rPr>
        <w:t xml:space="preserve">(去掉) 组合方式：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原组合方式（固定组合/任选组合）已从条件范围区移除，作为隐含配置保留；</w:t>
      </w:r>
    </w:p>
    <w:p>
      <w:pPr>
        <w:pStyle w:val="ListParagraph"/>
        <w:numPr>
          <w:ilvl w:val="1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1"/>
          <w:szCs w:val="21"/>
        </w:rPr>
        <w:t xml:space="preserve">(新增) 补差方式：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销售补差 / 活动补差；</w:t>
      </w:r>
    </w:p>
    <w:p>
      <w:pPr>
        <w:pStyle w:val="ListParagraph"/>
        <w:numPr>
          <w:ilvl w:val="1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1"/>
          <w:szCs w:val="21"/>
        </w:rPr>
        <w:t xml:space="preserve">(新增) 优惠分摊方式：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销售占比 / 固定比例 / 按平均单价；</w:t>
      </w:r>
    </w:p>
    <w:p>
      <w:pPr>
        <w:pStyle w:val="ListParagraph"/>
        <w:numPr>
          <w:ilvl w:val="1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1"/>
          <w:szCs w:val="21"/>
        </w:rPr>
        <w:t xml:space="preserve">(新增) 承担方式：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承担相关配置下移至“步骤五 承担规则”，通过分摊方式统一管理。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条件范围区（3 个必填字段）：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取值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商品范围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单品 / 类别 / 品牌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单品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决定商品信息表的圈定维度与表形态</w:t>
            </w:r>
          </w:p>
        </w:tc>
      </w:tr>
      <w:tr>
        <w:tc>
          <w:tcPr>
            <w:tcW w:type="pct" w:w="1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补差方式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销售补差 / 活动补差</w:t>
            </w:r>
          </w:p>
        </w:tc>
        <w:tc>
          <w:tcPr>
            <w:tcW w:type="pct" w:w="14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销售补差</w:t>
            </w:r>
          </w:p>
        </w:tc>
        <w:tc>
          <w:tcPr>
            <w:tcW w:type="pct" w:w="3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供应商补差口径；联动商品信息“销售分摊比例%”列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优惠分摊方式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销售占比 / 固定比例 / 按平均单价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销售占比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组合内优惠分摊方法；联动步骤五承担规则</w:t>
            </w:r>
          </w:p>
        </w:tc>
      </w:tr>
    </w:tbl>
    <w:p>
      <w:pPr>
        <w:spacing w:after="80" w:before="4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商品信息区：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按“商品范围”切换为商品表 / 类别表 / 品牌表，维护参与组合的明细行。商品表列：组合编码、商品编码、商品条码、商品名称、商品简称、商品规格、单位、商品售价，并在“补差方式=销售补差 且 优惠分摊方式=固定比例”时追加“销售分摊比例%”列。支持新增、删除、查询、导入。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条件设置区：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按组合编码维护每组的促销价与优惠方式，列结构随组合模式与优惠方式动态变化：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显示条件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组合编码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始终显示</w:t>
            </w:r>
          </w:p>
        </w:tc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关联商品信息中的组合编码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任选 X 件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组合模式 = 任选组合</w:t>
            </w:r>
          </w:p>
        </w:tc>
        <w:tc>
          <w:tcPr>
            <w:tcW w:type="pct" w:w="4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满足任选 N 件成团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组合数量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非任选组合 且 优惠方式 = 阶梯</w:t>
            </w:r>
          </w:p>
        </w:tc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阶梯成团所需数量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促销价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始终显示</w:t>
            </w:r>
          </w:p>
        </w:tc>
        <w:tc>
          <w:tcPr>
            <w:tcW w:type="pct" w:w="4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该组合的一口价金额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优惠方式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始终显示</w:t>
            </w:r>
          </w:p>
        </w:tc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倍数 / 阶梯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上限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优惠方式 = 倍数（非阶梯）</w:t>
            </w:r>
          </w:p>
        </w:tc>
        <w:tc>
          <w:tcPr>
            <w:tcW w:type="pct" w:w="4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该组合优惠上限金额</w:t>
            </w:r>
          </w:p>
        </w:tc>
      </w:tr>
    </w:tbl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2"/>
          <w:szCs w:val="22"/>
        </w:rPr>
        <w:t xml:space="preserve">2.2.5 步骤五：承担规则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定义促销让利在供货商、采购、门店三方之间的承担规则。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本步骤仅在“优惠分摊方式=固定比例”时可见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,其他分摊方式下提示：“请先将‘商品范围’中的优惠分摊方式设置为固定比例”。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分摊方式：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统一比例 / 自定义比例，默认统一比例；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统一比例：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直接填写供货商承担%、采购承担%、门店承担%（三者 0~100，建议合计 100）；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62626"/>
          <w:sz w:val="21"/>
          <w:szCs w:val="21"/>
        </w:rPr>
        <w:t xml:space="preserve">自定义比例：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按组合编码分组，逐商品行维护：承担比例%、供货商承担%、采购承担%、门店承担%。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2.3 关键联动逻辑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一口价活动配置中存在多处字段联动，是本模块的核心业务规则，落地实现时须严格遵守：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触发字段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取值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联动影响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影响区域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商品范围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单品 / 类别 / 品牌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切换商品信息表的明细形态（商品行/类别行/品牌行）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步骤四 商品信息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补差方式 + 优惠分摊方式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销售补差 + 固定比例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商品信息表追加“销售分摊比例%”列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步骤四 商品信息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优惠分摊方式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固定比例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显示步骤五承担规则；其余取值隐藏承担规则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步骤五 承担规则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组合模式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任选组合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条件设置表显示“任选 X 件”列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步骤四 条件设置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优惠方式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阶梯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条件设置表显示“组合数量”列、隐藏“上限”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步骤四 条件设置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优惠方式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倍数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条件设置表显示“上限”列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步骤四 条件设置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是否临时调价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是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活动档期由必填变为非必填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步骤一 基础信息</w:t>
            </w:r>
          </w:p>
        </w:tc>
      </w:tr>
      <w:tr>
        <w:tc>
          <w:tcPr>
            <w:tcW w:type="pct" w:w="2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用户范围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会员</w:t>
            </w:r>
          </w:p>
        </w:tc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会员等级/会员标签参与前台命中</w:t>
            </w:r>
          </w:p>
        </w:tc>
        <w:tc>
          <w:tcPr>
            <w:tcW w:type="pct" w:w="20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步骤二 用户范围</w:t>
            </w:r>
          </w:p>
        </w:tc>
      </w:tr>
    </w:tbl>
    <w:p>
      <w:pPr>
        <w:pBdr>
          <w:top w:val="single" w:color="1F4E79" w:sz="4" w:space="2"/>
          <w:bottom w:val="single" w:color="1F4E79" w:sz="4" w:space="2"/>
          <w:left w:val="single" w:color="1F4E79" w:sz="18" w:space="8"/>
          <w:right w:val="single" w:color="1F4E79" w:sz="4" w:space="2"/>
        </w:pBdr>
        <w:shd w:fill="EAF1FB" w:color="auto" w:val="clear"/>
        <w:spacing w:after="120" w:before="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0"/>
          <w:szCs w:val="20"/>
        </w:rPr>
        <w:t xml:space="preserve">联动优先级：步骤四的“商品范围 / 补差方式 / 优惠分摊方式”是全局开关，须在进入对应区块前完成选择；切换时下游区块（商品信息、条件设置、承担规则）须即时刷新列结构与校验。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2.4 校验规则与异常提示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校验/处理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活动名称为空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提交/下一步时拦截，提示“请填写活动主题”</w:t>
            </w:r>
          </w:p>
        </w:tc>
      </w:tr>
      <w:tr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非临时调价且未选档期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拦截，提示“请选择活动档期”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活动时间起 ≥ 止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拦截，提示“结束时间需大于开始时间”</w:t>
            </w:r>
          </w:p>
        </w:tc>
      </w:tr>
      <w:tr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商品明细为空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提交时拦截，提示“请在商品范围中至少新增一条记录”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承担规则未配但已启用（固定比例）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提交时拦截，提示“请完善承担规则比例”</w:t>
            </w:r>
          </w:p>
        </w:tc>
      </w:tr>
      <w:tr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承担比例之和 ≠ 100%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建议性提示，允许保存但给出“三方承担比例合计建议为 100%”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非输入态点击编辑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跳转只读详情，不可编辑</w:t>
            </w:r>
          </w:p>
        </w:tc>
      </w:tr>
      <w:tr>
        <w:tc>
          <w:tcPr>
            <w:tcW w:type="pct" w:w="3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审核人 = 提交人</w:t>
            </w:r>
          </w:p>
        </w:tc>
        <w:tc>
          <w:tcPr>
            <w:tcW w:type="pct" w:w="62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拦截，提示“审核人与提交人不可为同一人”</w:t>
            </w:r>
          </w:p>
        </w:tc>
      </w:tr>
    </w:tbl>
    <w:p>
      <w:pPr>
        <w:pStyle w:val="Heading1"/>
        <w:pBdr>
          <w:bottom w:val="single" w:color="1F4E79" w:sz="12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0"/>
          <w:szCs w:val="30"/>
        </w:rPr>
        <w:t xml:space="preserve">3. 字段清单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以下字段按配置步骤/数据结构组织，列含义：字段名（含子结构路径）、字段类型、长度（— 表示无固定长度，如数值/布尔/数组/时间）、主键（是否为主键）、规则、说明。</w:t>
      </w:r>
    </w:p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3.1 活动主表 / 基础信息（campaign）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32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系统生成，全局唯一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内部主键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新建自动生成，规则 ACT-yyyy-####；全局唯一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对外业务编号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必填，不可为空；≤100字符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活动主题/展示名称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一口价 / 组合价；新建后不可改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取自所选模板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32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关联促销模板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T-1010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关联模板编码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1010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关联模板名称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一口价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直降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模板派生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集团 / 区域；默认集团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活动归属层级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是 / 否；默认否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控制档期是否必填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临时调价=否 时必填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关联档期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自由文本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描述用途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必填；&lt; endAt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yyyy-MM-dd HH:mm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必填；&gt; startAt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yyyy-MM-dd HH:mm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array&lt;string&gt;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周一~周日 多选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周内生效日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输入/审核中/待生效/生效/终止；默认输入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生命周期标识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自动取当前登录人，新建后不可改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系统时间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每次编辑更新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每次编辑更新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审核通过写入；需 ≠ 提交人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审核通过写入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生效时写入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生效时写入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审计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3.2 用户范围（scope）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全渠道 / 线上渠道 / 线下渠道；默认全渠道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活动生效渠道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全部 / 会员；默认全部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面向的用户群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array&lt;object&gt;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来源于会员等级主档；userScope=会员 时参与命中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{code,name}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array&lt;object&gt;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来源于会员标签主档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{code,name}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3.3 门店范围（storeScope）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门店 / 区域 / 价格组；默认门店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圈定方式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array&lt;object&gt;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至少 1 行（或全场）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门店行集合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唯一（店内）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ST-001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华东旗舰店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华东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PG-01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自由文本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3.4 商品范围 · 条件范围（goodsScope）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说明：购买类型(purchaseType)、组合方式(comboMode) 已于 2026-07-03 从条件范围区 UI 移除；comboMode 作为隐含配置保留，控制条件设置区列结构。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单品 / 类别 / 品牌；默认单品；必填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圈定商品维度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销售补差 / 活动补差；默认销售补差；必填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供应商补差口径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销售占比 / 固定比例 / 按平均单价；默认销售占比；必填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组合内优惠分摊方法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固定组合 / 任选组合；默认任选组合；UI 不展示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控制条件设置列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3.5 商品范围 · 商品明细（goods）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适用：商品范围 = 单品。当“补差方式=销售补差 且 优惠分摊方式=固定比例”时，追加 shareRatio 列。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自动生成，001~999；同组共享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组合归集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SKU-4001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6900000000401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纯棉毛巾34*76cm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34*76cm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条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(10,2)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≥ 0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原售价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0~100；仅 销售补差+固定比例 显示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商品级分摊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3.6 商品范围 · 条件设置（comboSettings）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按组合编码维护每组的一口价规则，列随 comboMode / discountWay 动态显示。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string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关联商品信息组合编码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分组键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int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≥0；仅 任选组合 显示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任选成团数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int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≥0；非任选 且 优惠方式=阶梯 显示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阶梯成团数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(10,2)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≥ 0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组合一口价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倍数 / 阶梯；默认倍数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计算口径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(10,2)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≥0；优惠方式=倍数 显示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优惠上限</w:t>
            </w:r>
          </w:p>
        </w:tc>
      </w:tr>
    </w:tbl>
    <w:p>
      <w:pPr>
        <w:pStyle w:val="Heading2"/>
        <w:spacing w:after="120" w:before="2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5"/>
          <w:szCs w:val="25"/>
        </w:rPr>
        <w:t xml:space="preserve">3.7 承担规则（burdenRule / burdenGoods）</w:t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仅在 优惠分摊方式 = 固定比例 时启用。统一比例写 burdenRule；自定义比例按商品行写 burdenGoods。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enum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统一比例 / 自定义比例；默认统一比例；必填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承担配置形态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0~100；统一比例时填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三方承担之一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0~100；统一比例时填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三方承担之一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0~100；统一比例时填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三方承担之一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0~100；自定义比例时填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商品行承担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0~100；自定义比例时填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商品行供货商</w:t>
            </w:r>
          </w:p>
        </w:tc>
      </w:tr>
      <w:tr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0~100；自定义比例时填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商品行采购</w:t>
            </w:r>
          </w:p>
        </w:tc>
      </w:tr>
      <w:tr>
        <w:tc>
          <w:tcPr>
            <w:tcW w:type="pct" w:w="16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11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number</w:t>
            </w:r>
          </w:p>
        </w:tc>
        <w:tc>
          <w:tcPr>
            <w:tcW w:type="pct" w:w="8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(5,2)</w:t>
            </w:r>
          </w:p>
        </w:tc>
        <w:tc>
          <w:tcPr>
            <w:tcW w:type="pct" w:w="7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[object Object]</w:t>
            </w:r>
          </w:p>
        </w:tc>
        <w:tc>
          <w:tcPr>
            <w:tcW w:type="pct" w:w="33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0~100；自定义比例时填</w:t>
            </w:r>
          </w:p>
        </w:tc>
        <w:tc>
          <w:tcPr>
            <w:tcW w:type="pct" w:w="25%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商品行门店</w:t>
            </w:r>
          </w:p>
        </w:tc>
      </w:tr>
    </w:tbl>
    <w:p>
      <w:pPr>
        <w:pBdr>
          <w:top w:val="single" w:color="BFBFBF" w:sz="6" w:space="4"/>
        </w:pBdr>
        <w:spacing w:after="80" w:befor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/>
      </w:r>
    </w:p>
    <w:p>
      <w:pPr>
        <w:spacing w:after="80" w:before="4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附：本需求详述基于促销中心原型 2026-07-03 版本梳理，字段与联动逻辑已与代码实现（app.js 组合价/一口价模块）对齐；其中补差方式、优惠分摊方式、承担方式的字段调整为最新设计（提交 d1d509d 后的当前工作区版本）。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一口价活动-需求详述</dc:title>
  <dc:creator>商品促销中心</dc:creator>
  <dc:description>一口价活动需求详述（V1.0）</dc:description>
  <cp:lastModifiedBy>Un-named</cp:lastModifiedBy>
  <cp:revision>1</cp:revision>
  <dcterms:created xsi:type="dcterms:W3CDTF">2026-07-03T16:35:06.377Z</dcterms:created>
  <dcterms:modified xsi:type="dcterms:W3CDTF">2026-07-03T16:35:06.393Z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