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F5E4B">
      <w:pPr>
        <w:spacing w:before="0" w:after="120"/>
        <w:jc w:val="center"/>
      </w:pPr>
      <w:r>
        <w:rPr>
          <w:rFonts w:ascii="Calibri" w:hAnsi="Calibri"/>
          <w:b/>
          <w:i w:val="0"/>
          <w:color w:val="1A4FA0"/>
          <w:sz w:val="40"/>
        </w:rPr>
        <w:t>Google Ads API Developer Token</w:t>
      </w:r>
    </w:p>
    <w:p w14:paraId="1839D2EA">
      <w:pPr>
        <w:spacing w:after="80"/>
        <w:jc w:val="center"/>
      </w:pPr>
      <w:r>
        <w:rPr>
          <w:rFonts w:ascii="Calibri" w:hAnsi="Calibri"/>
          <w:b/>
          <w:i w:val="0"/>
          <w:color w:val="555555"/>
          <w:sz w:val="28"/>
        </w:rPr>
        <w:t>Basic Access 申请表单填写指南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7927"/>
      </w:tblGrid>
      <w:tr w14:paraId="02CD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EEF4FF"/>
          </w:tcPr>
          <w:p w14:paraId="6DA34EE7">
            <w:pPr>
              <w:spacing w:after="0" w:line="240" w:lineRule="auto"/>
            </w:pPr>
            <w:r>
              <w:rPr>
                <w:rFonts w:ascii="Calibri" w:hAnsi="Calibri"/>
                <w:b/>
                <w:i w:val="0"/>
                <w:color w:val="1A4FA0"/>
                <w:sz w:val="19"/>
              </w:rPr>
              <w:t>申请地址</w:t>
            </w:r>
          </w:p>
        </w:tc>
        <w:tc>
          <w:tcPr>
            <w:tcW w:w="7937" w:type="dxa"/>
            <w:shd w:val="clear" w:color="auto" w:fill="EEF4FF"/>
          </w:tcPr>
          <w:p w14:paraId="20292E47">
            <w:pPr>
              <w:spacing w:after="0" w:line="240" w:lineRule="auto"/>
            </w:pPr>
            <w:r>
              <w:rPr>
                <w:rFonts w:ascii="Calibri" w:hAnsi="Calibri"/>
                <w:b w:val="0"/>
                <w:i w:val="0"/>
                <w:color w:val="1A1A1A"/>
                <w:sz w:val="19"/>
              </w:rPr>
              <w:t>https://support.google.com/adspolicy/contact/new_token_application</w:t>
            </w:r>
          </w:p>
        </w:tc>
      </w:tr>
      <w:tr w14:paraId="76F6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F9FBFF"/>
          </w:tcPr>
          <w:p w14:paraId="77385EB5">
            <w:pPr>
              <w:spacing w:after="0" w:line="240" w:lineRule="auto"/>
            </w:pPr>
            <w:r>
              <w:rPr>
                <w:rFonts w:ascii="Calibri" w:hAnsi="Calibri"/>
                <w:b/>
                <w:i w:val="0"/>
                <w:color w:val="1A4FA0"/>
                <w:sz w:val="19"/>
              </w:rPr>
              <w:t>适用公司</w:t>
            </w:r>
          </w:p>
        </w:tc>
        <w:tc>
          <w:tcPr>
            <w:tcW w:w="7937" w:type="dxa"/>
            <w:shd w:val="clear" w:color="auto" w:fill="F9FBFF"/>
          </w:tcPr>
          <w:p w14:paraId="23C201BF">
            <w:pPr>
              <w:spacing w:after="0" w:line="240" w:lineRule="auto"/>
            </w:pPr>
            <w:r>
              <w:rPr>
                <w:rFonts w:ascii="Calibri" w:hAnsi="Calibri"/>
                <w:b w:val="0"/>
                <w:i w:val="0"/>
                <w:color w:val="1A1A1A"/>
                <w:sz w:val="19"/>
              </w:rPr>
              <w:t>Wenzhou Fengdu Advertising &amp; Media Co., Ltd. (温州丰度广告传媒有限公司)</w:t>
            </w:r>
          </w:p>
        </w:tc>
      </w:tr>
      <w:tr w14:paraId="70DF0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EEF4FF"/>
          </w:tcPr>
          <w:p w14:paraId="7237A598">
            <w:pPr>
              <w:spacing w:after="0" w:line="240" w:lineRule="auto"/>
            </w:pPr>
            <w:r>
              <w:rPr>
                <w:rFonts w:ascii="Calibri" w:hAnsi="Calibri"/>
                <w:b/>
                <w:i w:val="0"/>
                <w:color w:val="1A4FA0"/>
                <w:sz w:val="19"/>
              </w:rPr>
              <w:t>更新时间</w:t>
            </w:r>
          </w:p>
        </w:tc>
        <w:tc>
          <w:tcPr>
            <w:tcW w:w="7937" w:type="dxa"/>
            <w:shd w:val="clear" w:color="auto" w:fill="EEF4FF"/>
          </w:tcPr>
          <w:p w14:paraId="7438B6F6">
            <w:pPr>
              <w:spacing w:after="0" w:line="240" w:lineRule="auto"/>
            </w:pPr>
            <w:r>
              <w:rPr>
                <w:rFonts w:ascii="Calibri" w:hAnsi="Calibri"/>
                <w:b w:val="0"/>
                <w:i w:val="0"/>
                <w:color w:val="1A1A1A"/>
                <w:sz w:val="19"/>
              </w:rPr>
              <w:t>2026-04-02</w:t>
            </w:r>
          </w:p>
        </w:tc>
      </w:tr>
    </w:tbl>
    <w:p w14:paraId="2E35D72D">
      <w:pPr>
        <w:spacing w:after="120"/>
      </w:pPr>
    </w:p>
    <w:p w14:paraId="44031E54">
      <w:pPr>
        <w:pBdr>
          <w:left w:val="single" w:color="F5A623" w:sz="12" w:space="4"/>
        </w:pBdr>
        <w:shd w:val="clear" w:color="auto" w:fill="FFF3CD"/>
        <w:spacing w:before="100" w:after="100"/>
        <w:ind w:left="227" w:right="227"/>
      </w:pPr>
      <w:r>
        <w:rPr>
          <w:rFonts w:ascii="Calibri" w:hAnsi="Calibri"/>
          <w:b w:val="0"/>
          <w:i/>
          <w:color w:val="B35A00"/>
          <w:sz w:val="20"/>
        </w:rPr>
        <w:t>⚠️ 提交前务必先完成“申请前准备”中的所有步骤，尤其是 API Center 邮笱必须改为企业域名邮笱。</w:t>
      </w:r>
    </w:p>
    <w:p w14:paraId="3611DBDF">
      <w:pPr>
        <w:pBdr>
          <w:bottom w:val="single" w:color="1A4FA0" w:sz="6" w:space="1"/>
        </w:pBdr>
        <w:spacing w:before="280" w:after="100"/>
      </w:pPr>
      <w:r>
        <w:rPr>
          <w:rFonts w:ascii="Calibri" w:hAnsi="Calibri"/>
          <w:b/>
          <w:i w:val="0"/>
          <w:color w:val="1A4FA0"/>
          <w:sz w:val="30"/>
        </w:rPr>
        <w:t>一、申请前准备（提交表单之前必须做完）</w:t>
      </w:r>
    </w:p>
    <w:p w14:paraId="30071611">
      <w:pPr>
        <w:pBdr>
          <w:bottom w:val="single" w:color="C5D8F5" w:sz="4" w:space="1"/>
        </w:pBdr>
        <w:spacing w:before="200" w:after="80"/>
      </w:pPr>
      <w:r>
        <w:rPr>
          <w:rFonts w:ascii="Calibri" w:hAnsi="Calibri"/>
          <w:b/>
          <w:i w:val="0"/>
          <w:color w:val="1A1A1A"/>
          <w:sz w:val="24"/>
        </w:rPr>
        <w:t>1.1  确认 API Center 信息</w:t>
      </w:r>
    </w:p>
    <w:p w14:paraId="2ABE574B">
      <w:pPr>
        <w:spacing w:after="80"/>
      </w:pPr>
      <w:r>
        <w:rPr>
          <w:rFonts w:ascii="Calibri" w:hAnsi="Calibri"/>
          <w:b w:val="0"/>
          <w:i w:val="0"/>
          <w:color w:val="1A1A1A"/>
          <w:sz w:val="21"/>
        </w:rPr>
        <w:t>1. 登录 Google Ads Manager 账户（MCC）</w:t>
      </w:r>
    </w:p>
    <w:p w14:paraId="2AE0CA0A">
      <w:pPr>
        <w:spacing w:after="80"/>
        <w:rPr>
          <w:rFonts w:hint="eastAsia" w:ascii="Calibri" w:hAnsi="Calibri" w:eastAsia="宋体"/>
          <w:b w:val="0"/>
          <w:i w:val="0"/>
          <w:color w:val="1A1A1A"/>
          <w:sz w:val="21"/>
          <w:lang w:val="en-US" w:eastAsia="zh-CN"/>
        </w:rPr>
      </w:pPr>
      <w:r>
        <w:rPr>
          <w:rFonts w:ascii="Calibri" w:hAnsi="Calibri"/>
          <w:b w:val="0"/>
          <w:i w:val="0"/>
          <w:color w:val="1A1A1A"/>
          <w:sz w:val="21"/>
        </w:rPr>
        <w:t xml:space="preserve">2. 点击顶部 TOOLS &amp; SETTINGS → SETUP → API </w:t>
      </w:r>
      <w:r>
        <w:rPr>
          <w:rFonts w:hint="eastAsia" w:ascii="Calibri" w:hAnsi="Calibri" w:eastAsia="宋体"/>
          <w:b w:val="0"/>
          <w:i w:val="0"/>
          <w:color w:val="1A1A1A"/>
          <w:sz w:val="21"/>
          <w:lang w:val="en-US" w:eastAsia="zh-CN"/>
        </w:rPr>
        <w:t>中心</w:t>
      </w:r>
    </w:p>
    <w:p w14:paraId="51AD5AFD">
      <w:pPr>
        <w:spacing w:after="80"/>
      </w:pPr>
      <w:r>
        <w:rPr>
          <w:rFonts w:ascii="Calibri" w:hAnsi="Calibri"/>
          <w:b w:val="0"/>
          <w:i w:val="0"/>
          <w:color w:val="1A1A1A"/>
          <w:sz w:val="21"/>
        </w:rPr>
        <w:t>3. 检查并更新以下信息：</w:t>
      </w:r>
    </w:p>
    <w:p w14:paraId="62B204AC">
      <w:pPr>
        <w:pStyle w:val="16"/>
        <w:spacing w:after="60"/>
        <w:ind w:left="227"/>
      </w:pPr>
      <w:r>
        <w:rPr>
          <w:rFonts w:ascii="Calibri" w:hAnsi="Calibri"/>
          <w:b w:val="0"/>
          <w:i w:val="0"/>
          <w:color w:val="1A1A1A"/>
          <w:sz w:val="21"/>
        </w:rPr>
        <w:t>API Contact Email  →  改为  admin@google-data-analysis.top  （企业域名邮笱，这是被驳回的核心原因）</w:t>
      </w:r>
    </w:p>
    <w:p w14:paraId="118E6C60">
      <w:pPr>
        <w:pStyle w:val="16"/>
        <w:spacing w:after="60"/>
        <w:ind w:left="227"/>
      </w:pPr>
      <w:r>
        <w:rPr>
          <w:rFonts w:ascii="Calibri" w:hAnsi="Calibri"/>
          <w:b w:val="0"/>
          <w:i w:val="0"/>
          <w:color w:val="1A1A1A"/>
          <w:sz w:val="21"/>
        </w:rPr>
        <w:t>Company Type  →  选择“联属营销企业（Affiliate）”</w:t>
      </w:r>
    </w:p>
    <w:p w14:paraId="4FB52C83">
      <w:pPr>
        <w:pStyle w:val="16"/>
        <w:spacing w:after="60"/>
        <w:ind w:left="227"/>
      </w:pPr>
      <w:r>
        <w:rPr>
          <w:rFonts w:ascii="Calibri" w:hAnsi="Calibri"/>
          <w:b w:val="0"/>
          <w:i w:val="0"/>
          <w:color w:val="1A1A1A"/>
          <w:sz w:val="21"/>
        </w:rPr>
        <w:t>Company Name  →  Wenzhou Fengdu Advertising &amp; Media Co., Ltd.</w:t>
      </w:r>
    </w:p>
    <w:p w14:paraId="5DE6196F">
      <w:pPr>
        <w:pStyle w:val="16"/>
        <w:spacing w:after="60"/>
        <w:ind w:left="227"/>
      </w:pPr>
      <w:r>
        <w:rPr>
          <w:rFonts w:ascii="Calibri" w:hAnsi="Calibri"/>
          <w:b w:val="0"/>
          <w:i w:val="0"/>
          <w:color w:val="1A1A1A"/>
          <w:sz w:val="21"/>
        </w:rPr>
        <w:t xml:space="preserve">Company URL  →  </w:t>
      </w:r>
      <w:r>
        <w:rPr>
          <w:rFonts w:ascii="Calibri" w:hAnsi="Calibri"/>
          <w:b w:val="0"/>
          <w:i w:val="0"/>
          <w:color w:val="1A1A1A"/>
          <w:sz w:val="21"/>
        </w:rPr>
        <w:fldChar w:fldCharType="begin"/>
      </w:r>
      <w:r>
        <w:rPr>
          <w:rFonts w:ascii="Calibri" w:hAnsi="Calibri"/>
          <w:b w:val="0"/>
          <w:i w:val="0"/>
          <w:color w:val="1A1A1A"/>
          <w:sz w:val="21"/>
        </w:rPr>
        <w:instrText xml:space="preserve"> HYPERLINK "https://google-data-analysis.top" </w:instrText>
      </w:r>
      <w:r>
        <w:rPr>
          <w:rFonts w:ascii="Calibri" w:hAnsi="Calibri"/>
          <w:b w:val="0"/>
          <w:i w:val="0"/>
          <w:color w:val="1A1A1A"/>
          <w:sz w:val="21"/>
        </w:rPr>
        <w:fldChar w:fldCharType="separate"/>
      </w:r>
      <w:r>
        <w:rPr>
          <w:rStyle w:val="135"/>
          <w:rFonts w:ascii="Calibri" w:hAnsi="Calibri"/>
          <w:b w:val="0"/>
          <w:i w:val="0"/>
          <w:sz w:val="21"/>
        </w:rPr>
        <w:t>https://google-data-analysis.top</w:t>
      </w:r>
      <w:r>
        <w:rPr>
          <w:rFonts w:ascii="Calibri" w:hAnsi="Calibri"/>
          <w:b w:val="0"/>
          <w:i w:val="0"/>
          <w:color w:val="1A1A1A"/>
          <w:sz w:val="21"/>
        </w:rPr>
        <w:fldChar w:fldCharType="end"/>
      </w:r>
    </w:p>
    <w:p w14:paraId="439524F3">
      <w:pPr>
        <w:pStyle w:val="16"/>
        <w:spacing w:after="60"/>
        <w:ind w:left="227"/>
      </w:pPr>
      <w:r>
        <w:rPr>
          <w:rFonts w:ascii="Arial" w:hAnsi="Arial" w:eastAsia="Arial" w:cs="Arial"/>
          <w:i w:val="0"/>
          <w:iCs w:val="0"/>
          <w:caps w:val="0"/>
          <w:color w:val="3C4043"/>
          <w:spacing w:val="2"/>
          <w:sz w:val="24"/>
          <w:szCs w:val="24"/>
          <w:shd w:val="clear" w:fill="FFFFFF"/>
        </w:rPr>
        <w:t>预期用途</w:t>
      </w:r>
      <w:r>
        <w:rPr>
          <w:rFonts w:ascii="Calibri" w:hAnsi="Calibri"/>
          <w:b w:val="0"/>
          <w:i w:val="0"/>
          <w:color w:val="1A1A1A"/>
          <w:sz w:val="21"/>
        </w:rPr>
        <w:t>→</w:t>
      </w:r>
      <w:r>
        <w:rPr>
          <w:rFonts w:hint="eastAsia" w:ascii="Calibri" w:hAnsi="Calibri" w:eastAsia="宋体"/>
          <w:b w:val="0"/>
          <w:i w:val="0"/>
          <w:color w:val="1A1A1A"/>
          <w:sz w:val="21"/>
          <w:lang w:val="en-US" w:eastAsia="zh-CN"/>
        </w:rPr>
        <w:t>我发群里的</w:t>
      </w:r>
      <w:bookmarkStart w:id="0" w:name="_GoBack"/>
      <w:bookmarkEnd w:id="0"/>
    </w:p>
    <w:p w14:paraId="00815E20">
      <w:pPr>
        <w:pBdr>
          <w:left w:val="single" w:color="F5A623" w:sz="12" w:space="4"/>
        </w:pBdr>
        <w:shd w:val="clear" w:color="auto" w:fill="FFF3CD"/>
        <w:spacing w:before="100" w:after="100"/>
        <w:ind w:left="227" w:right="227"/>
      </w:pPr>
      <w:r>
        <w:rPr>
          <w:rFonts w:ascii="Calibri" w:hAnsi="Calibri"/>
          <w:b w:val="0"/>
          <w:i/>
          <w:color w:val="B35A00"/>
          <w:sz w:val="20"/>
        </w:rPr>
        <w:t>❗ API Center 中的邮笱必须与表单第 3 题填写的邮笱完全一致，否则会因“身份不匹配”被驳回。</w:t>
      </w:r>
    </w:p>
    <w:p w14:paraId="3DCB1407">
      <w:pPr>
        <w:pBdr>
          <w:bottom w:val="single" w:color="DCE8F8" w:sz="4" w:space="1"/>
        </w:pBdr>
        <w:spacing w:before="80" w:after="80"/>
      </w:pPr>
    </w:p>
    <w:p w14:paraId="6F8FA6A6">
      <w:pPr>
        <w:pBdr>
          <w:bottom w:val="single" w:color="C5D8F5" w:sz="4" w:space="1"/>
        </w:pBdr>
        <w:spacing w:before="200" w:after="80"/>
      </w:pPr>
      <w:r>
        <w:rPr>
          <w:rFonts w:ascii="Calibri" w:hAnsi="Calibri"/>
          <w:b/>
          <w:i w:val="0"/>
          <w:color w:val="1A1A1A"/>
          <w:sz w:val="24"/>
        </w:rPr>
        <w:t>1.2  确认 MCC 下已关联账户</w:t>
      </w:r>
    </w:p>
    <w:p w14:paraId="060EC640">
      <w:pPr>
        <w:spacing w:after="80"/>
      </w:pPr>
      <w:r>
        <w:rPr>
          <w:rFonts w:ascii="Calibri" w:hAnsi="Calibri"/>
          <w:b w:val="0"/>
          <w:i w:val="0"/>
          <w:color w:val="1A1A1A"/>
          <w:sz w:val="21"/>
        </w:rPr>
        <w:t>确保要管理的 Google Ads 账户已经作为子账户关联到你的 MCC 下。</w:t>
      </w:r>
    </w:p>
    <w:p w14:paraId="59A824E3">
      <w:pPr>
        <w:pBdr>
          <w:bottom w:val="single" w:color="DCE8F8" w:sz="4" w:space="1"/>
        </w:pBdr>
        <w:spacing w:before="80" w:after="80"/>
      </w:pPr>
    </w:p>
    <w:p w14:paraId="355755CC">
      <w:pPr>
        <w:pBdr>
          <w:bottom w:val="single" w:color="C5D8F5" w:sz="4" w:space="1"/>
        </w:pBdr>
        <w:spacing w:before="200" w:after="80"/>
      </w:pPr>
      <w:r>
        <w:rPr>
          <w:rFonts w:ascii="Calibri" w:hAnsi="Calibri"/>
          <w:b/>
          <w:i w:val="0"/>
          <w:color w:val="1A1A1A"/>
          <w:sz w:val="24"/>
        </w:rPr>
        <w:t>1.3  准备设计文档</w:t>
      </w:r>
    </w:p>
    <w:p w14:paraId="57A52BF6">
      <w:pPr>
        <w:spacing w:after="80"/>
      </w:pPr>
      <w:r>
        <w:rPr>
          <w:rFonts w:ascii="Calibri" w:hAnsi="Calibri"/>
          <w:b w:val="0"/>
          <w:i w:val="0"/>
          <w:color w:val="1A1A1A"/>
          <w:sz w:val="21"/>
        </w:rPr>
        <w:t>需要上传一份 .doc / .pdf / .rtf 格式的设计文档。</w:t>
      </w:r>
    </w:p>
    <w:p w14:paraId="49A21F16">
      <w:pPr>
        <w:pStyle w:val="16"/>
        <w:spacing w:after="60"/>
        <w:ind w:left="227"/>
      </w:pPr>
      <w:r>
        <w:rPr>
          <w:rFonts w:ascii="Calibri" w:hAnsi="Calibri"/>
          <w:b w:val="0"/>
          <w:i w:val="0"/>
          <w:color w:val="1A1A1A"/>
          <w:sz w:val="21"/>
        </w:rPr>
        <w:t>文件名： Ad_Automation_CRM_Design_Document.docx / .pdf</w:t>
      </w:r>
    </w:p>
    <w:p w14:paraId="771B07C7">
      <w:pPr>
        <w:pStyle w:val="16"/>
        <w:spacing w:after="60"/>
        <w:ind w:left="227"/>
      </w:pPr>
      <w:r>
        <w:rPr>
          <w:rFonts w:ascii="Calibri" w:hAnsi="Calibri"/>
          <w:b w:val="0"/>
          <w:i w:val="0"/>
          <w:color w:val="1A1A1A"/>
          <w:sz w:val="21"/>
        </w:rPr>
        <w:t>内容已包含联盟营销业务模型、完整 API 功能表格、数据流图等 9 个章节。</w:t>
      </w:r>
    </w:p>
    <w:p w14:paraId="13040B3D">
      <w:pPr>
        <w:pBdr>
          <w:bottom w:val="single" w:color="1A4FA0" w:sz="6" w:space="1"/>
        </w:pBdr>
        <w:spacing w:before="280" w:after="100"/>
      </w:pPr>
      <w:r>
        <w:rPr>
          <w:rFonts w:ascii="Calibri" w:hAnsi="Calibri"/>
          <w:b/>
          <w:i w:val="0"/>
          <w:color w:val="1A4FA0"/>
          <w:sz w:val="30"/>
        </w:rPr>
        <w:t>二、表单逐题填写指南</w:t>
      </w:r>
    </w:p>
    <w:p w14:paraId="5FC0CE7F">
      <w:pPr>
        <w:pBdr>
          <w:left w:val="single" w:color="F5A623" w:sz="12" w:space="4"/>
        </w:pBdr>
        <w:shd w:val="clear" w:color="auto" w:fill="FFF3CD"/>
        <w:spacing w:before="100" w:after="100"/>
        <w:ind w:left="227" w:right="227"/>
      </w:pPr>
      <w:r>
        <w:rPr>
          <w:rFonts w:ascii="Calibri" w:hAnsi="Calibri"/>
          <w:b w:val="0"/>
          <w:i/>
          <w:color w:val="B35A00"/>
          <w:sz w:val="20"/>
        </w:rPr>
        <w:t>表单地址：https://support.google.com/adspolicy/contact/new_token_application</w:t>
      </w:r>
    </w:p>
    <w:p w14:paraId="5EEC7AF5">
      <w:pPr>
        <w:pBdr>
          <w:bottom w:val="single" w:color="C5D8F5" w:sz="4" w:space="1"/>
        </w:pBdr>
        <w:spacing w:before="200" w:after="80"/>
      </w:pPr>
      <w:r>
        <w:rPr>
          <w:rFonts w:ascii="Calibri" w:hAnsi="Calibri"/>
          <w:b/>
          <w:i w:val="0"/>
          <w:color w:val="1A1A1A"/>
          <w:sz w:val="24"/>
        </w:rPr>
        <w:t>第 1 题：My API contact email in the Google Ads API Center is accurate and up-to-date.</w:t>
      </w:r>
    </w:p>
    <w:p w14:paraId="02907040">
      <w:pPr>
        <w:ind w:left="283"/>
      </w:pPr>
      <w:r>
        <w:rPr>
          <w:rFonts w:ascii="Calibri" w:hAnsi="Calibri"/>
          <w:b/>
          <w:i w:val="0"/>
          <w:color w:val="1A1A1A"/>
          <w:sz w:val="21"/>
        </w:rPr>
        <w:t>选择：</w:t>
      </w:r>
      <w:r>
        <w:rPr>
          <w:rFonts w:ascii="Calibri" w:hAnsi="Calibri"/>
          <w:b/>
          <w:i w:val="0"/>
          <w:color w:val="276F27"/>
          <w:sz w:val="21"/>
        </w:rPr>
        <w:t>✅ Yes</w:t>
      </w:r>
    </w:p>
    <w:p w14:paraId="068D1A91">
      <w:pPr>
        <w:pStyle w:val="16"/>
        <w:spacing w:after="60"/>
        <w:ind w:left="454"/>
      </w:pPr>
      <w:r>
        <w:rPr>
          <w:rFonts w:ascii="Calibri" w:hAnsi="Calibri"/>
          <w:b w:val="0"/>
          <w:i w:val="0"/>
          <w:color w:val="1A1A1A"/>
          <w:sz w:val="21"/>
        </w:rPr>
        <w:t>提交前确保 API Center 中的联系邮笱已改为 admin@google-data-analysis.top</w:t>
      </w:r>
    </w:p>
    <w:p w14:paraId="0ED61D49">
      <w:pPr>
        <w:pBdr>
          <w:bottom w:val="single" w:color="DCE8F8" w:sz="4" w:space="1"/>
        </w:pBdr>
        <w:spacing w:before="80" w:after="80"/>
      </w:pPr>
    </w:p>
    <w:p w14:paraId="762AD6B3">
      <w:pPr>
        <w:pBdr>
          <w:bottom w:val="single" w:color="C5D8F5" w:sz="4" w:space="1"/>
        </w:pBdr>
        <w:spacing w:before="200" w:after="80"/>
      </w:pPr>
      <w:r>
        <w:rPr>
          <w:rFonts w:ascii="Calibri" w:hAnsi="Calibri"/>
          <w:b/>
          <w:i w:val="0"/>
          <w:color w:val="1A1A1A"/>
          <w:sz w:val="24"/>
        </w:rPr>
        <w:t>第 2 题：Please provide the Google Ads manager account (MCC) ID.</w:t>
      </w:r>
    </w:p>
    <w:p w14:paraId="51A3B33A">
      <w:pPr>
        <w:ind w:left="283"/>
      </w:pPr>
      <w:r>
        <w:rPr>
          <w:rFonts w:ascii="Calibri" w:hAnsi="Calibri"/>
          <w:b/>
          <w:i w:val="0"/>
          <w:color w:val="1A1A1A"/>
          <w:sz w:val="21"/>
        </w:rPr>
        <w:t>填写：</w:t>
      </w:r>
      <w:r>
        <w:rPr>
          <w:rFonts w:ascii="Calibri" w:hAnsi="Calibri"/>
          <w:b w:val="0"/>
          <w:i w:val="0"/>
          <w:color w:val="1A1A1A"/>
          <w:sz w:val="21"/>
        </w:rPr>
        <w:t>你的 MCC 账户 ID，格式示例：</w:t>
      </w:r>
    </w:p>
    <w:p w14:paraId="530A4338">
      <w:pPr>
        <w:shd w:val="clear" w:color="auto" w:fill="EEF2FB"/>
        <w:spacing w:before="80" w:after="80"/>
        <w:ind w:left="283" w:right="283"/>
      </w:pPr>
      <w:r>
        <w:rPr>
          <w:rFonts w:ascii="Courier New" w:hAnsi="Courier New"/>
          <w:b w:val="0"/>
          <w:i w:val="0"/>
          <w:color w:val="C0392B"/>
          <w:sz w:val="19"/>
        </w:rPr>
        <w:t>123-456-7890</w:t>
      </w:r>
    </w:p>
    <w:p w14:paraId="66F1408C">
      <w:pPr>
        <w:pStyle w:val="16"/>
        <w:spacing w:after="60"/>
        <w:ind w:left="454"/>
      </w:pPr>
      <w:r>
        <w:rPr>
          <w:rFonts w:ascii="Calibri" w:hAnsi="Calibri"/>
          <w:b w:val="0"/>
          <w:i w:val="0"/>
          <w:color w:val="1A1A1A"/>
          <w:sz w:val="21"/>
        </w:rPr>
        <w:t>登录 Google Ads 后右上角可以看到。必须是 Manager 账户的 ID，不是普通广告账户 ID。</w:t>
      </w:r>
    </w:p>
    <w:p w14:paraId="5BA11C36">
      <w:pPr>
        <w:pBdr>
          <w:bottom w:val="single" w:color="DCE8F8" w:sz="4" w:space="1"/>
        </w:pBdr>
        <w:spacing w:before="80" w:after="80"/>
      </w:pPr>
    </w:p>
    <w:p w14:paraId="4D3B8297">
      <w:pPr>
        <w:pBdr>
          <w:bottom w:val="single" w:color="C5D8F5" w:sz="4" w:space="1"/>
        </w:pBdr>
        <w:spacing w:before="200" w:after="80"/>
      </w:pPr>
      <w:r>
        <w:rPr>
          <w:rFonts w:ascii="Calibri" w:hAnsi="Calibri"/>
          <w:b/>
          <w:i w:val="0"/>
          <w:color w:val="1A1A1A"/>
          <w:sz w:val="24"/>
        </w:rPr>
        <w:t>第 3 题：Please provide your contact email address.</w:t>
      </w:r>
    </w:p>
    <w:p w14:paraId="066A2DD9">
      <w:pPr>
        <w:ind w:left="283"/>
      </w:pPr>
      <w:r>
        <w:rPr>
          <w:rFonts w:ascii="Calibri" w:hAnsi="Calibri"/>
          <w:b/>
          <w:i w:val="0"/>
          <w:color w:val="1A1A1A"/>
          <w:sz w:val="21"/>
        </w:rPr>
        <w:t>填写：</w:t>
      </w:r>
    </w:p>
    <w:p w14:paraId="36CBF6D5">
      <w:pPr>
        <w:shd w:val="clear" w:color="auto" w:fill="EEF2FB"/>
        <w:spacing w:before="80" w:after="80"/>
        <w:ind w:left="283" w:right="283"/>
      </w:pPr>
      <w:r>
        <w:rPr>
          <w:rFonts w:ascii="Courier New" w:hAnsi="Courier New"/>
          <w:b w:val="0"/>
          <w:i w:val="0"/>
          <w:color w:val="C0392B"/>
          <w:sz w:val="19"/>
        </w:rPr>
        <w:t>admin@google-data-analysis.top</w:t>
      </w:r>
    </w:p>
    <w:p w14:paraId="7A714A39">
      <w:pPr>
        <w:pStyle w:val="16"/>
        <w:spacing w:after="60"/>
        <w:ind w:left="454"/>
      </w:pPr>
      <w:r>
        <w:rPr>
          <w:rFonts w:ascii="Calibri" w:hAnsi="Calibri"/>
          <w:b w:val="0"/>
          <w:i w:val="0"/>
          <w:color w:val="1A1A1A"/>
          <w:sz w:val="21"/>
        </w:rPr>
        <w:t>必须使用企业域名邮笱，这是连续两次被驳回的核心原因之一</w:t>
      </w:r>
    </w:p>
    <w:p w14:paraId="0FAD6D52">
      <w:pPr>
        <w:pStyle w:val="16"/>
        <w:spacing w:after="60"/>
        <w:ind w:left="454"/>
      </w:pPr>
      <w:r>
        <w:rPr>
          <w:rFonts w:ascii="Calibri" w:hAnsi="Calibri"/>
          <w:b w:val="0"/>
          <w:i w:val="0"/>
          <w:color w:val="1A1A1A"/>
          <w:sz w:val="21"/>
        </w:rPr>
        <w:t>不要用 Gmail 或 QQ 等个人邮笱</w:t>
      </w:r>
    </w:p>
    <w:p w14:paraId="1577BD12">
      <w:pPr>
        <w:pStyle w:val="16"/>
        <w:spacing w:after="60"/>
        <w:ind w:left="454"/>
      </w:pPr>
      <w:r>
        <w:rPr>
          <w:rFonts w:ascii="Calibri" w:hAnsi="Calibri"/>
          <w:b w:val="0"/>
          <w:i w:val="0"/>
          <w:color w:val="1A1A1A"/>
          <w:sz w:val="21"/>
        </w:rPr>
        <w:t>确保这个邮笱能正常收件（已在 Zoho Mail 配置）</w:t>
      </w:r>
    </w:p>
    <w:p w14:paraId="4F6D0486">
      <w:pPr>
        <w:pBdr>
          <w:bottom w:val="single" w:color="DCE8F8" w:sz="4" w:space="1"/>
        </w:pBdr>
        <w:spacing w:before="80" w:after="80"/>
      </w:pPr>
    </w:p>
    <w:p w14:paraId="054AB622">
      <w:pPr>
        <w:pBdr>
          <w:bottom w:val="single" w:color="C5D8F5" w:sz="4" w:space="1"/>
        </w:pBdr>
        <w:spacing w:before="200" w:after="80"/>
      </w:pPr>
      <w:r>
        <w:rPr>
          <w:rFonts w:ascii="Calibri" w:hAnsi="Calibri"/>
          <w:b/>
          <w:i w:val="0"/>
          <w:color w:val="1A1A1A"/>
          <w:sz w:val="24"/>
        </w:rPr>
        <w:t>第 4 题：Do you have an ongoing relationship with a representative at Google?</w:t>
      </w:r>
    </w:p>
    <w:p w14:paraId="28ADC116">
      <w:pPr>
        <w:ind w:left="283"/>
      </w:pPr>
      <w:r>
        <w:rPr>
          <w:rFonts w:ascii="Calibri" w:hAnsi="Calibri"/>
          <w:b/>
          <w:i w:val="0"/>
          <w:color w:val="1A1A1A"/>
          <w:sz w:val="21"/>
        </w:rPr>
        <w:t>选择：No</w:t>
      </w:r>
      <w:r>
        <w:rPr>
          <w:rFonts w:ascii="Calibri" w:hAnsi="Calibri"/>
          <w:b w:val="0"/>
          <w:i w:val="0"/>
          <w:color w:val="555555"/>
          <w:sz w:val="20"/>
        </w:rPr>
        <w:t>（除非你有 Google 的客户经理联系人）</w:t>
      </w:r>
    </w:p>
    <w:p w14:paraId="6B53839B">
      <w:pPr>
        <w:pBdr>
          <w:bottom w:val="single" w:color="DCE8F8" w:sz="4" w:space="1"/>
        </w:pBdr>
        <w:spacing w:before="80" w:after="80"/>
      </w:pPr>
    </w:p>
    <w:p w14:paraId="326BB6EF">
      <w:pPr>
        <w:pBdr>
          <w:bottom w:val="single" w:color="C5D8F5" w:sz="4" w:space="1"/>
        </w:pBdr>
        <w:spacing w:before="200" w:after="80"/>
      </w:pPr>
      <w:r>
        <w:rPr>
          <w:rFonts w:ascii="Calibri" w:hAnsi="Calibri"/>
          <w:b/>
          <w:i w:val="0"/>
          <w:color w:val="1A1A1A"/>
          <w:sz w:val="24"/>
        </w:rPr>
        <w:t>第 5 题：Please provide the URL for your company's primary website.</w:t>
      </w:r>
    </w:p>
    <w:p w14:paraId="495F45A0">
      <w:pPr>
        <w:shd w:val="clear" w:color="auto" w:fill="EEF2FB"/>
        <w:spacing w:before="80" w:after="80"/>
        <w:ind w:left="283" w:right="283"/>
      </w:pPr>
      <w:r>
        <w:rPr>
          <w:rFonts w:ascii="Courier New" w:hAnsi="Courier New"/>
          <w:b w:val="0"/>
          <w:i w:val="0"/>
          <w:color w:val="C0392B"/>
          <w:sz w:val="19"/>
        </w:rPr>
        <w:t>https://google-data-analysis.top</w:t>
      </w:r>
    </w:p>
    <w:p w14:paraId="4C5F9781">
      <w:pPr>
        <w:pStyle w:val="16"/>
        <w:spacing w:after="60"/>
        <w:ind w:left="454"/>
      </w:pPr>
      <w:r>
        <w:rPr>
          <w:rFonts w:ascii="Calibri" w:hAnsi="Calibri"/>
          <w:b w:val="0"/>
          <w:i w:val="0"/>
          <w:color w:val="1A1A1A"/>
          <w:sz w:val="21"/>
        </w:rPr>
        <w:t>网站必须能正常访问（已验证 200 OK）</w:t>
      </w:r>
    </w:p>
    <w:p w14:paraId="36C50DB2">
      <w:pPr>
        <w:pStyle w:val="16"/>
        <w:spacing w:after="60"/>
        <w:ind w:left="454"/>
      </w:pPr>
      <w:r>
        <w:rPr>
          <w:rFonts w:ascii="Calibri" w:hAnsi="Calibri"/>
          <w:b w:val="0"/>
          <w:i w:val="0"/>
          <w:color w:val="1A1A1A"/>
          <w:sz w:val="21"/>
        </w:rPr>
        <w:t>网站上已有 About Us、Privacy Policy、Terms of Service（已部署）</w:t>
      </w:r>
    </w:p>
    <w:p w14:paraId="2E54F745">
      <w:pPr>
        <w:pStyle w:val="16"/>
        <w:spacing w:after="60"/>
        <w:ind w:left="454"/>
      </w:pPr>
      <w:r>
        <w:rPr>
          <w:rFonts w:ascii="Calibri" w:hAnsi="Calibri"/>
          <w:b w:val="0"/>
          <w:i w:val="0"/>
          <w:color w:val="1A1A1A"/>
          <w:sz w:val="21"/>
        </w:rPr>
        <w:t>Google 审核人员会实际访问这个网站</w:t>
      </w:r>
    </w:p>
    <w:p w14:paraId="319F6185">
      <w:pPr>
        <w:pBdr>
          <w:bottom w:val="single" w:color="DCE8F8" w:sz="4" w:space="1"/>
        </w:pBdr>
        <w:spacing w:before="80" w:after="80"/>
      </w:pPr>
    </w:p>
    <w:p w14:paraId="6B119C63">
      <w:pPr>
        <w:pBdr>
          <w:bottom w:val="single" w:color="C5D8F5" w:sz="4" w:space="1"/>
        </w:pBdr>
        <w:spacing w:before="200" w:after="80"/>
      </w:pPr>
      <w:r>
        <w:rPr>
          <w:rFonts w:ascii="Calibri" w:hAnsi="Calibri"/>
          <w:b/>
          <w:i w:val="0"/>
          <w:color w:val="1A1A1A"/>
          <w:sz w:val="24"/>
        </w:rPr>
        <w:t>第 6 题：Please briefly describe your company's business model and how you use Google Ads.</w:t>
      </w:r>
    </w:p>
    <w:p w14:paraId="207A2300">
      <w:pPr>
        <w:pBdr>
          <w:left w:val="single" w:color="F5A623" w:sz="12" w:space="4"/>
        </w:pBdr>
        <w:shd w:val="clear" w:color="auto" w:fill="FFF3CD"/>
        <w:spacing w:before="100" w:after="100"/>
        <w:ind w:left="227" w:right="227"/>
      </w:pPr>
      <w:r>
        <w:rPr>
          <w:rFonts w:ascii="Calibri" w:hAnsi="Calibri"/>
          <w:b w:val="0"/>
          <w:i/>
          <w:color w:val="B35A00"/>
          <w:sz w:val="20"/>
        </w:rPr>
        <w:t>❗ 这题是此次重写的核心，直接复制以下内容粘贴，不要自行简化。</w:t>
      </w:r>
    </w:p>
    <w:p w14:paraId="683B0707">
      <w:pPr>
        <w:shd w:val="clear" w:color="auto" w:fill="EEF2FB"/>
        <w:spacing w:before="80" w:after="80"/>
        <w:ind w:left="283" w:right="283"/>
      </w:pPr>
      <w:r>
        <w:rPr>
          <w:rFonts w:ascii="Courier New" w:hAnsi="Courier New"/>
          <w:b w:val="0"/>
          <w:i w:val="0"/>
          <w:color w:val="C0392B"/>
          <w:sz w:val="19"/>
        </w:rPr>
        <w:t>Wenzhou Fengdu Advertising &amp; Media Co., Ltd. is an affiliate marketing company. Our business model involves sourcing partner merchants from major international affiliate networks — including Commission Junction (CJ), Impact, ShareASale, Awin, and Rakuten — and running Google Search Advertising campaigns to drive qualified traffic to those merchants' websites. We earn commissions on resulting sales and conversions generated through our campaigns.</w:t>
      </w:r>
      <w:r>
        <w:rPr>
          <w:rFonts w:ascii="Courier New" w:hAnsi="Courier New"/>
          <w:b w:val="0"/>
          <w:i w:val="0"/>
          <w:color w:val="C0392B"/>
          <w:sz w:val="19"/>
        </w:rPr>
        <w:br w:type="textWrapping"/>
      </w:r>
      <w:r>
        <w:rPr>
          <w:rFonts w:ascii="Courier New" w:hAnsi="Courier New"/>
          <w:b w:val="0"/>
          <w:i w:val="0"/>
          <w:color w:val="C0392B"/>
          <w:sz w:val="19"/>
        </w:rPr>
        <w:br w:type="textWrapping"/>
      </w:r>
      <w:r>
        <w:rPr>
          <w:rFonts w:ascii="Courier New" w:hAnsi="Courier New"/>
          <w:b w:val="0"/>
          <w:i w:val="0"/>
          <w:color w:val="C0392B"/>
          <w:sz w:val="19"/>
        </w:rPr>
        <w:t>Our internal team of advertising professionals manages all campaigns exclusively in-house across multiple international markets and languages. To operate this affiliate marketing business at scale, we developed an internal platform called Ad Automation CRM that integrates with the Google Ads API. The platform streamlines our full workflow from merchant onboarding through campaign management and ROI reporting. It enables our team to:</w:t>
      </w:r>
      <w:r>
        <w:rPr>
          <w:rFonts w:ascii="Courier New" w:hAnsi="Courier New"/>
          <w:b w:val="0"/>
          <w:i w:val="0"/>
          <w:color w:val="C0392B"/>
          <w:sz w:val="19"/>
        </w:rPr>
        <w:br w:type="textWrapping"/>
      </w:r>
      <w:r>
        <w:rPr>
          <w:rFonts w:ascii="Courier New" w:hAnsi="Courier New"/>
          <w:b w:val="0"/>
          <w:i w:val="0"/>
          <w:color w:val="C0392B"/>
          <w:sz w:val="19"/>
        </w:rPr>
        <w:br w:type="textWrapping"/>
      </w:r>
      <w:r>
        <w:rPr>
          <w:rFonts w:ascii="Courier New" w:hAnsi="Courier New"/>
          <w:b w:val="0"/>
          <w:i w:val="0"/>
          <w:color w:val="C0392B"/>
          <w:sz w:val="19"/>
        </w:rPr>
        <w:t>1. Affiliate Merchant Management — Track and manage partner merchants sourced from 7 major international affiliate networks; assign merchants to team members and monitor campaign lifecycle.</w:t>
      </w:r>
      <w:r>
        <w:rPr>
          <w:rFonts w:ascii="Courier New" w:hAnsi="Courier New"/>
          <w:b w:val="0"/>
          <w:i w:val="0"/>
          <w:color w:val="C0392B"/>
          <w:sz w:val="19"/>
        </w:rPr>
        <w:br w:type="textWrapping"/>
      </w:r>
      <w:r>
        <w:rPr>
          <w:rFonts w:ascii="Courier New" w:hAnsi="Courier New"/>
          <w:b w:val="0"/>
          <w:i w:val="0"/>
          <w:color w:val="C0392B"/>
          <w:sz w:val="19"/>
        </w:rPr>
        <w:t>2. Campaign Creation — Fully automated Google Search campaign setup including daily budget allocation, bidding strategy configuration (Manual CPC, Target CPA, Maximize Clicks), geographic and language targeting, ad group creation, Responsive Search Ad composition, and keyword management with match type selection.</w:t>
      </w:r>
      <w:r>
        <w:rPr>
          <w:rFonts w:ascii="Courier New" w:hAnsi="Courier New"/>
          <w:b w:val="0"/>
          <w:i w:val="0"/>
          <w:color w:val="C0392B"/>
          <w:sz w:val="19"/>
        </w:rPr>
        <w:br w:type="textWrapping"/>
      </w:r>
      <w:r>
        <w:rPr>
          <w:rFonts w:ascii="Courier New" w:hAnsi="Courier New"/>
          <w:b w:val="0"/>
          <w:i w:val="0"/>
          <w:color w:val="C0392B"/>
          <w:sz w:val="19"/>
        </w:rPr>
        <w:t>3. Budget &amp; Bid Control — Real-time campaign budget adjustments and ad group CPC bid updates from a centralized dashboard.</w:t>
      </w:r>
      <w:r>
        <w:rPr>
          <w:rFonts w:ascii="Courier New" w:hAnsi="Courier New"/>
          <w:b w:val="0"/>
          <w:i w:val="0"/>
          <w:color w:val="C0392B"/>
          <w:sz w:val="19"/>
        </w:rPr>
        <w:br w:type="textWrapping"/>
      </w:r>
      <w:r>
        <w:rPr>
          <w:rFonts w:ascii="Courier New" w:hAnsi="Courier New"/>
          <w:b w:val="0"/>
          <w:i w:val="0"/>
          <w:color w:val="C0392B"/>
          <w:sz w:val="19"/>
        </w:rPr>
        <w:t>4. Campaign Status Management — Enable or pause campaigns with real-time status synchronization to Google Ads.</w:t>
      </w:r>
      <w:r>
        <w:rPr>
          <w:rFonts w:ascii="Courier New" w:hAnsi="Courier New"/>
          <w:b w:val="0"/>
          <w:i w:val="0"/>
          <w:color w:val="C0392B"/>
          <w:sz w:val="19"/>
        </w:rPr>
        <w:br w:type="textWrapping"/>
      </w:r>
      <w:r>
        <w:rPr>
          <w:rFonts w:ascii="Courier New" w:hAnsi="Courier New"/>
          <w:b w:val="0"/>
          <w:i w:val="0"/>
          <w:color w:val="C0392B"/>
          <w:sz w:val="19"/>
        </w:rPr>
        <w:t>5. Performance &amp; ROI Analytics — Daily performance metrics (cost, clicks, impressions, average CPC, conversions) combined with affiliate commission data for ROI calculation and data-driven optimization across all managed merchants.</w:t>
      </w:r>
      <w:r>
        <w:rPr>
          <w:rFonts w:ascii="Courier New" w:hAnsi="Courier New"/>
          <w:b w:val="0"/>
          <w:i w:val="0"/>
          <w:color w:val="C0392B"/>
          <w:sz w:val="19"/>
        </w:rPr>
        <w:br w:type="textWrapping"/>
      </w:r>
      <w:r>
        <w:rPr>
          <w:rFonts w:ascii="Courier New" w:hAnsi="Courier New"/>
          <w:b w:val="0"/>
          <w:i w:val="0"/>
          <w:color w:val="C0392B"/>
          <w:sz w:val="19"/>
        </w:rPr>
        <w:t>6. MCC Account Management — Unified management of multiple Google Ads sub-accounts under our MCC manager accounts, with per-merchant spending attribution and CID availability tracking.</w:t>
      </w:r>
      <w:r>
        <w:rPr>
          <w:rFonts w:ascii="Courier New" w:hAnsi="Courier New"/>
          <w:b w:val="0"/>
          <w:i w:val="0"/>
          <w:color w:val="C0392B"/>
          <w:sz w:val="19"/>
        </w:rPr>
        <w:br w:type="textWrapping"/>
      </w:r>
      <w:r>
        <w:rPr>
          <w:rFonts w:ascii="Courier New" w:hAnsi="Courier New"/>
          <w:b w:val="0"/>
          <w:i w:val="0"/>
          <w:color w:val="C0392B"/>
          <w:sz w:val="19"/>
        </w:rPr>
        <w:t>7. Ad Asset Management — Campaign-level asset creation and management: sitelinks, callouts, promotions, price extensions, call extensions, structured snippets, and image assets.</w:t>
      </w:r>
      <w:r>
        <w:rPr>
          <w:rFonts w:ascii="Courier New" w:hAnsi="Courier New"/>
          <w:b w:val="0"/>
          <w:i w:val="0"/>
          <w:color w:val="C0392B"/>
          <w:sz w:val="19"/>
        </w:rPr>
        <w:br w:type="textWrapping"/>
      </w:r>
      <w:r>
        <w:rPr>
          <w:rFonts w:ascii="Courier New" w:hAnsi="Courier New"/>
          <w:b w:val="0"/>
          <w:i w:val="0"/>
          <w:color w:val="C0392B"/>
          <w:sz w:val="19"/>
        </w:rPr>
        <w:t>8. Content Automation — AI-powered SEO article generation and multi-site publishing to support organic promotion of affiliate merchants alongside our paid search campaigns.</w:t>
      </w:r>
      <w:r>
        <w:rPr>
          <w:rFonts w:ascii="Courier New" w:hAnsi="Courier New"/>
          <w:b w:val="0"/>
          <w:i w:val="0"/>
          <w:color w:val="C0392B"/>
          <w:sz w:val="19"/>
        </w:rPr>
        <w:br w:type="textWrapping"/>
      </w:r>
      <w:r>
        <w:rPr>
          <w:rFonts w:ascii="Courier New" w:hAnsi="Courier New"/>
          <w:b w:val="0"/>
          <w:i w:val="0"/>
          <w:color w:val="C0392B"/>
          <w:sz w:val="19"/>
        </w:rPr>
        <w:t>9. Data Synchronization — Automated daily synchronization of campaign metrics and status between Google Ads and our internal database for consolidated reporting.</w:t>
      </w:r>
      <w:r>
        <w:rPr>
          <w:rFonts w:ascii="Courier New" w:hAnsi="Courier New"/>
          <w:b w:val="0"/>
          <w:i w:val="0"/>
          <w:color w:val="C0392B"/>
          <w:sz w:val="19"/>
        </w:rPr>
        <w:br w:type="textWrapping"/>
      </w:r>
      <w:r>
        <w:rPr>
          <w:rFonts w:ascii="Courier New" w:hAnsi="Courier New"/>
          <w:b w:val="0"/>
          <w:i w:val="0"/>
          <w:color w:val="C0392B"/>
          <w:sz w:val="19"/>
        </w:rPr>
        <w:br w:type="textWrapping"/>
      </w:r>
      <w:r>
        <w:rPr>
          <w:rFonts w:ascii="Courier New" w:hAnsi="Courier New"/>
          <w:b w:val="0"/>
          <w:i w:val="0"/>
          <w:color w:val="C0392B"/>
          <w:sz w:val="19"/>
        </w:rPr>
        <w:t>All campaigns are managed exclusively by our internal employees. We do not offer this platform or advertising management services to third-party clients. Our website at https://google-data-analysis.top provides full details about our company and business model, including our About Us page, Privacy Policy, and Terms of Service.</w:t>
      </w:r>
    </w:p>
    <w:p w14:paraId="63725FDB">
      <w:pPr>
        <w:pBdr>
          <w:bottom w:val="single" w:color="DCE8F8" w:sz="4" w:space="1"/>
        </w:pBdr>
        <w:spacing w:before="80" w:after="80"/>
      </w:pPr>
    </w:p>
    <w:p w14:paraId="4B66BA35">
      <w:pPr>
        <w:pBdr>
          <w:bottom w:val="single" w:color="C5D8F5" w:sz="4" w:space="1"/>
        </w:pBdr>
        <w:spacing w:before="200" w:after="80"/>
      </w:pPr>
      <w:r>
        <w:rPr>
          <w:rFonts w:ascii="Calibri" w:hAnsi="Calibri"/>
          <w:b/>
          <w:i w:val="0"/>
          <w:color w:val="1A1A1A"/>
          <w:sz w:val="24"/>
        </w:rPr>
        <w:t>第 7 题：Design documentation of your tool (.pdf, .doc, or .rtf file formats only)</w:t>
      </w:r>
    </w:p>
    <w:p w14:paraId="2C31C567">
      <w:pPr>
        <w:ind w:left="283"/>
      </w:pPr>
      <w:r>
        <w:rPr>
          <w:rFonts w:ascii="Calibri" w:hAnsi="Calibri"/>
          <w:b/>
          <w:i w:val="0"/>
          <w:color w:val="1A1A1A"/>
          <w:sz w:val="21"/>
        </w:rPr>
        <w:t>上传：</w:t>
      </w:r>
      <w:r>
        <w:rPr>
          <w:rFonts w:ascii="Calibri" w:hAnsi="Calibri"/>
          <w:b w:val="0"/>
          <w:i w:val="0"/>
          <w:color w:val="1A4FA0"/>
          <w:sz w:val="21"/>
        </w:rPr>
        <w:t>Ad_Automation_CRM_Design_Document.docx （或 .pdf）</w:t>
      </w:r>
    </w:p>
    <w:p w14:paraId="0F00D8A8">
      <w:pPr>
        <w:pStyle w:val="16"/>
        <w:spacing w:after="60"/>
        <w:ind w:left="454"/>
      </w:pPr>
      <w:r>
        <w:rPr>
          <w:rFonts w:ascii="Calibri" w:hAnsi="Calibri"/>
          <w:b w:val="0"/>
          <w:i w:val="0"/>
          <w:color w:val="1A1A1A"/>
          <w:sz w:val="21"/>
        </w:rPr>
        <w:t>内容已包含联盟营销业务模型 + 9 个章节 API 功能详表</w:t>
      </w:r>
    </w:p>
    <w:p w14:paraId="0A96821A">
      <w:pPr>
        <w:pBdr>
          <w:bottom w:val="single" w:color="DCE8F8" w:sz="4" w:space="1"/>
        </w:pBdr>
        <w:spacing w:before="80" w:after="80"/>
      </w:pPr>
    </w:p>
    <w:p w14:paraId="280A78C5">
      <w:pPr>
        <w:pBdr>
          <w:bottom w:val="single" w:color="C5D8F5" w:sz="4" w:space="1"/>
        </w:pBdr>
        <w:spacing w:before="200" w:after="80"/>
      </w:pPr>
      <w:r>
        <w:rPr>
          <w:rFonts w:ascii="Calibri" w:hAnsi="Calibri"/>
          <w:b/>
          <w:i w:val="0"/>
          <w:color w:val="1A1A1A"/>
          <w:sz w:val="24"/>
        </w:rPr>
        <w:t>第 8 题：Who will have access to the Google Ads API tool you are creating?</w:t>
      </w:r>
    </w:p>
    <w:p w14:paraId="7CB16F96">
      <w:pPr>
        <w:ind w:left="283"/>
      </w:pPr>
      <w:r>
        <w:rPr>
          <w:rFonts w:ascii="Calibri" w:hAnsi="Calibri"/>
          <w:b/>
          <w:i w:val="0"/>
          <w:color w:val="1A1A1A"/>
          <w:sz w:val="21"/>
        </w:rPr>
        <w:t>选择：</w:t>
      </w:r>
      <w:r>
        <w:rPr>
          <w:rFonts w:ascii="Calibri" w:hAnsi="Calibri"/>
          <w:b/>
          <w:i w:val="0"/>
          <w:color w:val="276F27"/>
          <w:sz w:val="21"/>
        </w:rPr>
        <w:t>Internal users only（仅内部用户）</w:t>
      </w:r>
    </w:p>
    <w:p w14:paraId="5F7FA26F">
      <w:pPr>
        <w:pBdr>
          <w:bottom w:val="single" w:color="DCE8F8" w:sz="4" w:space="1"/>
        </w:pBdr>
        <w:spacing w:before="80" w:after="80"/>
      </w:pPr>
    </w:p>
    <w:p w14:paraId="4DBDFD27">
      <w:pPr>
        <w:pBdr>
          <w:bottom w:val="single" w:color="C5D8F5" w:sz="4" w:space="1"/>
        </w:pBdr>
        <w:spacing w:before="200" w:after="80"/>
      </w:pPr>
      <w:r>
        <w:rPr>
          <w:rFonts w:ascii="Calibri" w:hAnsi="Calibri"/>
          <w:b/>
          <w:i w:val="0"/>
          <w:color w:val="1A1A1A"/>
          <w:sz w:val="24"/>
        </w:rPr>
        <w:t>第 9 题：Do you plan to use your Google Ads API token with a tool developed by someone else?</w:t>
      </w:r>
    </w:p>
    <w:p w14:paraId="269ED29D">
      <w:pPr>
        <w:ind w:left="283"/>
      </w:pPr>
      <w:r>
        <w:rPr>
          <w:rFonts w:ascii="Calibri" w:hAnsi="Calibri"/>
          <w:b/>
          <w:i w:val="0"/>
          <w:color w:val="1A1A1A"/>
          <w:sz w:val="21"/>
        </w:rPr>
        <w:t>选择：No</w:t>
      </w:r>
    </w:p>
    <w:p w14:paraId="2D5D9653">
      <w:pPr>
        <w:pBdr>
          <w:bottom w:val="single" w:color="DCE8F8" w:sz="4" w:space="1"/>
        </w:pBdr>
        <w:spacing w:before="80" w:after="80"/>
      </w:pPr>
    </w:p>
    <w:p w14:paraId="574401D9">
      <w:pPr>
        <w:pBdr>
          <w:bottom w:val="single" w:color="C5D8F5" w:sz="4" w:space="1"/>
        </w:pBdr>
        <w:spacing w:before="200" w:after="80"/>
      </w:pPr>
      <w:r>
        <w:rPr>
          <w:rFonts w:ascii="Calibri" w:hAnsi="Calibri"/>
          <w:b/>
          <w:i w:val="0"/>
          <w:color w:val="1A1A1A"/>
          <w:sz w:val="24"/>
        </w:rPr>
        <w:t>第 10 题：Do you plan to use your token for App Conversion Tracking and Remarketing API?</w:t>
      </w:r>
    </w:p>
    <w:p w14:paraId="7C14B7BB">
      <w:pPr>
        <w:ind w:left="283"/>
      </w:pPr>
      <w:r>
        <w:rPr>
          <w:rFonts w:ascii="Calibri" w:hAnsi="Calibri"/>
          <w:b/>
          <w:i w:val="0"/>
          <w:color w:val="1A1A1A"/>
          <w:sz w:val="21"/>
        </w:rPr>
        <w:t>选择：No</w:t>
      </w:r>
    </w:p>
    <w:p w14:paraId="36B0322B">
      <w:pPr>
        <w:pBdr>
          <w:bottom w:val="single" w:color="DCE8F8" w:sz="4" w:space="1"/>
        </w:pBdr>
        <w:spacing w:before="80" w:after="80"/>
      </w:pPr>
    </w:p>
    <w:p w14:paraId="21110343">
      <w:pPr>
        <w:pBdr>
          <w:bottom w:val="single" w:color="C5D8F5" w:sz="4" w:space="1"/>
        </w:pBdr>
        <w:spacing w:before="200" w:after="80"/>
      </w:pPr>
      <w:r>
        <w:rPr>
          <w:rFonts w:ascii="Calibri" w:hAnsi="Calibri"/>
          <w:b/>
          <w:i w:val="0"/>
          <w:color w:val="1A1A1A"/>
          <w:sz w:val="24"/>
        </w:rPr>
        <w:t>第 11 题：Which Google Ads campaign types does your tool support?</w:t>
      </w:r>
    </w:p>
    <w:p w14:paraId="14BDFACF">
      <w:pPr>
        <w:shd w:val="clear" w:color="auto" w:fill="EEF2FB"/>
        <w:spacing w:before="80" w:after="80"/>
        <w:ind w:left="283" w:right="283"/>
      </w:pPr>
      <w:r>
        <w:rPr>
          <w:rFonts w:ascii="Courier New" w:hAnsi="Courier New"/>
          <w:b w:val="0"/>
          <w:i w:val="0"/>
          <w:color w:val="C0392B"/>
          <w:sz w:val="19"/>
        </w:rPr>
        <w:t>Search</w:t>
      </w:r>
    </w:p>
    <w:p w14:paraId="32F47D7F">
      <w:pPr>
        <w:pStyle w:val="16"/>
        <w:spacing w:after="60"/>
        <w:ind w:left="454"/>
      </w:pPr>
      <w:r>
        <w:rPr>
          <w:rFonts w:ascii="Calibri" w:hAnsi="Calibri"/>
          <w:b w:val="0"/>
          <w:i w:val="0"/>
          <w:color w:val="1A1A1A"/>
          <w:sz w:val="21"/>
        </w:rPr>
        <w:t>只写实际使用的广告类型。当前系统只创建 Search 类型的广告系列。</w:t>
      </w:r>
    </w:p>
    <w:p w14:paraId="2EB629D3">
      <w:pPr>
        <w:pBdr>
          <w:bottom w:val="single" w:color="DCE8F8" w:sz="4" w:space="1"/>
        </w:pBdr>
        <w:spacing w:before="80" w:after="80"/>
      </w:pPr>
    </w:p>
    <w:p w14:paraId="48C2F3B1">
      <w:pPr>
        <w:pBdr>
          <w:bottom w:val="single" w:color="C5D8F5" w:sz="4" w:space="1"/>
        </w:pBdr>
        <w:spacing w:before="200" w:after="80"/>
      </w:pPr>
      <w:r>
        <w:rPr>
          <w:rFonts w:ascii="Calibri" w:hAnsi="Calibri"/>
          <w:b/>
          <w:i w:val="0"/>
          <w:color w:val="1A1A1A"/>
          <w:sz w:val="24"/>
        </w:rPr>
        <w:t>第 12 题：Which of the following Google Ads capabilities does your tool provide?</w:t>
      </w:r>
    </w:p>
    <w:p w14:paraId="2C6AF59F">
      <w:pPr>
        <w:ind w:left="283"/>
      </w:pPr>
      <w:r>
        <w:rPr>
          <w:rFonts w:ascii="Calibri" w:hAnsi="Calibri"/>
          <w:b/>
          <w:i w:val="0"/>
          <w:color w:val="1A1A1A"/>
          <w:sz w:val="21"/>
        </w:rPr>
        <w:t>勾选：</w:t>
      </w:r>
    </w:p>
    <w:p w14:paraId="7D83023B">
      <w:pPr>
        <w:pStyle w:val="16"/>
        <w:spacing w:after="60"/>
        <w:ind w:left="454"/>
      </w:pPr>
      <w:r>
        <w:rPr>
          <w:rFonts w:ascii="Calibri" w:hAnsi="Calibri"/>
          <w:b w:val="0"/>
          <w:i w:val="0"/>
          <w:color w:val="1A1A1A"/>
          <w:sz w:val="21"/>
        </w:rPr>
        <w:t>✅ Campaign management（广告系列管理）</w:t>
      </w:r>
    </w:p>
    <w:p w14:paraId="48C32C86">
      <w:pPr>
        <w:pStyle w:val="16"/>
        <w:spacing w:after="60"/>
        <w:ind w:left="454"/>
      </w:pPr>
      <w:r>
        <w:rPr>
          <w:rFonts w:ascii="Calibri" w:hAnsi="Calibri"/>
          <w:b w:val="0"/>
          <w:i w:val="0"/>
          <w:color w:val="1A1A1A"/>
          <w:sz w:val="21"/>
        </w:rPr>
        <w:t>✅ Reporting（报告）</w:t>
      </w:r>
    </w:p>
    <w:p w14:paraId="29CBDD03">
      <w:pPr>
        <w:pStyle w:val="16"/>
        <w:spacing w:after="60"/>
        <w:ind w:left="454"/>
      </w:pPr>
      <w:r>
        <w:rPr>
          <w:rFonts w:ascii="Calibri" w:hAnsi="Calibri"/>
          <w:b w:val="0"/>
          <w:i w:val="0"/>
          <w:color w:val="1A1A1A"/>
          <w:sz w:val="21"/>
        </w:rPr>
        <w:t>✅ Account management（账户管理）</w:t>
      </w:r>
    </w:p>
    <w:p w14:paraId="2429F637">
      <w:pPr>
        <w:pStyle w:val="16"/>
        <w:spacing w:after="60"/>
        <w:ind w:left="454"/>
      </w:pPr>
      <w:r>
        <w:rPr>
          <w:rFonts w:ascii="Calibri" w:hAnsi="Calibri"/>
          <w:b w:val="0"/>
          <w:i w:val="0"/>
          <w:color w:val="1A1A1A"/>
          <w:sz w:val="21"/>
        </w:rPr>
        <w:t>✅ Bid and budget management（出价和预算管理）</w:t>
      </w:r>
    </w:p>
    <w:p w14:paraId="4C794488">
      <w:pPr>
        <w:spacing w:after="80"/>
        <w:ind w:left="283"/>
      </w:pPr>
      <w:r>
        <w:rPr>
          <w:rFonts w:ascii="Calibri" w:hAnsi="Calibri"/>
          <w:b w:val="0"/>
          <w:i w:val="0"/>
          <w:color w:val="1A1A1A"/>
          <w:sz w:val="21"/>
        </w:rPr>
        <w:t>如果有 Other 选项，补充填写：</w:t>
      </w:r>
    </w:p>
    <w:p w14:paraId="1288ECA9">
      <w:pPr>
        <w:shd w:val="clear" w:color="auto" w:fill="EEF2FB"/>
        <w:spacing w:before="80" w:after="80"/>
        <w:ind w:left="283" w:right="283"/>
      </w:pPr>
      <w:r>
        <w:rPr>
          <w:rFonts w:ascii="Courier New" w:hAnsi="Courier New"/>
          <w:b w:val="0"/>
          <w:i w:val="0"/>
          <w:color w:val="C0392B"/>
          <w:sz w:val="19"/>
        </w:rPr>
        <w:t>Ad asset management (sitelinks, callouts, promotions, price extensions, call extensions, structured snippets, image assets), automated daily data synchronization, campaign status control (enable/pause).</w:t>
      </w:r>
    </w:p>
    <w:p w14:paraId="46FFC8B5">
      <w:pPr>
        <w:pBdr>
          <w:bottom w:val="single" w:color="DCE8F8" w:sz="4" w:space="1"/>
        </w:pBdr>
        <w:spacing w:before="80" w:after="80"/>
      </w:pPr>
    </w:p>
    <w:p w14:paraId="63EF07E0">
      <w:pPr>
        <w:pBdr>
          <w:bottom w:val="single" w:color="C5D8F5" w:sz="4" w:space="1"/>
        </w:pBdr>
        <w:spacing w:before="200" w:after="80"/>
      </w:pPr>
      <w:r>
        <w:rPr>
          <w:rFonts w:ascii="Calibri" w:hAnsi="Calibri"/>
          <w:b/>
          <w:i w:val="0"/>
          <w:color w:val="1A1A1A"/>
          <w:sz w:val="24"/>
        </w:rPr>
        <w:t>最后两个确认框</w:t>
      </w:r>
    </w:p>
    <w:p w14:paraId="493EAE06">
      <w:pPr>
        <w:pStyle w:val="16"/>
        <w:spacing w:after="60"/>
        <w:ind w:left="227"/>
      </w:pPr>
      <w:r>
        <w:rPr>
          <w:rFonts w:ascii="Calibri" w:hAnsi="Calibri"/>
          <w:b w:val="0"/>
          <w:i w:val="0"/>
          <w:color w:val="1A1A1A"/>
          <w:sz w:val="21"/>
        </w:rPr>
        <w:t>✅ I acknowledge that all the information above is accurate.</w:t>
      </w:r>
    </w:p>
    <w:p w14:paraId="53843450">
      <w:pPr>
        <w:pStyle w:val="16"/>
        <w:spacing w:after="60"/>
        <w:ind w:left="227"/>
      </w:pPr>
      <w:r>
        <w:rPr>
          <w:rFonts w:ascii="Calibri" w:hAnsi="Calibri"/>
          <w:b w:val="0"/>
          <w:i w:val="0"/>
          <w:color w:val="1A1A1A"/>
          <w:sz w:val="21"/>
        </w:rPr>
        <w:t>✅ I accept the Terms and Conditions...</w:t>
      </w:r>
    </w:p>
    <w:p w14:paraId="30B3E1B4">
      <w:pPr>
        <w:pBdr>
          <w:bottom w:val="single" w:color="1A4FA0" w:sz="6" w:space="1"/>
        </w:pBdr>
        <w:spacing w:before="280" w:after="100"/>
      </w:pPr>
      <w:r>
        <w:rPr>
          <w:rFonts w:ascii="Calibri" w:hAnsi="Calibri"/>
          <w:b/>
          <w:i w:val="0"/>
          <w:color w:val="1A4FA0"/>
          <w:sz w:val="30"/>
        </w:rPr>
        <w:t>四、提交前最终检查清单</w:t>
      </w:r>
    </w:p>
    <w:p w14:paraId="176F0563">
      <w:pPr>
        <w:pBdr>
          <w:left w:val="single" w:color="F5A623" w:sz="12" w:space="4"/>
        </w:pBdr>
        <w:shd w:val="clear" w:color="auto" w:fill="FFF3CD"/>
        <w:spacing w:before="100" w:after="100"/>
        <w:ind w:left="227" w:right="227"/>
      </w:pPr>
      <w:r>
        <w:rPr>
          <w:rFonts w:ascii="Calibri" w:hAnsi="Calibri"/>
          <w:b w:val="0"/>
          <w:i/>
          <w:color w:val="B35A00"/>
          <w:sz w:val="20"/>
        </w:rPr>
        <w:t>提交表单前，逐项打勾确认。所有项全部完成后再提交。</w:t>
      </w:r>
    </w:p>
    <w:p w14:paraId="5A13CAA2">
      <w:pPr>
        <w:spacing w:after="60"/>
        <w:ind w:left="283"/>
      </w:pPr>
      <w:r>
        <w:rPr>
          <w:rFonts w:ascii="Calibri" w:hAnsi="Calibri"/>
          <w:b/>
          <w:i w:val="0"/>
          <w:color w:val="1A4FA0"/>
          <w:sz w:val="21"/>
        </w:rPr>
        <w:t xml:space="preserve">☐  </w:t>
      </w:r>
      <w:r>
        <w:rPr>
          <w:rFonts w:ascii="Calibri" w:hAnsi="Calibri"/>
          <w:b w:val="0"/>
          <w:i w:val="0"/>
          <w:color w:val="1A1A1A"/>
          <w:sz w:val="21"/>
        </w:rPr>
        <w:t>API Center 中的联系邮笱已改为  admin@google-data-analysis.top</w:t>
      </w:r>
    </w:p>
    <w:p w14:paraId="07EAC1FD">
      <w:pPr>
        <w:spacing w:after="60"/>
        <w:ind w:left="283"/>
      </w:pPr>
      <w:r>
        <w:rPr>
          <w:rFonts w:ascii="Calibri" w:hAnsi="Calibri"/>
          <w:b/>
          <w:i w:val="0"/>
          <w:color w:val="1A4FA0"/>
          <w:sz w:val="21"/>
        </w:rPr>
        <w:t xml:space="preserve">☐  </w:t>
      </w:r>
      <w:r>
        <w:rPr>
          <w:rFonts w:ascii="Calibri" w:hAnsi="Calibri"/>
          <w:b w:val="0"/>
          <w:i w:val="0"/>
          <w:color w:val="1A1A1A"/>
          <w:sz w:val="21"/>
        </w:rPr>
        <w:t>API Center 中的公司名称已改为  Wenzhou Fengdu Advertising &amp; Media Co., Ltd.</w:t>
      </w:r>
    </w:p>
    <w:p w14:paraId="2FDC5B41">
      <w:pPr>
        <w:spacing w:after="60"/>
        <w:ind w:left="283"/>
      </w:pPr>
      <w:r>
        <w:rPr>
          <w:rFonts w:ascii="Calibri" w:hAnsi="Calibri"/>
          <w:b/>
          <w:i w:val="0"/>
          <w:color w:val="1A4FA0"/>
          <w:sz w:val="21"/>
        </w:rPr>
        <w:t xml:space="preserve">☐  </w:t>
      </w:r>
      <w:r>
        <w:rPr>
          <w:rFonts w:ascii="Calibri" w:hAnsi="Calibri"/>
          <w:b w:val="0"/>
          <w:i w:val="0"/>
          <w:color w:val="1A1A1A"/>
          <w:sz w:val="21"/>
        </w:rPr>
        <w:t>API Center 中的公司网址已改为  https://google-data-analysis.top</w:t>
      </w:r>
    </w:p>
    <w:p w14:paraId="5C07A071">
      <w:pPr>
        <w:spacing w:after="60"/>
        <w:ind w:left="283"/>
      </w:pPr>
      <w:r>
        <w:rPr>
          <w:rFonts w:ascii="Calibri" w:hAnsi="Calibri"/>
          <w:b/>
          <w:i w:val="0"/>
          <w:color w:val="1A4FA0"/>
          <w:sz w:val="21"/>
        </w:rPr>
        <w:t xml:space="preserve">☐  </w:t>
      </w:r>
      <w:r>
        <w:rPr>
          <w:rFonts w:ascii="Calibri" w:hAnsi="Calibri"/>
          <w:b w:val="0"/>
          <w:i w:val="0"/>
          <w:color w:val="1A1A1A"/>
          <w:sz w:val="21"/>
        </w:rPr>
        <w:t>API Center 中的公司类型已选择“联属营销企业（Affiliate）”</w:t>
      </w:r>
    </w:p>
    <w:p w14:paraId="4C99ACF3">
      <w:pPr>
        <w:spacing w:after="60"/>
        <w:ind w:left="283"/>
      </w:pPr>
      <w:r>
        <w:rPr>
          <w:rFonts w:ascii="Calibri" w:hAnsi="Calibri"/>
          <w:b/>
          <w:i w:val="0"/>
          <w:color w:val="1A4FA0"/>
          <w:sz w:val="21"/>
        </w:rPr>
        <w:t xml:space="preserve">☐  </w:t>
      </w:r>
      <w:r>
        <w:rPr>
          <w:rFonts w:ascii="Calibri" w:hAnsi="Calibri"/>
          <w:b w:val="0"/>
          <w:i w:val="0"/>
          <w:color w:val="1A1A1A"/>
          <w:sz w:val="21"/>
        </w:rPr>
        <w:t>MCC 下已关联要管理的 Google Ads 子账户</w:t>
      </w:r>
    </w:p>
    <w:p w14:paraId="3F57C90A">
      <w:pPr>
        <w:spacing w:after="60"/>
        <w:ind w:left="283"/>
      </w:pPr>
      <w:r>
        <w:rPr>
          <w:rFonts w:ascii="Calibri" w:hAnsi="Calibri"/>
          <w:b/>
          <w:i w:val="0"/>
          <w:color w:val="1A4FA0"/>
          <w:sz w:val="21"/>
        </w:rPr>
        <w:t xml:space="preserve">☐  </w:t>
      </w:r>
      <w:r>
        <w:rPr>
          <w:rFonts w:ascii="Calibri" w:hAnsi="Calibri"/>
          <w:b w:val="0"/>
          <w:i w:val="0"/>
          <w:color w:val="1A1A1A"/>
          <w:sz w:val="21"/>
        </w:rPr>
        <w:t>表单第 3 题填的是  admin@google-data-analysis.top，不是个人邮笱</w:t>
      </w:r>
    </w:p>
    <w:p w14:paraId="0DA81BD9">
      <w:pPr>
        <w:spacing w:after="60"/>
        <w:ind w:left="283"/>
      </w:pPr>
      <w:r>
        <w:rPr>
          <w:rFonts w:ascii="Calibri" w:hAnsi="Calibri"/>
          <w:b/>
          <w:i w:val="0"/>
          <w:color w:val="1A4FA0"/>
          <w:sz w:val="21"/>
        </w:rPr>
        <w:t xml:space="preserve">☐  </w:t>
      </w:r>
      <w:r>
        <w:rPr>
          <w:rFonts w:ascii="Calibri" w:hAnsi="Calibri"/>
          <w:b w:val="0"/>
          <w:i w:val="0"/>
          <w:color w:val="1A1A1A"/>
          <w:sz w:val="21"/>
        </w:rPr>
        <w:t>表单第 5 题填的网站能正常访问</w:t>
      </w:r>
    </w:p>
    <w:p w14:paraId="2EC094BF">
      <w:pPr>
        <w:spacing w:after="60"/>
        <w:ind w:left="283"/>
      </w:pPr>
      <w:r>
        <w:rPr>
          <w:rFonts w:ascii="Calibri" w:hAnsi="Calibri"/>
          <w:b/>
          <w:i w:val="0"/>
          <w:color w:val="1A4FA0"/>
          <w:sz w:val="21"/>
        </w:rPr>
        <w:t xml:space="preserve">☐  </w:t>
      </w:r>
      <w:r>
        <w:rPr>
          <w:rFonts w:ascii="Calibri" w:hAnsi="Calibri"/>
          <w:b w:val="0"/>
          <w:i w:val="0"/>
          <w:color w:val="1A1A1A"/>
          <w:sz w:val="21"/>
        </w:rPr>
        <w:t>网站 About Us 页面能正常打开 (https://google-data-analysis.top/about)</w:t>
      </w:r>
    </w:p>
    <w:p w14:paraId="6E07E53C">
      <w:pPr>
        <w:spacing w:after="60"/>
        <w:ind w:left="283"/>
      </w:pPr>
      <w:r>
        <w:rPr>
          <w:rFonts w:ascii="Calibri" w:hAnsi="Calibri"/>
          <w:b/>
          <w:i w:val="0"/>
          <w:color w:val="1A4FA0"/>
          <w:sz w:val="21"/>
        </w:rPr>
        <w:t xml:space="preserve">☐  </w:t>
      </w:r>
      <w:r>
        <w:rPr>
          <w:rFonts w:ascii="Calibri" w:hAnsi="Calibri"/>
          <w:b w:val="0"/>
          <w:i w:val="0"/>
          <w:color w:val="1A1A1A"/>
          <w:sz w:val="21"/>
        </w:rPr>
        <w:t>网站 Privacy Policy 能正常打开 (https://google-data-analysis.top/privacy-policy)</w:t>
      </w:r>
    </w:p>
    <w:p w14:paraId="4FCD4040">
      <w:pPr>
        <w:spacing w:after="60"/>
        <w:ind w:left="283"/>
      </w:pPr>
      <w:r>
        <w:rPr>
          <w:rFonts w:ascii="Calibri" w:hAnsi="Calibri"/>
          <w:b/>
          <w:i w:val="0"/>
          <w:color w:val="1A4FA0"/>
          <w:sz w:val="21"/>
        </w:rPr>
        <w:t xml:space="preserve">☐  </w:t>
      </w:r>
      <w:r>
        <w:rPr>
          <w:rFonts w:ascii="Calibri" w:hAnsi="Calibri"/>
          <w:b w:val="0"/>
          <w:i w:val="0"/>
          <w:color w:val="1A1A1A"/>
          <w:sz w:val="21"/>
        </w:rPr>
        <w:t>网站 Terms of Service 能正常打开 (https://google-data-analysis.top/terms-of-service)</w:t>
      </w:r>
    </w:p>
    <w:p w14:paraId="7A2F711E">
      <w:pPr>
        <w:spacing w:after="60"/>
        <w:ind w:left="283"/>
      </w:pPr>
      <w:r>
        <w:rPr>
          <w:rFonts w:ascii="Calibri" w:hAnsi="Calibri"/>
          <w:b/>
          <w:i w:val="0"/>
          <w:color w:val="1A4FA0"/>
          <w:sz w:val="21"/>
        </w:rPr>
        <w:t xml:space="preserve">☐  </w:t>
      </w:r>
      <w:r>
        <w:rPr>
          <w:rFonts w:ascii="Calibri" w:hAnsi="Calibri"/>
          <w:b w:val="0"/>
          <w:i w:val="0"/>
          <w:color w:val="1A1A1A"/>
          <w:sz w:val="21"/>
        </w:rPr>
        <w:t>设计文档已准备好（Ad_Automation_CRM_Design_Document.docx 或 .pdf）</w:t>
      </w:r>
    </w:p>
    <w:p w14:paraId="4E66ADFC">
      <w:pPr>
        <w:spacing w:after="60"/>
        <w:ind w:left="283"/>
      </w:pPr>
      <w:r>
        <w:rPr>
          <w:rFonts w:ascii="Calibri" w:hAnsi="Calibri"/>
          <w:b/>
          <w:i w:val="0"/>
          <w:color w:val="1A4FA0"/>
          <w:sz w:val="21"/>
        </w:rPr>
        <w:t xml:space="preserve">☐  </w:t>
      </w:r>
      <w:r>
        <w:rPr>
          <w:rFonts w:ascii="Calibri" w:hAnsi="Calibri"/>
          <w:b w:val="0"/>
          <w:i w:val="0"/>
          <w:color w:val="1A1A1A"/>
          <w:sz w:val="21"/>
        </w:rPr>
        <w:t>表单第 6 题的描述使用了上面的完整九项文本，未自行简化</w:t>
      </w:r>
    </w:p>
    <w:p w14:paraId="2C8C579F">
      <w:pPr>
        <w:spacing w:after="60"/>
        <w:ind w:left="283"/>
      </w:pPr>
      <w:r>
        <w:rPr>
          <w:rFonts w:ascii="Calibri" w:hAnsi="Calibri"/>
          <w:b/>
          <w:i w:val="0"/>
          <w:color w:val="1A4FA0"/>
          <w:sz w:val="21"/>
        </w:rPr>
        <w:t xml:space="preserve">☐  </w:t>
      </w:r>
      <w:r>
        <w:rPr>
          <w:rFonts w:ascii="Calibri" w:hAnsi="Calibri"/>
          <w:b w:val="0"/>
          <w:i w:val="0"/>
          <w:color w:val="1A1A1A"/>
          <w:sz w:val="21"/>
        </w:rPr>
        <w:t>表单所有必填项已填写完毕</w:t>
      </w:r>
    </w:p>
    <w:p w14:paraId="22CB233C">
      <w:pPr>
        <w:spacing w:after="60"/>
        <w:ind w:left="283"/>
      </w:pPr>
      <w:r>
        <w:rPr>
          <w:rFonts w:ascii="Calibri" w:hAnsi="Calibri"/>
          <w:b/>
          <w:i w:val="0"/>
          <w:color w:val="1A4FA0"/>
          <w:sz w:val="21"/>
        </w:rPr>
        <w:t xml:space="preserve">☐  </w:t>
      </w:r>
      <w:r>
        <w:rPr>
          <w:rFonts w:ascii="Calibri" w:hAnsi="Calibri"/>
          <w:b w:val="0"/>
          <w:i w:val="0"/>
          <w:color w:val="1A1A1A"/>
          <w:sz w:val="21"/>
        </w:rPr>
        <w:t>两个确认框已勾选</w:t>
      </w:r>
    </w:p>
    <w:p w14:paraId="13A93EB3">
      <w:pPr>
        <w:pBdr>
          <w:bottom w:val="single" w:color="1A4FA0" w:sz="6" w:space="1"/>
        </w:pBdr>
        <w:spacing w:before="280" w:after="100"/>
      </w:pPr>
      <w:r>
        <w:rPr>
          <w:rFonts w:hint="eastAsia" w:ascii="Calibri" w:hAnsi="Calibri" w:eastAsia="宋体"/>
          <w:b/>
          <w:i w:val="0"/>
          <w:color w:val="1A4FA0"/>
          <w:sz w:val="30"/>
          <w:lang w:val="en-US" w:eastAsia="zh-CN"/>
        </w:rPr>
        <w:t>五</w:t>
      </w:r>
      <w:r>
        <w:rPr>
          <w:rFonts w:ascii="Calibri" w:hAnsi="Calibri"/>
          <w:b/>
          <w:i w:val="0"/>
          <w:color w:val="1A4FA0"/>
          <w:sz w:val="30"/>
        </w:rPr>
        <w:t>、提交后注意事项</w:t>
      </w:r>
    </w:p>
    <w:p w14:paraId="44F4E24C">
      <w:pPr>
        <w:spacing w:after="80"/>
        <w:ind w:left="227"/>
      </w:pPr>
      <w:r>
        <w:rPr>
          <w:rFonts w:ascii="Calibri" w:hAnsi="Calibri"/>
          <w:b w:val="0"/>
          <w:i w:val="0"/>
          <w:color w:val="1A1A1A"/>
          <w:sz w:val="21"/>
        </w:rPr>
        <w:t>1. 等待时间：通常 1-3 个工作日会收到回复</w:t>
      </w:r>
    </w:p>
    <w:p w14:paraId="701AEE23">
      <w:pPr>
        <w:spacing w:after="80"/>
        <w:ind w:left="227"/>
      </w:pPr>
      <w:r>
        <w:rPr>
          <w:rFonts w:ascii="Calibri" w:hAnsi="Calibri"/>
          <w:b w:val="0"/>
          <w:i w:val="0"/>
          <w:color w:val="1A1A1A"/>
          <w:sz w:val="21"/>
        </w:rPr>
        <w:t>2. 邮笱监控：持续监控 admin@google-data-analysis.top 邮笱，Google 可能发补充问题</w:t>
      </w:r>
    </w:p>
    <w:p w14:paraId="55A32A0D">
      <w:pPr>
        <w:spacing w:after="80"/>
        <w:ind w:left="227"/>
      </w:pPr>
      <w:r>
        <w:rPr>
          <w:rFonts w:ascii="Calibri" w:hAnsi="Calibri"/>
          <w:b w:val="0"/>
          <w:i w:val="0"/>
          <w:color w:val="1A1A1A"/>
          <w:sz w:val="21"/>
        </w:rPr>
        <w:t>3. 如被要求补充：及时回复，不要拖延</w:t>
      </w:r>
    </w:p>
    <w:p w14:paraId="4FE426E3">
      <w:pPr>
        <w:spacing w:after="80"/>
        <w:ind w:left="227"/>
      </w:pPr>
      <w:r>
        <w:rPr>
          <w:rFonts w:ascii="Calibri" w:hAnsi="Calibri"/>
          <w:b w:val="0"/>
          <w:i w:val="0"/>
          <w:color w:val="1A1A1A"/>
          <w:sz w:val="21"/>
        </w:rPr>
        <w:t>4. 如再次被驳回：保存驳回邮件，分析新的驳回原因后再修正重提</w:t>
      </w:r>
    </w:p>
    <w:p w14:paraId="32EA12EF">
      <w:pPr>
        <w:spacing w:before="400"/>
        <w:jc w:val="center"/>
      </w:pPr>
      <w:r>
        <w:rPr>
          <w:rFonts w:ascii="Calibri" w:hAnsi="Calibri"/>
          <w:b w:val="0"/>
          <w:i/>
          <w:color w:val="555555"/>
          <w:sz w:val="20"/>
        </w:rPr>
        <w:t>— End of Guide —</w:t>
      </w:r>
    </w:p>
    <w:sectPr>
      <w:pgSz w:w="12240" w:h="15840"/>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3455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1391</Words>
  <Characters>5032</Characters>
  <Lines>0</Lines>
  <Paragraphs>0</Paragraphs>
  <TotalTime>6</TotalTime>
  <ScaleCrop>false</ScaleCrop>
  <LinksUpToDate>false</LinksUpToDate>
  <CharactersWithSpaces>5751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2026-04-02T01:30:58Z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eyJoZGlkIjoiZWZjNDcwYzM1NjlhMjNmNjI4ZTU0YjgyNWU4NzU5OWMifQ==</vt:lpwstr>
  </property>
  <property fmtid="{D5CDD505-2E9C-101B-9397-08002B2CF9AE}" pid="3" name="KSOProductBuildVer">
    <vt:lpwstr>2052-12.1.0.25225</vt:lpwstr>
  </property>
  <property fmtid="{D5CDD505-2E9C-101B-9397-08002B2CF9AE}" pid="4" name="ICV">
    <vt:lpwstr>9DD3CE0D11C24BC7A742B55FAF93A45F_12</vt:lpwstr>
  </property>
</Properties>
</file>