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3</Pages>
  <Words>696</Words>
  <Characters>3279</Characters>
  <CharactersWithSpaces>3941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2018-06-19T13:10:31Z</dcterms:modified>
  <cp:revision>5</cp:revision>
  <dc:subject/>
  <dc:title/>
</cp:coreProperties>
</file>